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4"/>
        <w:spacing w:before="0"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14" y="0"/>
                    <wp:lineTo x="-14" y="20874"/>
                    <wp:lineTo x="20954" y="20874"/>
                    <wp:lineTo x="20954" y="0"/>
                    <wp:lineTo x="-14" y="0"/>
                  </wp:wrapPolygon>
                </wp:wrapTight>
                <wp:docPr id="1" name="Pictur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-64 0 -64 96639 97009 96639 97009 0 -64 0" stroked="false">
                <v:path textboxrect="0,0,0,0"/>
                <w10:wrap type="tight"/>
                <v:imagedata r:id="rId9" o:title=""/>
              </v:shape>
            </w:pict>
          </mc:Fallback>
        </mc:AlternateContent>
      </w:r>
      <w:r/>
    </w:p>
    <w:p>
      <w:pPr>
        <w:pStyle w:val="764"/>
        <w:jc w:val="center"/>
        <w:spacing w:before="0"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pStyle w:val="764"/>
        <w:jc w:val="center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pStyle w:val="764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pStyle w:val="764"/>
        <w:jc w:val="center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pStyle w:val="764"/>
        <w:jc w:val="center"/>
        <w:spacing w:before="0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pStyle w:val="764"/>
        <w:jc w:val="center"/>
        <w:spacing w:before="0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pStyle w:val="764"/>
        <w:jc w:val="center"/>
        <w:spacing w:before="0"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pStyle w:val="764"/>
        <w:ind w:firstLine="709"/>
        <w:jc w:val="center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4253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234"/>
        </w:trPr>
        <w:tc>
          <w:tcPr>
            <w:tcW w:w="4253" w:type="dxa"/>
            <w:textDirection w:val="lrTb"/>
            <w:noWrap w:val="false"/>
          </w:tcPr>
          <w:p>
            <w:pPr>
              <w:pStyle w:val="764"/>
              <w:ind w:left="142" w:hanging="142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W w:w="4253" w:type="dxa"/>
            <w:textDirection w:val="lrTb"/>
            <w:noWrap w:val="false"/>
          </w:tcPr>
          <w:p>
            <w:pPr>
              <w:pStyle w:val="764"/>
              <w:jc w:val="center"/>
              <w:spacing w:before="0"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W w:w="4253" w:type="dxa"/>
            <w:textDirection w:val="lrTb"/>
            <w:noWrap w:val="false"/>
          </w:tcPr>
          <w:p>
            <w:pPr>
              <w:pStyle w:val="764"/>
              <w:jc w:val="both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pStyle w:val="764"/>
        <w:ind w:firstLine="709"/>
        <w:jc w:val="both"/>
        <w:spacing w:before="0"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764"/>
        <w:ind w:firstLine="709"/>
        <w:jc w:val="center"/>
        <w:spacing w:before="0" w:after="0" w:line="240" w:lineRule="auto"/>
        <w:tabs>
          <w:tab w:val="clear" w:pos="708" w:leader="none"/>
          <w:tab w:val="left" w:pos="1134" w:leader="none"/>
        </w:tabs>
        <w:rPr>
          <w:highlight w:val="white"/>
        </w:rPr>
      </w:pPr>
      <w:r/>
      <w:hyperlink w:tooltip="#P35" w:anchor="P35" w:history="1">
        <w:r>
          <w:rPr>
            <w:rFonts w:ascii="Times New Roman" w:hAnsi="Times New Roman"/>
            <w:b/>
            <w:bCs/>
            <w:sz w:val="28"/>
            <w:szCs w:val="28"/>
          </w:rPr>
          <w:t xml:space="preserve">Об утверждении Порядка</w:t>
        </w:r>
      </w:hyperlink>
      <w:r>
        <w:rPr>
          <w:rFonts w:ascii="Times New Roman" w:hAnsi="Times New Roman"/>
          <w:b/>
          <w:bCs/>
          <w:sz w:val="28"/>
          <w:szCs w:val="28"/>
        </w:rPr>
        <w:t xml:space="preserve"> организации проведения обследования технического состояния многоквартирных домов, вклю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ченных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и подлежащих включению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в региональную программу капитального ремонта общего имущества в многоквартирных домах в Камчатском крае, а также учета резул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ьтатов обследования технического состояния многоквартирных домов, включенных в региональную программу капитального ремонта общего имущества в многоквартирных домах в Камчатском крае, при подготовке и утверждении такой программы или внесении в нее изменений</w:t>
      </w:r>
      <w:r>
        <w:rPr>
          <w:highlight w:val="white"/>
        </w:rPr>
      </w:r>
    </w:p>
    <w:p>
      <w:pPr>
        <w:pStyle w:val="764"/>
        <w:ind w:firstLine="709"/>
        <w:jc w:val="both"/>
        <w:spacing w:before="0"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764"/>
        <w:ind w:firstLine="708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соответствии с пунктом 3 части 6 статьи 167 Жилищного кодекса Российской Федерации</w:t>
      </w:r>
      <w:r>
        <w:rPr>
          <w:highlight w:val="white"/>
        </w:rPr>
      </w:r>
    </w:p>
    <w:p>
      <w:pPr>
        <w:pStyle w:val="764"/>
        <w:ind w:firstLine="708"/>
        <w:jc w:val="both"/>
        <w:spacing w:before="0"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764"/>
        <w:ind w:firstLine="709"/>
        <w:jc w:val="both"/>
        <w:spacing w:before="0"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ПРАВИТЕЛЬСТВО ПОСТАНОВЛЯЕТ:</w:t>
      </w:r>
      <w:r>
        <w:rPr>
          <w:highlight w:val="white"/>
        </w:rPr>
      </w:r>
    </w:p>
    <w:p>
      <w:pPr>
        <w:pStyle w:val="764"/>
        <w:ind w:firstLine="709"/>
        <w:jc w:val="both"/>
        <w:spacing w:before="0" w:after="0"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764"/>
        <w:ind w:left="0" w:right="0" w:firstLine="708"/>
        <w:jc w:val="both"/>
        <w:spacing w:before="0" w:after="0" w:line="288" w:lineRule="atLeast"/>
        <w:rPr>
          <w:highlight w:val="whit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1. Утвердить </w:t>
      </w:r>
      <w:hyperlink w:tooltip="#P35" w:anchor="P35" w:history="1">
        <w:r>
          <w:rPr>
            <w:rFonts w:ascii="Times New Roman" w:hAnsi="Times New Roman"/>
            <w:b w:val="0"/>
            <w:bCs w:val="0"/>
            <w:sz w:val="28"/>
            <w:szCs w:val="28"/>
            <w:highlight w:val="white"/>
          </w:rPr>
          <w:t xml:space="preserve">Порядок</w:t>
        </w:r>
      </w:hyperlink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организации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проведения обследования технического состояния многоквартирных домов, включенных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и подлежащих включению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в региональную программу капитального ремонта общего имущества в многоквартирных домах в Камчатском крае, а также учета результатов обследования технического состояния многок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вартирных домов, включенных в региональную программу капитального ремонта общего имущества в многоквартирных домах в Камчатском крае, при подготовке и утверждении такой программы или внесении в нее изменений, согласно приложению к настоящему постановлению.</w:t>
      </w:r>
      <w:r>
        <w:rPr>
          <w:highlight w:val="white"/>
        </w:rPr>
      </w:r>
    </w:p>
    <w:p>
      <w:pPr>
        <w:pStyle w:val="764"/>
        <w:ind w:firstLine="709"/>
        <w:jc w:val="both"/>
        <w:spacing w:before="0" w:after="0" w:line="240" w:lineRule="auto"/>
        <w:rPr>
          <w:rFonts w:ascii="Times New Roman" w:hAnsi="Times New Roman"/>
          <w:b w:val="0"/>
          <w:bCs w:val="0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2. Настоящее постановление вступает в силу после дня его официального опубликования.</w:t>
      </w:r>
      <w:r>
        <w:rPr>
          <w:highlight w:val="white"/>
        </w:rPr>
      </w:r>
    </w:p>
    <w:tbl>
      <w:tblPr>
        <w:tblW w:w="9673" w:type="dxa"/>
        <w:tblInd w:w="-34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>
        <w:trPr>
          <w:trHeight w:val="2220"/>
        </w:trPr>
        <w:tc>
          <w:tcPr>
            <w:shd w:val="clear" w:color="auto" w:fill="auto"/>
            <w:tcW w:w="3578" w:type="dxa"/>
            <w:textDirection w:val="lrTb"/>
            <w:noWrap w:val="false"/>
          </w:tcPr>
          <w:p>
            <w:pPr>
              <w:pStyle w:val="764"/>
              <w:ind w:left="30" w:right="27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Председатель </w:t>
            </w:r>
            <w:r>
              <w:rPr>
                <w:highlight w:val="white"/>
              </w:rPr>
            </w:r>
          </w:p>
          <w:p>
            <w:pPr>
              <w:pStyle w:val="764"/>
              <w:ind w:left="30" w:right="27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Правительства </w:t>
            </w:r>
            <w:r>
              <w:rPr>
                <w:highlight w:val="white"/>
              </w:rPr>
            </w:r>
          </w:p>
          <w:p>
            <w:pPr>
              <w:pStyle w:val="764"/>
              <w:ind w:left="30" w:right="27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highlight w:val="white"/>
              </w:rPr>
            </w:r>
            <w:bookmarkStart w:id="1" w:name="_GoBack"/>
            <w:r>
              <w:rPr>
                <w:highlight w:val="white"/>
              </w:rPr>
            </w:r>
            <w:bookmarkEnd w:id="1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Камчатского края</w:t>
            </w:r>
            <w:r>
              <w:rPr>
                <w:highlight w:val="white"/>
              </w:rPr>
            </w:r>
          </w:p>
          <w:p>
            <w:pPr>
              <w:pStyle w:val="764"/>
              <w:ind w:left="30" w:right="27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pStyle w:val="764"/>
              <w:ind w:left="3" w:hanging="3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64"/>
              <w:ind w:left="3" w:hanging="3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64"/>
              <w:ind w:left="-1130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highlight w:val="white"/>
              </w:rPr>
            </w: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  <w:highlight w:val="white"/>
              </w:rPr>
              <w:t xml:space="preserve">[горизонтальный штамп подписи 1]</w:t>
            </w:r>
            <w:bookmarkEnd w:id="2"/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764"/>
              <w:ind w:right="135"/>
              <w:jc w:val="right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64"/>
              <w:jc w:val="right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64"/>
              <w:jc w:val="right"/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Ю.С. Морозова</w:t>
            </w:r>
            <w:r>
              <w:rPr>
                <w:highlight w:val="white"/>
              </w:rPr>
            </w:r>
          </w:p>
        </w:tc>
      </w:tr>
    </w:tbl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pStyle w:val="764"/>
        <w:spacing w:before="0"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</w:p>
    <w:tbl>
      <w:tblPr>
        <w:tblW w:w="963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"/>
        <w:gridCol w:w="480"/>
        <w:gridCol w:w="480"/>
        <w:gridCol w:w="3661"/>
        <w:gridCol w:w="480"/>
        <w:gridCol w:w="1870"/>
        <w:gridCol w:w="486"/>
        <w:gridCol w:w="169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764"/>
              <w:ind w:left="8079" w:hanging="8079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  <w:t xml:space="preserve">Приложение к постановлению</w:t>
            </w:r>
            <w:r>
              <w:rPr>
                <w:highlight w:val="whit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764"/>
              <w:ind w:left="8079" w:hanging="8079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  <w:t xml:space="preserve">Правительства Камчатского края</w:t>
            </w:r>
            <w:r>
              <w:rPr>
                <w:highlight w:val="whit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  <w:t xml:space="preserve">от</w:t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color w:val="ffffff" w:themeColor="background1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ffff" w:themeColor="background1"/>
                <w:sz w:val="28"/>
                <w:szCs w:val="20"/>
                <w:highlight w:val="white"/>
                <w:lang w:val="ru-RU" w:eastAsia="ru-RU" w:bidi="ar-SA"/>
              </w:rPr>
              <w:t xml:space="preserve">[R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6"/>
                <w:szCs w:val="20"/>
                <w:highlight w:val="white"/>
                <w:lang w:val="ru-RU" w:eastAsia="ru-RU" w:bidi="ar-SA"/>
              </w:rPr>
              <w:t xml:space="preserve">EGDATESTAMP]</w:t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0"/>
                <w:highlight w:val="white"/>
                <w:lang w:val="ru-RU" w:eastAsia="ru-RU" w:bidi="ar-SA"/>
              </w:rPr>
              <w:t xml:space="preserve">№</w:t>
            </w:r>
            <w:r>
              <w:rPr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99" w:type="dxa"/>
            <w:textDirection w:val="lrTb"/>
            <w:noWrap w:val="false"/>
          </w:tcPr>
          <w:p>
            <w:pPr>
              <w:pStyle w:val="764"/>
              <w:ind w:left="8079" w:hanging="8079"/>
              <w:jc w:val="right"/>
              <w:spacing w:before="0" w:after="60" w:line="240" w:lineRule="auto"/>
              <w:widowControl/>
              <w:rPr>
                <w:rFonts w:ascii="Times New Roman" w:hAnsi="Times New Roman"/>
                <w:color w:val="ffffff" w:themeColor="background1"/>
                <w:sz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ffff" w:themeColor="background1"/>
                <w:sz w:val="28"/>
                <w:szCs w:val="20"/>
                <w:highlight w:val="white"/>
                <w:lang w:val="ru-RU" w:eastAsia="ru-RU" w:bidi="ar-SA"/>
              </w:rPr>
              <w:t xml:space="preserve">[R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6"/>
                <w:szCs w:val="20"/>
                <w:highlight w:val="white"/>
                <w:lang w:val="ru-RU" w:eastAsia="ru-RU" w:bidi="ar-SA"/>
              </w:rPr>
              <w:t xml:space="preserve">EGNUMSTAMP]</w:t>
            </w:r>
            <w:r>
              <w:rPr>
                <w:highlight w:val="white"/>
              </w:rPr>
            </w:r>
          </w:p>
        </w:tc>
      </w:tr>
    </w:tbl>
    <w:p>
      <w:pPr>
        <w:pStyle w:val="764"/>
        <w:jc w:val="both"/>
        <w:spacing w:before="0" w:after="0"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highlight w:val="white"/>
        </w:rPr>
      </w:r>
    </w:p>
    <w:p>
      <w:pPr>
        <w:pStyle w:val="764"/>
        <w:jc w:val="both"/>
        <w:spacing w:before="0" w:after="0"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highlight w:val="white"/>
        </w:rPr>
      </w:r>
    </w:p>
    <w:p>
      <w:pPr>
        <w:pStyle w:val="764"/>
        <w:jc w:val="center"/>
        <w:spacing w:before="0" w:after="0" w:line="240" w:lineRule="auto"/>
        <w:rPr>
          <w:rFonts w:ascii="Times New Roman" w:hAnsi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highlight w:val="white"/>
        </w:rPr>
      </w:r>
      <w:hyperlink w:tooltip="#P35" w:anchor="P35" w:history="1">
        <w:r>
          <w:rPr>
            <w:rFonts w:ascii="Times New Roman" w:hAnsi="Times New Roman"/>
            <w:b w:val="0"/>
            <w:bCs w:val="0"/>
            <w:sz w:val="28"/>
            <w:szCs w:val="28"/>
            <w:highlight w:val="white"/>
          </w:rPr>
          <w:t xml:space="preserve">Порядок</w:t>
        </w:r>
      </w:hyperlink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организации проведения обследования технического состояния многоквартирных домов, включенных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и подлежащих включени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ю в региональную программу капитального ремонта общего имущества в многоквартирных домах в Камчатском крае, а также учета результатов обследовани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я технического состояния многоквартирных домов, включенных в региональную программу капитального ремонта общего имущества в многоквартирных домах в Камчатском крае, при подготовке и утверждении такой программы или внесении в нее изменений (далее – Порядок)</w:t>
      </w:r>
      <w:r>
        <w:rPr>
          <w:highlight w:val="white"/>
        </w:rPr>
      </w:r>
    </w:p>
    <w:p>
      <w:pPr>
        <w:jc w:val="both"/>
        <w:spacing w:before="0" w:after="0"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  <w:r>
        <w:rPr>
          <w:highlight w:val="white"/>
        </w:rPr>
      </w:r>
    </w:p>
    <w:p>
      <w:pPr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1. Общие положения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  <w:r>
        <w:rPr>
          <w:highlight w:val="white"/>
        </w:rPr>
      </w:r>
    </w:p>
    <w:p>
      <w:pPr>
        <w:pStyle w:val="764"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1. Настоящий Порядок регламентирует процедуру проведения обследования технического состояния мн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огоквартирных домов, включенных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и подлежащих включению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в региональную программу капитального ремонта общего имущества в многоквартирных домах в Камчатском крае на 2014–2055 годы, утвержденную постановлением Правительства Камчатского края от 12.02.2014 № 74-П (далее соответственн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о – обследова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ние многоквартирных домов, региональная программа),  а также порядок учета результатов обследования многоквартирного дома при подготовке и утверждении региональной программы или внесении в нее изменений (далее – учет результатов обследования) и определяет:</w:t>
      </w:r>
      <w:r>
        <w:rPr>
          <w:highlight w:val="white"/>
        </w:rPr>
      </w:r>
    </w:p>
    <w:p>
      <w:pPr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1)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порядок принятия решения о необходимости проведения обследования многоквартирных домов и установления очередности проведения такого обследования;</w:t>
      </w:r>
      <w:r/>
    </w:p>
    <w:p>
      <w:pPr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2) технического заказчика услуг по проведению обследования многоквартирных домов;</w:t>
      </w:r>
      <w:r/>
    </w:p>
    <w:p>
      <w:pPr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3) порядок проведения обследования многоквартирных домов;</w:t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4) порядок учета результатов обследования многоквартирных домов.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2.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Обследование многоквартирных домов  проводится в целях обеспечения своевременного проведения капитального ремонта общего имущества в многоквартирных домах, оценки соответствия технического состояния многоквартирных домов и их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истем инженерно-технического обеспечения нормативным требованиям, установленным законодательством Российской Федерации о техническом регулировании, а также определения возможности дальнейшей эксплуатации многоквартирных домов и (или) установления необ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ходимости проведения капитального ремонта общего имущества в многоквартирных домах с определением перечня и объема услуг и (или) работ по капитальному ремонту общего имущества в многоквартирных домах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</w:t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3. Настоящий Порядок не применяется в целях выполнения работ по капитальному ремонту, замене, модернизации лифтов, ремонту лифтовых шахт, машинных и блочных помещений, а также внутридомовых инженерных систем газоснабжения.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2.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Порядок принятия решения о необходимости проведения обследования многоквартирных домов и установления очередности проведения такого обследования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Обследование многоквартирного дома проводится:</w:t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/>
      <w:bookmarkStart w:id="3" w:name="P48"/>
      <w:r/>
      <w:bookmarkEnd w:id="3"/>
      <w:r>
        <w:rPr>
          <w:rFonts w:ascii="Times New Roman" w:hAnsi="Times New Roman"/>
          <w:b w:val="0"/>
          <w:bCs w:val="0"/>
          <w:sz w:val="28"/>
          <w:szCs w:val="28"/>
        </w:rPr>
        <w:t xml:space="preserve">1) на основании настоящего Порядка за счет средств бюджета Камчатского края, в случае если соответствующие средства на проведение указанного обследования предусмотрены законом Камчатского края в краевом бюджете на соответствующий финансовый год;</w:t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2) на основании решения 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бщего собрания собственников помещений в многоквартирном доме, принятого в соответствии с пунктом 1.3 части 2 </w:t>
        <w:br/>
        <w:t xml:space="preserve">статьи 44 Жилищного кодекса Российской Федерации (далее – Жилищный кодекс), за счет средств собственников помещений в таком многоквартирном доме.</w:t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5.</w:t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 Обследо</w:t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вание многоквартирных домов, в случае его проведения в соответствии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с пунктом 1 части 4 настоящего Порядка, проводится в текущем финансовом году в соответствии с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Перечне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 многоквартирных домов, подлежащих обследованию, утверждаемым приказом Министерства жилищно-коммунального хозяйства и энергетики Камчатского края (далее соответственно – Перечень, Министерство) ежегодно до 1 декабря года предшествующего планируемому году.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6. Очередность проведения обследования многоквартирных домов определяется Министерством в Перечне в следующем порядке: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1) в первую очередь обследование проводится в многоквартирных домах, включенных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в краткосрочные планы реализации региональной программы, утверждаемые Министерством, по которым услуги и (или) работы по капитальному ремонту бы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л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и запланированы ранее текущего года, но не выполнены в текущем году и в отношении таких многоквартирных домов выявлено отсутствие необходимости оказания какого-либо вида услуг и (или) работ по капитальному ремонту в срок, определенный региональной программ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ой, а также в которых  капитальный ремонт общего имущества запланирован в региональной программе в периоды ранее текущего года и не включены в краткосрочный план;</w:t>
      </w:r>
      <w:r/>
    </w:p>
    <w:p>
      <w:pPr>
        <w:contextualSpacing/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2) во вторую очередь обследование проводится в многоквартирных домах, включенных в текущий период региональной программы, а так же в многоквартирных домах в которых по результатам эксплуатационного контроля за те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х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ническим состоянием многоквартирных домов, проведенного в порядке, утвержденном Правительством Камчатского края, выявлена необходимость проведения мероприятий, направленных на устранение выявленных нарушений требований эксплуатации путем оказания услуг и (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или) работ по капитальному ремонту общего имущества в многоквартирном доме;</w:t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highlight w:val="whit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3) в третью очередь обследование проводится в многоквартирных домах, включенных в региональную программу в следующий период после периода, указ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анного в пунктах 1 и 2 настоящей части.</w:t>
      </w:r>
      <w:r>
        <w:rPr>
          <w:highlight w:val="whit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highlight w:val="whit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7.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Обследование многоквартирного дома проводится в течение 1 года предшествующего следующему трехлетнему периоду региональной программы капитального ремонта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, но не чаще одного раза в 10 лет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  <w14:ligatures w14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8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 Перечень конструктивных элемент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ов и (или) внутридомовых инженерных систем многоквартирного дома, по которым осуществляется обследование многоквартирного дома, устанавливается по перечню видов услуг и (или) работ по капитальному ре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онту, установленному статьей 14 Закона Камчатского края от 02.12.2013 № 359 «Об организации капитального ремонта общего имущества в многоквартирных домах в Камчатском крае» (далее – Закон Камчатского края № 359), финансирование которых осуществляется за сч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ет минимального размера взноса на капитальный ремонт, а также в отношении стен, колонн, столбов, перекрытий и покрытий (в том числе балок, арок, ферм стропильных и подстропильных, плит, прогонов и др.), несущих и ненесущих строительных конструкций.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9.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В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 случае, если в многоквартирном доме, в котором формирование фонда капитального ремонта осуществляется на специальном счете в сроки установленные региональной программе не выполнены работы (услуги) по капитальному ремонту общего имущества в многоквартирном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 доме, проведение обследования технического состояния многоквартирного дома осуществляется по решению органа местного самоуправления муниципального образования за счет средств краевого бюджета в соответствии с настоящим Порядком.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3. Техническй заказчик услуг по проведению обследования многоквартирных домов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10. Техническим заказчиком услуг по проведению обследования многоквартирного дома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  <w:t xml:space="preserve">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  <w:t xml:space="preserve">в случае, предусмотренном пунктом 1 части 4 настоящего Порядка,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является:</w:t>
      </w:r>
      <w:r/>
    </w:p>
    <w:p>
      <w:pPr>
        <w:contextualSpacing/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1) Фонд капитального ремонта многоквартирных домов Камчатского края (далее – региональный оператор)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;</w:t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2)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органы местного самоуправления и (или) муниципальные бюджетные и казенные учреждения на основании соответствующих договоров, заключенных с региональным оператором в соответствии с частью 3.1 </w:t>
        <w:br/>
        <w:t xml:space="preserve">статьи 24 Закона Камча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тского края № 359.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11. В случае, если обследо</w:t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  <w:t xml:space="preserve">вание многоквартирного дома проводится в соответствии с подпунктом 2 части 4 настоящего Порядка, собственники вправе самостоятельно определить технического заказчика услуг по проведению обследования многоквартирного дома или специализированную оранизацию,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на основании договоров, заключенных лицами, уполномоченными собственниками помещений в многоквартирном доме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 учетом особенностей, установленных в части 5 статьи 167 Жилищного кодекса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12. Закупка услуг в целях осуществления функции 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заказчика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региональным оператором в порядке, предусмотренном пунктом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01.072016 № 615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порядке привлечения подрядных организаций для оказания услуг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выполнения работ по капитальному ремонту общего имущества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многоквартирном доме и порядке осуществления закупок товаров, 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в целях выполнения функций специализированной 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деятельность, направленную на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общего имущества в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домах».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0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contextualSpacing/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4. Порядок проведения обследования многоквартирных домов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764"/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13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Обследование многоквартирного дома проводится юридическими лицами, кото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рые являются членами саморегулируемых организаций, основанных на членстве лиц, выполняющих инженерные изыскания, или членами саморегулируемых организаций, основанных на членстве лиц, осуществляющих подготовку проектной документации (далее – специализирован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ные организации) в порядке, предусмотренном законодательством Российской Федерации о техническом регулировании, в соответствии с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Межгосударственным стандартом ГОСТ 31937-2024 «Здания и сооружения. Правила обследования и мониторинга технического состояния» (далее – ГОСТ 31937-2024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) на основании договора (контракта) с техническим заказчиком.</w:t>
      </w:r>
      <w:r/>
    </w:p>
    <w:p>
      <w:pPr>
        <w:contextualSpacing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1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4. Договор (контракт) на оказание услуг по проведению обследования многоквартирных домов, а также техническое задание должны содержать положения о проведении обследования технического состояния многоквартирных домов в соответствии с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ГОСТ 31937-2024.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764"/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15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. Результатом обследования многоквартирного дома является заключение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по комплексному обследованию технического состояния здания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, составленное в соответствии с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требованиями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ГОСТ 31937-2024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(далее – заключение)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и с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водн</w:t>
      </w:r>
      <w:r>
        <w:rPr>
          <w:rFonts w:ascii="Times New Roman" w:hAnsi="Times New Roman"/>
          <w:b w:val="0"/>
          <w:bCs w:val="0"/>
          <w:sz w:val="28"/>
          <w:szCs w:val="28"/>
          <w:highlight w:val="white"/>
        </w:rPr>
        <w:t xml:space="preserve">ая форма сведений для принятия решения о потребности в проведении капитального ремонта многоквартирного дома, составленная по форме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согласно приложению к настоящему Порядку (далее – сведения)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/>
    </w:p>
    <w:p>
      <w:pPr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5.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Порядок учета результатов обследования многоквартирных домов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8"/>
        <w:jc w:val="center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/>
    </w:p>
    <w:p>
      <w:pPr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16. Заключение и сведе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ния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указанные в част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и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15 настоящего Порядка направляются техническими заказчиками, указанными в пункте 2 части 10 и части 11 настоящего Порядка региональному оператору непосредственно или почтовым отправлением в течение 5 рабочих дней с даты их получения техническим заказчиком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 </w:t>
      </w:r>
      <w:r/>
    </w:p>
    <w:p>
      <w:pPr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17. В случае несоответствия заключения и сведений форме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и (или) требованиям, предусмотренным ГОСТ 31937-2024, региональный оператор возвращает заключение лицам,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указанными в пункте 2 части 10 и части 11 настоящего Порядка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в течение 7 рабочих дней со дня получения региональным оператором 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непосредственно или почтовым отправлением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для устранения выявленных замечаний.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before="0" w:after="0" w:line="288" w:lineRule="atLeast"/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18. Результаты обследования многоквартирных домов являются основанием для внесения изменений в региональную программу и краткосрочный план.</w:t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19. Региональный оператор в течение 10 рабочих дней со дня поступления результатов обследования многоквартирных домов направляет заключени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в орган местного самоуправления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и Государственную жилищную инспекцию Камчатского края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(далее – ГЖИ Камчатского края)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20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Орган местного самоуправления, в зависимости от результата обследования многоквартирного дома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1)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организует работу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по установлению необходимости проведения капитального ремонта общего имущества в многоквартирных домах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в сроки и порядке,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предусмотренном 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постановлением Правительства Камчатского края от 25.08.2016 № 338-П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«Об утверждении Порядка установления необходимости проведения капитального ремонта общего имущества в многоквартирном доме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»;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2) организуе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т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работу по внесению изменений в региональную прог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рамм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 соответствии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 п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остановлением Правительства Камчатского края </w:t>
        <w:br/>
        <w:t xml:space="preserve">от 28.12.2016 № 530-П «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Об утверждении Порядка внесения изменений в региональную программу капитального ремонта общего имущества в многоквартирных домах в Камчатском крае»;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3) организует работу по внесению изменений в краткосрочные планы в соответствии с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постановлением Правительства Камчатского края от 19.06.2014 № 261-П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в Камчатском края»;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4)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рассматривает вопрос о признании многоквартирного дома аварийным и подлежащим сносу или реконструкции в соответствии с порядком, утвержденным органом местного самоуправления.</w:t>
      </w:r>
      <w:r>
        <w:rPr>
          <w:highlight w:val="whit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21. ГЖИ Камчатского края учитывает результаты обследования многоквартирных домов в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соответствии с частью 8 статьи 167 Жилищного кодекса и направляет их лицам, осуществляющим управление общим имуществом многоквартирных домов.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before="0" w:after="0" w:line="288" w:lineRule="atLeast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1" w:bottom="1134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ohit Devanagari">
    <w:panose1 w:val="020B0600000000000000"/>
  </w:font>
  <w:font w:name="Open Sans">
    <w:panose1 w:val="020B0606030504020204"/>
  </w:font>
  <w:font w:name="Segoe UI">
    <w:panose1 w:val="020B0503020204020204"/>
  </w:font>
  <w:font w:name="XO Thames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64" w:default="1">
    <w:name w:val="Normal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765">
    <w:name w:val="Heading 1"/>
    <w:uiPriority w:val="9"/>
    <w:qFormat/>
    <w:pPr>
      <w:jc w:val="both"/>
      <w:spacing w:before="120" w:beforeAutospacing="0" w:after="120" w:afterAutospacing="0" w:line="264" w:lineRule="auto"/>
      <w:widowControl/>
      <w:outlineLvl w:val="0"/>
    </w:pPr>
    <w:rPr>
      <w:rFonts w:ascii="XO Thames" w:hAnsi="XO Thames" w:eastAsia="Times New Roman" w:cs="Times New Roman"/>
      <w:b/>
      <w:color w:val="000000"/>
      <w:sz w:val="32"/>
      <w:szCs w:val="20"/>
      <w:lang w:val="ru-RU" w:eastAsia="ru-RU" w:bidi="ar-SA"/>
    </w:rPr>
  </w:style>
  <w:style w:type="paragraph" w:styleId="766">
    <w:name w:val="Heading 2"/>
    <w:uiPriority w:val="9"/>
    <w:qFormat/>
    <w:pPr>
      <w:jc w:val="both"/>
      <w:spacing w:before="120" w:beforeAutospacing="0" w:after="120" w:afterAutospacing="0" w:line="264" w:lineRule="auto"/>
      <w:widowControl/>
      <w:outlineLvl w:val="1"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767">
    <w:name w:val="Heading 3"/>
    <w:uiPriority w:val="9"/>
    <w:qFormat/>
    <w:pPr>
      <w:jc w:val="both"/>
      <w:spacing w:before="120" w:beforeAutospacing="0" w:after="120" w:afterAutospacing="0" w:line="264" w:lineRule="auto"/>
      <w:widowControl/>
      <w:outlineLvl w:val="2"/>
    </w:pPr>
    <w:rPr>
      <w:rFonts w:ascii="XO Thames" w:hAnsi="XO Thames" w:eastAsia="Times New Roman" w:cs="Times New Roman"/>
      <w:b/>
      <w:color w:val="000000"/>
      <w:sz w:val="26"/>
      <w:szCs w:val="20"/>
      <w:lang w:val="ru-RU" w:eastAsia="ru-RU" w:bidi="ar-SA"/>
    </w:rPr>
  </w:style>
  <w:style w:type="paragraph" w:styleId="768">
    <w:name w:val="Heading 4"/>
    <w:uiPriority w:val="9"/>
    <w:qFormat/>
    <w:pPr>
      <w:jc w:val="both"/>
      <w:spacing w:before="120" w:beforeAutospacing="0" w:after="120" w:afterAutospacing="0" w:line="264" w:lineRule="auto"/>
      <w:widowControl/>
      <w:outlineLvl w:val="3"/>
    </w:pPr>
    <w:rPr>
      <w:rFonts w:ascii="XO Thames" w:hAnsi="XO Thames" w:eastAsia="Times New Roman" w:cs="Times New Roman"/>
      <w:b/>
      <w:color w:val="000000"/>
      <w:sz w:val="24"/>
      <w:szCs w:val="20"/>
      <w:lang w:val="ru-RU" w:eastAsia="ru-RU" w:bidi="ar-SA"/>
    </w:rPr>
  </w:style>
  <w:style w:type="paragraph" w:styleId="769">
    <w:name w:val="Heading 5"/>
    <w:uiPriority w:val="9"/>
    <w:qFormat/>
    <w:pPr>
      <w:jc w:val="both"/>
      <w:spacing w:before="120" w:beforeAutospacing="0" w:after="120" w:afterAutospacing="0" w:line="264" w:lineRule="auto"/>
      <w:widowControl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paragraph" w:styleId="770">
    <w:name w:val="Heading 6"/>
    <w:basedOn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7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3">
    <w:name w:val="Heading 9"/>
    <w:basedOn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>
    <w:name w:val="Heading 1 Char"/>
    <w:basedOn w:val="796"/>
    <w:uiPriority w:val="9"/>
    <w:qFormat/>
    <w:rPr>
      <w:rFonts w:ascii="Arial" w:hAnsi="Arial" w:eastAsia="Arial" w:cs="Arial"/>
      <w:sz w:val="40"/>
      <w:szCs w:val="40"/>
    </w:rPr>
  </w:style>
  <w:style w:type="character" w:styleId="775">
    <w:name w:val="Heading 2 Char"/>
    <w:basedOn w:val="796"/>
    <w:uiPriority w:val="9"/>
    <w:qFormat/>
    <w:rPr>
      <w:rFonts w:ascii="Arial" w:hAnsi="Arial" w:eastAsia="Arial" w:cs="Arial"/>
      <w:sz w:val="34"/>
    </w:rPr>
  </w:style>
  <w:style w:type="character" w:styleId="776">
    <w:name w:val="Heading 3 Char"/>
    <w:basedOn w:val="796"/>
    <w:uiPriority w:val="9"/>
    <w:qFormat/>
    <w:rPr>
      <w:rFonts w:ascii="Arial" w:hAnsi="Arial" w:eastAsia="Arial" w:cs="Arial"/>
      <w:sz w:val="30"/>
      <w:szCs w:val="30"/>
    </w:rPr>
  </w:style>
  <w:style w:type="character" w:styleId="777">
    <w:name w:val="Heading 4 Char"/>
    <w:basedOn w:val="79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78">
    <w:name w:val="Heading 5 Char"/>
    <w:basedOn w:val="79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79">
    <w:name w:val="Heading 6 Char"/>
    <w:basedOn w:val="79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80">
    <w:name w:val="Heading 7 Char"/>
    <w:basedOn w:val="79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81">
    <w:name w:val="Heading 8 Char"/>
    <w:basedOn w:val="79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82">
    <w:name w:val="Heading 9 Char"/>
    <w:basedOn w:val="79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83">
    <w:name w:val="Title Char"/>
    <w:basedOn w:val="796"/>
    <w:uiPriority w:val="10"/>
    <w:qFormat/>
    <w:rPr>
      <w:sz w:val="48"/>
      <w:szCs w:val="48"/>
    </w:rPr>
  </w:style>
  <w:style w:type="character" w:styleId="784">
    <w:name w:val="Subtitle Char"/>
    <w:basedOn w:val="796"/>
    <w:uiPriority w:val="11"/>
    <w:qFormat/>
    <w:rPr>
      <w:sz w:val="24"/>
      <w:szCs w:val="24"/>
    </w:rPr>
  </w:style>
  <w:style w:type="character" w:styleId="785">
    <w:name w:val="Quote Char"/>
    <w:uiPriority w:val="29"/>
    <w:qFormat/>
    <w:rPr>
      <w:i/>
    </w:rPr>
  </w:style>
  <w:style w:type="character" w:styleId="786">
    <w:name w:val="Intense Quote Char"/>
    <w:uiPriority w:val="30"/>
    <w:qFormat/>
    <w:rPr>
      <w:i/>
    </w:rPr>
  </w:style>
  <w:style w:type="character" w:styleId="787">
    <w:name w:val="Header Char"/>
    <w:basedOn w:val="796"/>
    <w:uiPriority w:val="99"/>
    <w:qFormat/>
  </w:style>
  <w:style w:type="character" w:styleId="788">
    <w:name w:val="Footer Char"/>
    <w:basedOn w:val="796"/>
    <w:uiPriority w:val="99"/>
    <w:qFormat/>
  </w:style>
  <w:style w:type="character" w:styleId="789">
    <w:name w:val="Caption Char"/>
    <w:uiPriority w:val="99"/>
    <w:qFormat/>
  </w:style>
  <w:style w:type="character" w:styleId="790">
    <w:name w:val="Footnote Text Char"/>
    <w:uiPriority w:val="99"/>
    <w:qFormat/>
    <w:rPr>
      <w:sz w:val="18"/>
    </w:rPr>
  </w:style>
  <w:style w:type="character" w:styleId="791">
    <w:name w:val="Символ сноски"/>
    <w:uiPriority w:val="99"/>
    <w:unhideWhenUsed/>
    <w:qFormat/>
    <w:rPr>
      <w:vertAlign w:val="superscript"/>
    </w:rPr>
  </w:style>
  <w:style w:type="character" w:styleId="792">
    <w:name w:val="footnote reference"/>
    <w:rPr>
      <w:vertAlign w:val="superscript"/>
    </w:rPr>
  </w:style>
  <w:style w:type="character" w:styleId="793">
    <w:name w:val="Endnote Text Char"/>
    <w:uiPriority w:val="99"/>
    <w:qFormat/>
    <w:rPr>
      <w:sz w:val="20"/>
    </w:rPr>
  </w:style>
  <w:style w:type="character" w:styleId="79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95">
    <w:name w:val="endnote reference"/>
    <w:rPr>
      <w:vertAlign w:val="superscript"/>
    </w:rPr>
  </w:style>
  <w:style w:type="character" w:styleId="796" w:default="1">
    <w:name w:val="Default Paragraph Font"/>
    <w:uiPriority w:val="1"/>
    <w:semiHidden/>
    <w:unhideWhenUsed/>
    <w:qFormat/>
  </w:style>
  <w:style w:type="character" w:styleId="797" w:customStyle="1">
    <w:name w:val="Обычный1"/>
    <w:qFormat/>
  </w:style>
  <w:style w:type="character" w:styleId="798" w:customStyle="1">
    <w:name w:val="Оглавление 2 Знак"/>
    <w:qFormat/>
    <w:rPr>
      <w:rFonts w:ascii="XO Thames" w:hAnsi="XO Thames"/>
      <w:sz w:val="28"/>
    </w:rPr>
  </w:style>
  <w:style w:type="character" w:styleId="799" w:customStyle="1">
    <w:name w:val="Оглавление 4 Знак"/>
    <w:qFormat/>
    <w:rPr>
      <w:rFonts w:ascii="XO Thames" w:hAnsi="XO Thames"/>
      <w:sz w:val="28"/>
    </w:rPr>
  </w:style>
  <w:style w:type="character" w:styleId="800" w:customStyle="1">
    <w:name w:val="Верхний колонтитул Знак"/>
    <w:basedOn w:val="797"/>
    <w:uiPriority w:val="99"/>
    <w:qFormat/>
  </w:style>
  <w:style w:type="character" w:styleId="801" w:customStyle="1">
    <w:name w:val="Оглавление 6 Знак"/>
    <w:qFormat/>
    <w:rPr>
      <w:rFonts w:ascii="XO Thames" w:hAnsi="XO Thames"/>
      <w:sz w:val="28"/>
    </w:rPr>
  </w:style>
  <w:style w:type="character" w:styleId="802" w:customStyle="1">
    <w:name w:val="Оглавление 7 Знак"/>
    <w:qFormat/>
    <w:rPr>
      <w:rFonts w:ascii="XO Thames" w:hAnsi="XO Thames"/>
      <w:sz w:val="28"/>
    </w:rPr>
  </w:style>
  <w:style w:type="character" w:styleId="803" w:customStyle="1">
    <w:name w:val="Заголовок 3 Знак"/>
    <w:qFormat/>
    <w:rPr>
      <w:rFonts w:ascii="XO Thames" w:hAnsi="XO Thames"/>
      <w:b/>
      <w:sz w:val="26"/>
    </w:rPr>
  </w:style>
  <w:style w:type="character" w:styleId="804" w:customStyle="1">
    <w:name w:val="Текст Знак"/>
    <w:basedOn w:val="797"/>
    <w:qFormat/>
    <w:rPr>
      <w:rFonts w:ascii="Calibri" w:hAnsi="Calibri"/>
    </w:rPr>
  </w:style>
  <w:style w:type="character" w:styleId="805" w:customStyle="1">
    <w:name w:val="Оглавление 3 Знак"/>
    <w:qFormat/>
    <w:rPr>
      <w:rFonts w:ascii="XO Thames" w:hAnsi="XO Thames"/>
      <w:sz w:val="28"/>
    </w:rPr>
  </w:style>
  <w:style w:type="character" w:styleId="806" w:customStyle="1">
    <w:name w:val="Заголовок 5 Знак"/>
    <w:qFormat/>
    <w:rPr>
      <w:rFonts w:ascii="XO Thames" w:hAnsi="XO Thames"/>
      <w:b/>
      <w:sz w:val="22"/>
    </w:rPr>
  </w:style>
  <w:style w:type="character" w:styleId="807" w:customStyle="1">
    <w:name w:val="Заголовок 1 Знак"/>
    <w:qFormat/>
    <w:rPr>
      <w:rFonts w:ascii="XO Thames" w:hAnsi="XO Thames"/>
      <w:b/>
      <w:sz w:val="32"/>
    </w:rPr>
  </w:style>
  <w:style w:type="character" w:styleId="808">
    <w:name w:val="Hyperlink"/>
    <w:basedOn w:val="796"/>
    <w:rPr>
      <w:color w:val="0563c1" w:themeColor="hyperlink"/>
      <w:u w:val="single"/>
    </w:rPr>
  </w:style>
  <w:style w:type="character" w:styleId="809" w:customStyle="1">
    <w:name w:val="Footnote"/>
    <w:qFormat/>
    <w:rPr>
      <w:rFonts w:ascii="XO Thames" w:hAnsi="XO Thames"/>
      <w:sz w:val="22"/>
    </w:rPr>
  </w:style>
  <w:style w:type="character" w:styleId="810" w:customStyle="1">
    <w:name w:val="Оглавление 1 Знак"/>
    <w:qFormat/>
    <w:rPr>
      <w:rFonts w:ascii="XO Thames" w:hAnsi="XO Thames"/>
      <w:b/>
      <w:sz w:val="28"/>
    </w:rPr>
  </w:style>
  <w:style w:type="character" w:styleId="811" w:customStyle="1">
    <w:name w:val="Header and Footer"/>
    <w:qFormat/>
    <w:rPr>
      <w:rFonts w:ascii="XO Thames" w:hAnsi="XO Thames"/>
      <w:sz w:val="20"/>
    </w:rPr>
  </w:style>
  <w:style w:type="character" w:styleId="812" w:customStyle="1">
    <w:name w:val="Оглавление 9 Знак"/>
    <w:qFormat/>
    <w:rPr>
      <w:rFonts w:ascii="XO Thames" w:hAnsi="XO Thames"/>
      <w:sz w:val="28"/>
    </w:rPr>
  </w:style>
  <w:style w:type="character" w:styleId="813" w:customStyle="1">
    <w:name w:val="Оглавление 8 Знак"/>
    <w:qFormat/>
    <w:rPr>
      <w:rFonts w:ascii="XO Thames" w:hAnsi="XO Thames"/>
      <w:sz w:val="28"/>
    </w:rPr>
  </w:style>
  <w:style w:type="character" w:styleId="814" w:customStyle="1">
    <w:name w:val="Оглавление 5 Знак"/>
    <w:qFormat/>
    <w:rPr>
      <w:rFonts w:ascii="XO Thames" w:hAnsi="XO Thames"/>
      <w:sz w:val="28"/>
    </w:rPr>
  </w:style>
  <w:style w:type="character" w:styleId="815" w:customStyle="1">
    <w:name w:val="Подзаголовок Знак"/>
    <w:qFormat/>
    <w:rPr>
      <w:rFonts w:ascii="XO Thames" w:hAnsi="XO Thames"/>
      <w:i/>
      <w:sz w:val="24"/>
    </w:rPr>
  </w:style>
  <w:style w:type="character" w:styleId="816" w:customStyle="1">
    <w:name w:val="Нижний колонтитул Знак"/>
    <w:basedOn w:val="797"/>
    <w:qFormat/>
    <w:rPr>
      <w:rFonts w:ascii="Times New Roman" w:hAnsi="Times New Roman"/>
      <w:sz w:val="28"/>
    </w:rPr>
  </w:style>
  <w:style w:type="character" w:styleId="817" w:customStyle="1">
    <w:name w:val="Название Знак"/>
    <w:qFormat/>
    <w:rPr>
      <w:rFonts w:ascii="XO Thames" w:hAnsi="XO Thames"/>
      <w:b/>
      <w:caps/>
      <w:sz w:val="40"/>
    </w:rPr>
  </w:style>
  <w:style w:type="character" w:styleId="818" w:customStyle="1">
    <w:name w:val="Текст выноски Знак"/>
    <w:basedOn w:val="797"/>
    <w:qFormat/>
    <w:rPr>
      <w:rFonts w:ascii="Segoe UI" w:hAnsi="Segoe UI"/>
      <w:sz w:val="18"/>
    </w:rPr>
  </w:style>
  <w:style w:type="character" w:styleId="819" w:customStyle="1">
    <w:name w:val="Заголовок 4 Знак"/>
    <w:qFormat/>
    <w:rPr>
      <w:rFonts w:ascii="XO Thames" w:hAnsi="XO Thames"/>
      <w:b/>
      <w:sz w:val="24"/>
    </w:rPr>
  </w:style>
  <w:style w:type="character" w:styleId="820" w:customStyle="1">
    <w:name w:val="Заголовок 2 Знак"/>
    <w:qFormat/>
    <w:rPr>
      <w:rFonts w:ascii="XO Thames" w:hAnsi="XO Thames"/>
      <w:b/>
      <w:sz w:val="28"/>
    </w:rPr>
  </w:style>
  <w:style w:type="paragraph" w:styleId="821">
    <w:name w:val="Заголовок"/>
    <w:basedOn w:val="764"/>
    <w:next w:val="822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22">
    <w:name w:val="Body Text"/>
    <w:basedOn w:val="764"/>
    <w:pPr>
      <w:spacing w:before="0" w:after="140" w:line="276" w:lineRule="auto"/>
    </w:pPr>
  </w:style>
  <w:style w:type="paragraph" w:styleId="823">
    <w:name w:val="List"/>
    <w:basedOn w:val="822"/>
    <w:rPr>
      <w:rFonts w:cs="Lohit Devanagari"/>
    </w:rPr>
  </w:style>
  <w:style w:type="paragraph" w:styleId="824">
    <w:name w:val="Caption"/>
    <w:basedOn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25">
    <w:name w:val="Указатель"/>
    <w:basedOn w:val="764"/>
    <w:qFormat/>
    <w:pPr>
      <w:suppressLineNumbers/>
    </w:pPr>
    <w:rPr>
      <w:rFonts w:cs="Lohit Devanagari"/>
    </w:rPr>
  </w:style>
  <w:style w:type="paragraph" w:styleId="826">
    <w:name w:val="List Paragraph"/>
    <w:basedOn w:val="764"/>
    <w:uiPriority w:val="34"/>
    <w:qFormat/>
    <w:pPr>
      <w:contextualSpacing/>
      <w:ind w:left="720"/>
      <w:spacing w:before="0" w:after="160"/>
    </w:pPr>
  </w:style>
  <w:style w:type="paragraph" w:styleId="827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828">
    <w:name w:val="Quote"/>
    <w:basedOn w:val="764"/>
    <w:uiPriority w:val="29"/>
    <w:qFormat/>
    <w:pPr>
      <w:ind w:left="720" w:right="720"/>
    </w:pPr>
    <w:rPr>
      <w:i/>
    </w:rPr>
  </w:style>
  <w:style w:type="paragraph" w:styleId="829">
    <w:name w:val="Intense Quote"/>
    <w:basedOn w:val="764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0">
    <w:name w:val="footnote text"/>
    <w:basedOn w:val="76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1">
    <w:name w:val="endnote text"/>
    <w:basedOn w:val="76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2">
    <w:name w:val="Index Heading"/>
    <w:basedOn w:val="821"/>
  </w:style>
  <w:style w:type="paragraph" w:styleId="833">
    <w:name w:val="TOC Heading"/>
    <w:uiPriority w:val="39"/>
    <w:unhideWhenUsed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834">
    <w:name w:val="table of figures"/>
    <w:basedOn w:val="764"/>
    <w:uiPriority w:val="99"/>
    <w:unhideWhenUsed/>
    <w:pPr>
      <w:spacing w:before="0" w:after="0" w:afterAutospacing="0"/>
    </w:pPr>
  </w:style>
  <w:style w:type="paragraph" w:styleId="835">
    <w:name w:val="toc 2"/>
    <w:uiPriority w:val="39"/>
    <w:pPr>
      <w:ind w:left="2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36">
    <w:name w:val="toc 4"/>
    <w:uiPriority w:val="39"/>
    <w:pPr>
      <w:ind w:left="6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37" w:customStyle="1">
    <w:name w:val="Колонтитул"/>
    <w:qFormat/>
    <w:pPr>
      <w:jc w:val="both"/>
      <w:spacing w:before="0" w:beforeAutospacing="0" w:after="160" w:afterAutospacing="0" w:line="240" w:lineRule="auto"/>
      <w:widowControl/>
    </w:pPr>
    <w:rPr>
      <w:rFonts w:ascii="XO Thames" w:hAnsi="XO Thames" w:eastAsia="Times New Roman" w:cs="Times New Roman"/>
      <w:color w:val="000000"/>
      <w:sz w:val="20"/>
      <w:szCs w:val="20"/>
      <w:lang w:val="ru-RU" w:eastAsia="ru-RU" w:bidi="ar-SA"/>
    </w:rPr>
  </w:style>
  <w:style w:type="paragraph" w:styleId="838">
    <w:name w:val="Header"/>
    <w:basedOn w:val="764"/>
    <w:uiPriority w:val="99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toc 6"/>
    <w:uiPriority w:val="39"/>
    <w:pPr>
      <w:ind w:left="10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40">
    <w:name w:val="toc 7"/>
    <w:uiPriority w:val="39"/>
    <w:pPr>
      <w:ind w:left="12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41">
    <w:name w:val="Plain Text"/>
    <w:basedOn w:val="764"/>
    <w:qFormat/>
    <w:pPr>
      <w:spacing w:before="0" w:after="0" w:line="240" w:lineRule="auto"/>
    </w:pPr>
    <w:rPr>
      <w:rFonts w:ascii="Calibri" w:hAnsi="Calibri"/>
    </w:rPr>
  </w:style>
  <w:style w:type="paragraph" w:styleId="842">
    <w:name w:val="toc 3"/>
    <w:uiPriority w:val="39"/>
    <w:pPr>
      <w:ind w:left="4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43" w:customStyle="1">
    <w:name w:val="Гиперссылка1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/>
      <w:color w:val="0563c1" w:themeColor="hyperlink"/>
      <w:sz w:val="22"/>
      <w:szCs w:val="20"/>
      <w:u w:val="single"/>
      <w:lang w:val="ru-RU" w:eastAsia="ru-RU" w:bidi="ar-SA"/>
    </w:rPr>
  </w:style>
  <w:style w:type="paragraph" w:styleId="844" w:customStyle="1">
    <w:name w:val="Footnote1"/>
    <w:qFormat/>
    <w:pPr>
      <w:ind w:firstLine="851"/>
      <w:jc w:val="both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2"/>
      <w:szCs w:val="20"/>
      <w:lang w:val="ru-RU" w:eastAsia="ru-RU" w:bidi="ar-SA"/>
    </w:rPr>
  </w:style>
  <w:style w:type="paragraph" w:styleId="845">
    <w:name w:val="toc 1"/>
    <w:uiPriority w:val="39"/>
    <w:pPr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846" w:customStyle="1">
    <w:name w:val="Основной шрифт абзаца1"/>
    <w:qFormat/>
    <w:pPr>
      <w:jc w:val="left"/>
      <w:spacing w:before="0" w:beforeAutospacing="0" w:after="160" w:afterAutospacing="0" w:line="264" w:lineRule="auto"/>
      <w:widowControl/>
    </w:pPr>
    <w:rPr>
      <w:rFonts w:ascii="Calibri" w:hAnsi="Calibri"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847">
    <w:name w:val="toc 9"/>
    <w:uiPriority w:val="39"/>
    <w:pPr>
      <w:ind w:left="16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48">
    <w:name w:val="toc 8"/>
    <w:uiPriority w:val="39"/>
    <w:pPr>
      <w:ind w:left="14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49">
    <w:name w:val="toc 5"/>
    <w:uiPriority w:val="39"/>
    <w:pPr>
      <w:ind w:left="800"/>
      <w:jc w:val="left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850">
    <w:name w:val="Subtitle"/>
    <w:uiPriority w:val="11"/>
    <w:qFormat/>
    <w:pPr>
      <w:jc w:val="both"/>
      <w:spacing w:before="0" w:beforeAutospacing="0" w:after="160" w:afterAutospacing="0" w:line="264" w:lineRule="auto"/>
      <w:widowControl/>
    </w:pPr>
    <w:rPr>
      <w:rFonts w:ascii="XO Thames" w:hAnsi="XO Thames" w:eastAsia="Times New Roman" w:cs="Times New Roman"/>
      <w:i/>
      <w:color w:val="000000"/>
      <w:sz w:val="24"/>
      <w:szCs w:val="20"/>
      <w:lang w:val="ru-RU" w:eastAsia="ru-RU" w:bidi="ar-SA"/>
    </w:rPr>
  </w:style>
  <w:style w:type="paragraph" w:styleId="851">
    <w:name w:val="Footer"/>
    <w:basedOn w:val="764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paragraph" w:styleId="852">
    <w:name w:val="Title"/>
    <w:uiPriority w:val="10"/>
    <w:qFormat/>
    <w:pPr>
      <w:jc w:val="center"/>
      <w:spacing w:before="567" w:beforeAutospacing="0" w:after="567" w:afterAutospacing="0" w:line="264" w:lineRule="auto"/>
      <w:widowControl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ru-RU" w:bidi="ar-SA"/>
    </w:rPr>
  </w:style>
  <w:style w:type="paragraph" w:styleId="853">
    <w:name w:val="Balloon Text"/>
    <w:basedOn w:val="764"/>
    <w:qFormat/>
    <w:pPr>
      <w:spacing w:before="0" w:after="0" w:line="240" w:lineRule="auto"/>
    </w:pPr>
    <w:rPr>
      <w:rFonts w:ascii="Segoe UI" w:hAnsi="Segoe UI"/>
      <w:sz w:val="18"/>
    </w:rPr>
  </w:style>
  <w:style w:type="paragraph" w:styleId="854" w:customStyle="1">
    <w:name w:val="ConsPlusNormal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u w:val="none"/>
      <w:vertAlign w:val="baseline"/>
      <w:lang w:val="en-US" w:eastAsia="zh-CN" w:bidi="ar-SA"/>
      <w14:ligatures w14:val="none"/>
    </w:rPr>
  </w:style>
  <w:style w:type="numbering" w:styleId="855" w:default="1">
    <w:name w:val="No List"/>
    <w:uiPriority w:val="99"/>
    <w:semiHidden/>
    <w:unhideWhenUsed/>
    <w:qFormat/>
  </w:style>
  <w:style w:type="table" w:styleId="8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HP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Лосев Дмитрий Игоревич</dc:creator>
  <dc:description/>
  <dc:language>ru-RU</dc:language>
  <cp:revision>23</cp:revision>
  <dcterms:created xsi:type="dcterms:W3CDTF">2025-01-31T01:52:00Z</dcterms:created>
  <dcterms:modified xsi:type="dcterms:W3CDTF">2025-07-07T03:12:04Z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