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63" y="0"/>
                <wp:lineTo x="-63" y="20835"/>
                <wp:lineTo x="20905" y="20835"/>
                <wp:lineTo x="20905" y="0"/>
                <wp:lineTo x="-63" y="0"/>
              </wp:wrapPolygon>
            </wp:wrapTight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42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4253"/>
      </w:tblGrid>
      <w:tr>
        <w:trPr>
          <w:trHeight w:val="234" w:hRule="atLeast"/>
        </w:trPr>
        <w:tc>
          <w:tcPr>
            <w:tcW w:w="4253" w:type="dxa"/>
            <w:tcBorders/>
          </w:tcPr>
          <w:p>
            <w:pPr>
              <w:pStyle w:val="Normal"/>
              <w:spacing w:lineRule="auto" w:line="240" w:before="0" w:after="0"/>
              <w:ind w:hanging="142" w:left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>
        <w:trPr>
          <w:trHeight w:val="247" w:hRule="atLeast"/>
        </w:trPr>
        <w:tc>
          <w:tcPr>
            <w:tcW w:w="425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val="80" w:hRule="atLeast"/>
        </w:trPr>
        <w:tc>
          <w:tcPr>
            <w:tcW w:w="4253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hanging="0" w:left="30"/>
        <w:jc w:val="center"/>
        <w:rPr>
          <w:rFonts w:ascii="Times New Roman" w:hAnsi="Times New Roman"/>
          <w:b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kern w:val="0"/>
          <w:sz w:val="28"/>
          <w:szCs w:val="20"/>
          <w:lang w:val="ru-RU" w:eastAsia="ru-RU" w:bidi="ar-SA"/>
        </w:rPr>
        <w:t>Об утверждении Порядка предоставления из краевого бюджета субсидии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 (подготовка проектной документации обустройства туристских маршрутов (троп) «Благоустройство пешеходного маршрута «На встречу с Тихим океаном (Халактырский пляж)», «Спортивный пешеходный маршрут «Тайны Голубых озёр»)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пунктом 2 статьи 78</w:t>
      </w:r>
      <w:r>
        <w:rPr>
          <w:rFonts w:ascii="Times New Roman" w:hAnsi="Times New Roman"/>
          <w:sz w:val="28"/>
          <w:vertAlign w:val="superscript"/>
        </w:rPr>
        <w:t>1</w:t>
      </w:r>
      <w:r>
        <w:rPr>
          <w:rFonts w:ascii="Times New Roman" w:hAnsi="Times New Roman"/>
          <w:sz w:val="28"/>
        </w:rPr>
        <w:t xml:space="preserve"> Бюджетного кодекса Российской Федерации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1. Утвердить</w:t>
      </w:r>
      <w:r>
        <w:rPr>
          <w:rFonts w:ascii="Times New Roman" w:hAnsi="Times New Roman"/>
          <w:sz w:val="28"/>
        </w:rPr>
        <w:t xml:space="preserve"> Порядок предоставления из краевого бюджета субсидии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 (подготовка проектной документации обустройства туристских маршрутов (троп) «Благоустройство пешеходного маршрута «На встречу с Тихим океаном (Халактырский пляж)», «Спортивный пешеходный маршрут «Тайны Голубых озёр») согласно приложению 1 к настоящему постановлению.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Настоящее постановление вступает в силу после дня его официального опубликования.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9673" w:type="dxa"/>
        <w:jc w:val="left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3578"/>
        <w:gridCol w:w="3544"/>
        <w:gridCol w:w="2551"/>
      </w:tblGrid>
      <w:tr>
        <w:trPr>
          <w:trHeight w:val="2220" w:hRule="atLeast"/>
        </w:trPr>
        <w:tc>
          <w:tcPr>
            <w:tcW w:w="357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30" w:right="27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Председатель</w:t>
            </w:r>
          </w:p>
          <w:p>
            <w:pPr>
              <w:pStyle w:val="Normal"/>
              <w:spacing w:lineRule="auto" w:line="240" w:before="0" w:after="0"/>
              <w:ind w:left="30" w:right="27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Правительства</w:t>
            </w:r>
          </w:p>
          <w:p>
            <w:pPr>
              <w:pStyle w:val="Normal"/>
              <w:spacing w:lineRule="auto" w:line="240" w:before="0" w:after="0"/>
              <w:ind w:left="30" w:right="27"/>
              <w:rPr>
                <w:rFonts w:ascii="Times New Roman" w:hAnsi="Times New Roman"/>
                <w:color w:themeColor="text1" w:val="000000"/>
                <w:sz w:val="24"/>
              </w:rPr>
            </w:pPr>
            <w:bookmarkStart w:id="1" w:name="_GoBack"/>
            <w:bookmarkEnd w:id="1"/>
            <w:r>
              <w:rPr>
                <w:rFonts w:ascii="Times New Roman" w:hAnsi="Times New Roman"/>
                <w:color w:themeColor="text1" w:val="000000"/>
                <w:sz w:val="28"/>
              </w:rPr>
              <w:t>Камчатского края</w:t>
            </w:r>
          </w:p>
          <w:p>
            <w:pPr>
              <w:pStyle w:val="Normal"/>
              <w:spacing w:lineRule="auto" w:line="240" w:before="0" w:after="0"/>
              <w:ind w:left="30" w:right="27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</w:r>
          </w:p>
        </w:tc>
        <w:tc>
          <w:tcPr>
            <w:tcW w:w="354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3" w:left="3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</w:r>
          </w:p>
          <w:p>
            <w:pPr>
              <w:pStyle w:val="Normal"/>
              <w:spacing w:lineRule="auto" w:line="240" w:before="0" w:after="0"/>
              <w:ind w:hanging="3" w:left="3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</w:r>
          </w:p>
          <w:p>
            <w:pPr>
              <w:pStyle w:val="Normal"/>
              <w:spacing w:lineRule="auto" w:line="240" w:before="0" w:after="0"/>
              <w:ind w:left="-1130"/>
              <w:rPr>
                <w:rFonts w:ascii="Times New Roman" w:hAnsi="Times New Roman"/>
                <w:color w:themeColor="text1" w:val="000000"/>
                <w:sz w:val="24"/>
              </w:rPr>
            </w:pPr>
            <w:bookmarkStart w:id="2" w:name="SIGNERSTAMP1"/>
            <w:r>
              <w:rPr>
                <w:rFonts w:ascii="Times New Roman" w:hAnsi="Times New Roman"/>
                <w:color w:themeColor="background1" w:val="FFFFFF"/>
                <w:sz w:val="24"/>
              </w:rPr>
              <w:t>[горизонтальный штамп подписи 1]</w:t>
            </w:r>
            <w:bookmarkEnd w:id="2"/>
          </w:p>
        </w:tc>
        <w:tc>
          <w:tcPr>
            <w:tcW w:w="255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right="135"/>
              <w:jc w:val="right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284" w:right="6"/>
              <w:jc w:val="right"/>
              <w:rPr/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Ю.С. Морозова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4"/>
          <w:szCs w:val="4"/>
        </w:rPr>
      </w:pPr>
      <w:r>
        <w:rPr>
          <w:rFonts w:ascii="Times New Roman" w:hAnsi="Times New Roman"/>
          <w:sz w:val="4"/>
          <w:szCs w:val="4"/>
        </w:rPr>
      </w:r>
      <w:r>
        <w:br w:type="page"/>
      </w:r>
    </w:p>
    <w:tbl>
      <w:tblPr>
        <w:tblStyle w:val="af0"/>
        <w:tblW w:w="963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77"/>
        <w:gridCol w:w="478"/>
        <w:gridCol w:w="484"/>
        <w:gridCol w:w="3661"/>
        <w:gridCol w:w="480"/>
        <w:gridCol w:w="1874"/>
        <w:gridCol w:w="486"/>
        <w:gridCol w:w="1695"/>
      </w:tblGrid>
      <w:tr>
        <w:trPr/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pageBreakBefore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5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Приложение к постановлению</w:t>
            </w:r>
          </w:p>
        </w:tc>
      </w:tr>
      <w:tr>
        <w:trPr/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5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Правительства Камчатского края</w:t>
            </w:r>
          </w:p>
        </w:tc>
      </w:tr>
      <w:tr>
        <w:trPr/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от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EGDATESTAMP]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№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EGNUMSTAMP]</w:t>
            </w:r>
          </w:p>
        </w:tc>
      </w:tr>
    </w:tbl>
    <w:p>
      <w:pPr>
        <w:pStyle w:val="Normal"/>
        <w:widowControl/>
        <w:bidi w:val="0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предоставления из краевого бюджета субсидии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 (подготовка проектной документации обустройства туристских маршрутов (троп) «Благоустройство пешеходного маршрута «На встречу с Тихим океаном (Халактырский пляж)», «Спортивный пешеходный маршрут «Тайны Голубых озёр»)</w:t>
      </w:r>
    </w:p>
    <w:p>
      <w:pPr>
        <w:pStyle w:val="Normal"/>
        <w:widowControl/>
        <w:bidi w:val="0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1. Настоящий Порядок регулирует вопросы предоставления субсидии из краевого бюджета, в том числе за счет средств федерального бюджета, в соответствии с Правилами предоставления и распределения субсидий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округа, утвержденными постановлением Правительства Российской Федерации от 15.04.2014 № 308 «Об утверждении государственной программы Российской Федерации «Социально-экономическое развитие Дальневосточного федерального округа»,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 (подготовка проектной документации обустройства туристских маршрутов (троп) «Благоустройство пешеходного маршрута «На встречу с Тихим океаном (Халактырский пляж)», «Спортивный пешеходный маршрут «Тайны Голубых озёр») (далее – субсидия), в связи с оказанием услуг по организации и проведению мероприятий для достижения результатов ведомственного проекта «Развитие туристических территорий» государственной программы Камчатского края «Развитие внутреннего и въездного туризма в Камчатском крае», утвержденной постановлением Правительства Камчатского края от 28.12.2023 № 701-П.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2. Субсидия носит целевой характер и не может быть израсходована на цели, не предусмотренные настоящим Порядком.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3. Министерство туризма Камчатского края (далее – Министерство) осуществляет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в 2025 году.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Субсидия предоставляется Министерством в пределах лимитов бюджетных обязательств, доведенных до Министерства в установленном порядке на цели, указанные в части 1 настоящего порядка.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Способ предоставления субсидии – финансовое обеспечение затрат.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4. Информация о субсидии размещается на едином портале бюджетной системы Российской Федерации в информационно-телекоммуникационной сети «Интернет» (далее соответственно – сеть «Интернет», единый портал) (в разделе единого портала) в порядке, установленном Министерством финансов Российской Федерации.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5. Получателем субсидии является автономная некоммерческая организация «Камчатский выставочно-туристический центр» (далее – получатель субсидии).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6. Субсидия предоставляется по следующему направлению расходов, источником финансового обеспечения которых является субсидия: оплата услуг по подготовке проектной документации обустройства туристских маршрутов (троп) «Благоустройство пешеходного маршрута «На встречу с Тихим океаном (Халактырский пляж)», «Спортивный пешеходный маршрут «Тайны Голубых озёр».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7. Условиями предоставления субсидии является соответствие получателя субсидии на первое число месяца, в котором подаются указанные в части 8 настоящего Порядка документы для получения субсидии, следующим требованиям: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1) получатель субсидии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2) получатель субсидии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3) получатель субсидии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4) получатель субсидии не получает средства из краевого бюджета на основании иных нормативных правовых актов Камчатского края на цели, установленные настоящим Порядком;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5) получатель субсидии не является иностранным агентом в соответствии с Федеральным законом от 14.07.2022 № 255-ФЗ «О контроле за деятельностью лиц, находящихся под иностранным влиянием»;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6) у получателя субсидии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7) у получателя субсидии отсутствуют просроченная задолженность по возврату в краевой бюджет иных субсидий, бюджетных инвестиций, предоставленных в том числе в соответствии с иными нормативными правовыми актами Камчатского края, и иная просроченная (неурегулированная) задолженность по денежным обязательствам перед Камчатским краем;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8) получатель субсидии не находится в процессе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него не введена процедура банкротства, деятельность получателя субсидии не должна быть приостановлена в порядке, предусмотренном законодательством Российской Федерации;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9) в реестре дисквалифицированных лиц отсутствуют сведения о дисквалифицированном руководителе или главном бухгалтере получателя субсидии.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8. Для получения субсидии получатель субсидии в срок до 1 июля 2025 года представляет нарочно на бумажном носителе в Министерство заявление о предоставлении субсидии в произвольной форме с указанием расчетного или корреспондентского счета получателя субсидии, открытого в учреждениях Центрального банка Российской Федерации или кредитной организации, на который в соответствии с бюджетным законодательством Российской Федерации перечисляется субсидия, и следующие документы: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1) копии учредительных документов получателя субсидии с одновременным представлением подлинников для сверки;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2) справку, подписанную руководителем получателя субсидии, подтверждающую соответствие получателя субсидии требованиям, установленным частью 7 настоящего Порядка;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3) согласованный Министерством план мероприятий по достижению результатов предоставления субсидии (контрольные точки) с приложением финансово-экономического обоснования расходов на организацию и проведение мероприятий (далее – План мероприятий).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9. Все представленные получателем субсидии в Министерство документы подлежат регистрации в день их поступления.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10. Министерство в течение 10 рабочих дней со дня регистрации документов, указанных в части 8 настоящего Порядка, рассматривает их, устанавливает полноту и достоверность сведений, содержащихся в документах, и осуществляет проверку получателя субсидии на соответствие его требованиям, установленным частью 7 настоящего Порядка: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1) в соответствии с пунктами 1 и 8 части 7 настоящего Порядка на основании сведений из Единого государственного реестра юридических лиц на официальном сайте Федеральной налоговой службы путем использования сервиса «Предоставление сведений из ЕГРЮЛ/ЕГРИП в электронном виде»;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2) в соответствии с пунктом 2 части 7 настоящего Порядка на официальном сайте Росфинмониторинга на странице «Перечень организаций и физических лиц, в отношении которых имеются сведения об их причастности к экстремистской деятельности или терроризму»;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3) в соответствии с пунктом 3 части 7 настоящего Порядка на официальном сайте Росфинмониторинга на странице «Перечни организаций и физических лиц, связанных с терроризмом или с распространением оружия массового уничтожения, составляемые в соответствии с решениями Совета Безопасности ООН»;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4) в соответствии с пунктом 4 части 7 настоящего Порядка на основании иных нормативных правовых актов Камчатского края и данных, полученных от главных распорядителей бюджетных средств, предоставляющих из краевого бюджета субсидии получателю субсидии;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5) в соответствии с пунктом 5 части 7 настоящего Порядка на официальном сайте Министерства юстиции Российской Федерации на странице «Реестр иностранных агентов»;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6) в соответствии с пунктом 6 части 7 настоящего Порядка на основании данных Федеральной налоговой службы путем использования государственной информационной системы «Региональная система межведомственного электронного взаимодействия»;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7) в соответствии с пунктом 7 части 7 настоящего Порядка на основании данных, полученных от главных распорядителей бюджетных средств, предоставляющих из краевого бюджета субсидии получателю субсидии;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8) в соответствии с пунктом 9 части 7 настоящего Порядка на официальном сайте Федеральной налоговой службы на странице «Поиск сведений в реестре дисквалифицированных лиц».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11. Министерство в течение 2 рабочих дней со дня окончания проверки, предусмотренной частью 10 настоящего Порядка, принимает решение о предоставлении субсидии или об отказе в предоставлении субсидии. Решение о предоставлении субсидии принимается Министерством в форме приказа.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Министерство направляет получателю субсидии письменное уведомление об издании приказа в течение 5 рабочих дней со дня издания приказа посредством заказного почтового отправления или на адрес электронной почты, или иным способом, обеспечивающим подтверждение получения указанного уведомления получателем субсидии.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12. Основаниями для отказа в предоставлении субсидии являются: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1) несоответствие представленных получателем субсидии документов требованиям, определенным частью 8 настоящего Порядка, или непредставление (представление не в полном объеме) указанных документов;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2) установление факта недостоверности, представленной получателем субсидии информации, в том числе информации о месте нахождения и адресе юридического лица;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3) несоответствие получателя субсидии условию предоставления субсидии, установленному частью 7 настоящего Порядка.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13. В случае отказа в предоставлении субсидии Министерство в течение 5 рабочих дней со дня принятия такого решения направляет получателю субсидии письменное уведомление об отказе в предоставлении субсидии с обоснованием причин такого отказа посредством заказного почтового отправления или на адрес электронной почты, или иным способом, обеспечивающим подтверждение получения указанного уведомления получателем субсидии.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14. Субсидия предоставляется на основании соглашения о предоставлении субсидии (далее – Соглашение), которое заключается на финансовый год в государственной интегрированной информационной системе управления общественными финансами «Электронный бюджет» (далее – система «Электронный бюджет») в порядке и сроки, установленные частью 15 настоящего Порядка.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15. Заключение Соглашения осуществляется в следующем порядке и сроки: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1) Министерство в течение 10 рабочих дней со дня принятия решения о предоставлении субсидии размещает проект Соглашения в соответствии с типовой формой, установленной Министерством финансов Российской Федераии, в системе «Электронный бюджет»;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2) получатель субсидии в течение 5 рабочих дней со дня размещения проекта Соглашения в системе «Электронный бюджет» подписывает Соглашение усиленной квалифицированной электронной подписью;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3) Министерство в течение 5 рабочих дней со дня подписания получателем субсидии Соглашения усиленной квалифицированной электронной подписью, подписывает его со своей стороны усиленной квалифицированной электронной подписью в системе «Электронный бюджет»;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4) Соглашение считается заключенным после подписания его Министерством и получателем субсидии.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16. Получатель субсидии признается уклонившимся от подписания Соглашения в случае неподписания Соглашения в сроки, указанные в пункте 2 части 15 настоящего Порядка.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17. В случаях, предусмотренных законодательством Российской Федерации и (или) законодательством Камчатского края, в Соглашение могут быть внесены изменения. Внесение изменений в Соглашение оформляется в виде дополнительного соглашения к Соглашению в соответствии с типовой формой, установленной Министерством финансов Российской Федерации, в системе «Электронный бюджет».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18. Министерство в течение 5 рабочих дней со дня принятия решения о заключении дополнительного соглашения к Соглашению размещает проект дополнительного соглашения к Соглашению в системе «Электронный бюджет».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19. Получатель субсидии в течение 5 рабочих дней со дня размещения проекта дополнительного соглашения к Соглашению, но не позднее 20 декабря соответствующего финансового года, организует подписание дополнительного соглашения к Соглашению в системе «Электронный бюджет» усиленной квалифицированной электронной подписью.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20. Министерство в течение 5 рабочих дней со дня подписания получателем субсидии дополнительного соглашения к Соглашению осуществляет его подписание в системе «Электронный бюджет» усиленной квалифицированной электронной подписью.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21. При реорганизации получателя субсидии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22. При реорганизации получателя субсидии в форме разделения, выделения, а также при ликвидации получателя субсидии, являющегося юридическим лицом,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краевой бюджет.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23. Обязательными условиями предоставления субсидии, включаемыми соответственно в Соглашение и в договоры (соглашения), заключенные в целях исполнения обязательств по Соглашению, являются: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1) согласие получателя субсидии, лиц, получающих средства на основании договоров (соглашений), заключенных с получателем субсидии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их проверки Министерством соблюдения порядка и условий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в соответствии со статьями 268.1 и 269.2 Бюджетного кодекса Российской Федерации;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2) запрет приобретения получателем субсидии, а также иными юридическими лицами, получающими средства на основании договоров (соглашений), заключенных с получателем субсидии, за счет полученных из краевого бюджета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24. Обязательными условиями предоставления субсидии, включаемыми в Соглашение, являются: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1) согласие получателя субсидии на осуществление Министерством согласования новых условий Соглашения или о расторжении Соглашения при недостижении согласия по новым условиям в случае уменьшения Министерству ранее доведенных лимитов бюджетных обязательств, приводящего к невозможности предоставления субсидии в размере, определенном в Соглашении;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2) принятие получателем субсидии обязательства о достижении результатов предоставления субсидии в соответствии с заключенным между Министерством и получателем субсидии Соглашением;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3) принятие получателем субсидии обязательства предоставления отчетов, в порядке и сроки, указанные в части 30 настоящего Порядка.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25. Субсидия предоставляется автономной некоммерческой организации «Камчатский выставочно-туристический центр» в размере 17 455,50000 тыс. рублей (в том числе за счет средств федерального бюджета – 17 280,94500 тыс. рублей).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26. Перечисление субсидии осуществляется в пределах кассового плана по расходам краевого бюджета в соответствии с планом-графиком перечисления субсидии, установленным в приложении к Соглашению (дополнительному соглашению к Соглашению).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27. Министерство перечисляет субсидию на расчетный или корреспондентский счет, открытый получателем субсидии в учреждениях Центрального банка Российской Федерации или кредитной организации, реквизиты которого указаны в Соглашении (дополнительном соглашении к Соглашению), в соответствии с планом-графиком перечисления субсидии, указанным в части 28 настоящего Порядка.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28. По состоянию на 31 декабря текущего года результатом предоставления субсидии является количество подготовленных проектных документаций обустройства туристских маршрутов (троп).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29. Значения результата предоставления субсидии устанавливается Соглашением.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30. Получатель субсидии, заключивший Соглашение, ежеквартально в срок не позднее 10 рабочего дня, следующего за отчетным кварталом, представляет в системе «Электронный бюджет» отчеты по формам, определенным типовой формой соглашения, установленной Министерством финансов Российской Федерации: отчет о достижении значений результатов предоставления субсидии; отчет о реализации плана мероприятий по достижению результатов предоставления субсидии (контрольных точек); отчет о расходах, источником финансового обеспечения которых является субсидия.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31. Рассмотрение и принятие либо непринятие отчетов, указанных в части 30 настоящего Порядка, осуществляется Министерством в течение 10 рабочих дней с момента его получения.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32. В случае выявления при рассмотрении одного из отчетов, указанных в части 30 настоящего Порядка, некорректного заполнения (незаполнения) получателем субсидии всех обязательных для заполнения граф в отчетах и (или) выявления неполноты и (или) недостоверности сведений, содержащихся в отчетах, такие отчеты считаются непринятыми. Министерством принимается решение о непринятии отчетов путем проставления в системе «Электронный бюджет» резолюции «не согласовано» к отчетам с указанием причин.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33. Получатель субсидии в течение 2 рабочих дней со дня принятия Министерством решения о непринятии отчетов обеспечивает устранение выявленного некорректного заполнения (незаполнения) всех обязательных для заполнения граф в отчетах, или устранение неполноты и (или) недостоверности сведений в отчетах и направляет их в системе «Электронный бюджет» на согласование.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34. Министерство в течение 2 рабочих дней с момента получения отчетов, представленных получателем субсидии в соответствии с частью 33 настоящего Порядка, рассматривает и принимает отчеты или возвращает их на доработку в соответствии с частью 32 настоящего Порядка.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35. Мониторинг достижения результатов предоставления субсидии,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Министерством финансов Российской Федерации, осуществляется Министерством.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36. Министерство осуществляет проверки соблюдения получателем субсидии, а также лицами, получающими средства на основании договоров (соглашений), заключенных с получателями субсидии, в целях исполнения обязательств по Соглашению, условий и порядка предоставления субсидии, в том числе в части достижения результатов предоставления субсидии, а органы государственного финансового контроля осуществляют проверки в соответствии со статьями 268.1 и 269.2 Бюджетного кодекса Российской Федерации.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Министерство оформляет результаты проверок в порядке, установленном пунктами 48–59 Федерального стандарта внутреннего государственного (муниципального) финансового контроля «Проведение проверок, ревизий и обследований и оформление их результатов», утвержденного Постановлением Правительства Российской Федерации от 17.08.2020 № 1235.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37. Остаток субсидии, неиспользованный в отчетном финансовом году, может быть использован получателем субсидии в очередном финансовом году на цели, указанные в части 1 настоящего Порядка, при принятии Министерством в порядке, определенном Правительством Камчатского края, решения о наличии потребности в указанных средствах и включении соответствующих положений в Соглашение.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В случае отсутствия указанного решения остаток субсидии, неиспользованный в отчетном финансовом году, подлежит возврату в краевой бюджет на лицевой счет Министерства не позднее 15 февраля очередного финансового года.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38. В случае нарушения получателем субсидии условий и порядка, установленных при предоставлении субсидии, выявленных в том числе по фактам проверок, проведенных Министерством и органами государственного финансового контроля, получатель субсидии обязан возвратить полученные средства субсидии в краевой бюджет на лицевой счет Министерства в следующем порядке и сроки: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1) в случае выявления нарушения органами государственного финансового контроля – на основании представления и (или) предписания органа государственного финансового контроля в сроки, указанные в представлении и (или) предписании;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2) в случае выявления нарушения Министерством – в течение 20 рабочих дней со дня получения требования Министерства;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3) в иных случаях – в течение 20 рабочих дней со дня выявления нарушения.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39. Получатель субсидии обязан возвратить средства субсидии в следующих размерах: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1) в случае нарушения целей предоставления субсидии – в размере нецелевого использования средств субсидии;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2) в случае нарушения условий и порядка предоставления субсидии – в полном объеме;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3) в случае, если по состоянию на 31 декабря года предоставления субсидии допущен факт недостижения значений результатов, установленных в Соглашении, субсидия подлежит возврату в краевой бюджет на лицевой счет Министерства – в размере, определяемом по формуле: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val="auto"/>
          <w:sz w:val="28"/>
          <w:szCs w:val="28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</w:r>
    </w:p>
    <w:p>
      <w:pPr>
        <w:pStyle w:val="Normal"/>
        <w:spacing w:lineRule="auto" w:line="240" w:before="0" w:after="0"/>
        <w:jc w:val="center"/>
        <w:rPr>
          <w:color w:val="auto"/>
          <w:highlight w:val="none"/>
          <w:shd w:fill="auto" w:val="clear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V</m:t>
            </m:r>
          </m:e>
          <m:sub>
            <m:r>
              <w:rPr>
                <w:rFonts w:ascii="Cambria Math" w:hAnsi="Cambria Math"/>
              </w:rPr>
              <m:t xml:space="preserve">возврата</m:t>
            </m:r>
          </m:sub>
        </m:sSub>
        <m:r>
          <w:rPr>
            <w:rFonts w:ascii="Cambria Math" w:hAnsi="Cambria Math"/>
          </w:rPr>
          <m:t xml:space="preserve">=</m:t>
        </m:r>
        <m:sSub>
          <m:e>
            <m:r>
              <w:rPr>
                <w:rFonts w:ascii="Cambria Math" w:hAnsi="Cambria Math"/>
              </w:rPr>
              <m:t xml:space="preserve">V</m:t>
            </m:r>
          </m:e>
          <m:sub>
            <m:r>
              <w:rPr>
                <w:rFonts w:ascii="Cambria Math" w:hAnsi="Cambria Math"/>
              </w:rPr>
              <m:t xml:space="preserve">субсидии</m:t>
            </m:r>
          </m:sub>
        </m:sSub>
        <m:r>
          <w:rPr>
            <w:rFonts w:ascii="Cambria Math" w:hAnsi="Cambria Math"/>
          </w:rPr>
          <m:t xml:space="preserve">×</m:t>
        </m:r>
        <m:f>
          <m:num>
            <m:nary>
              <m:naryPr>
                <m:chr m:val="∑"/>
                <m:subHide m:val="1"/>
                <m:supHide m:val="1"/>
              </m:naryPr>
              <m:sub/>
              <m:sup/>
              <m:e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1</m:t>
                    </m:r>
                    <m:r>
                      <w:rPr>
                        <w:rFonts w:ascii="Cambria Math" w:hAnsi="Cambria Math"/>
                      </w:rPr>
                      <m:t xml:space="preserve">−</m:t>
                    </m:r>
                    <m:f>
                      <m:num>
                        <m:sSub>
                          <m:e>
                            <m:r>
                              <w:rPr>
                                <w:rFonts w:ascii="Cambria Math" w:hAnsi="Cambria Math"/>
                              </w:rPr>
                              <m:t xml:space="preserve">S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 xml:space="preserve">факт</m:t>
                            </m:r>
                            <m:r>
                              <w:rPr>
                                <w:rFonts w:ascii="Cambria Math" w:hAnsi="Cambria Math"/>
                              </w:rPr>
                              <m:t xml:space="preserve">i</m:t>
                            </m:r>
                          </m:sub>
                        </m:sSub>
                      </m:num>
                      <m:den>
                        <m:sSub>
                          <m:e>
                            <m:r>
                              <w:rPr>
                                <w:rFonts w:ascii="Cambria Math" w:hAnsi="Cambria Math"/>
                              </w:rPr>
                              <m:t xml:space="preserve">S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 xml:space="preserve">план</m:t>
                            </m:r>
                            <m:r>
                              <w:rPr>
                                <w:rFonts w:ascii="Cambria Math" w:hAnsi="Cambria Math"/>
                              </w:rPr>
                              <m:t xml:space="preserve">i</m:t>
                            </m:r>
                          </m:sub>
                        </m:sSub>
                      </m:den>
                    </m:f>
                  </m:e>
                </m:d>
              </m:e>
            </m:nary>
          </m:num>
          <m:den>
            <m:r>
              <w:rPr>
                <w:rFonts w:ascii="Cambria Math" w:hAnsi="Cambria Math"/>
              </w:rPr>
              <m:t xml:space="preserve">m</m:t>
            </m:r>
          </m:den>
        </m:f>
        <m:r>
          <w:rPr>
            <w:rFonts w:ascii="Cambria Math" w:hAnsi="Cambria Math"/>
          </w:rPr>
          <m:t xml:space="preserve">×</m:t>
        </m:r>
        <m:f>
          <m:num>
            <m:r>
              <w:rPr>
                <w:rFonts w:ascii="Cambria Math" w:hAnsi="Cambria Math"/>
              </w:rPr>
              <m:t xml:space="preserve">m</m:t>
            </m:r>
          </m:num>
          <m:den>
            <m:r>
              <w:rPr>
                <w:rFonts w:ascii="Cambria Math" w:hAnsi="Cambria Math"/>
              </w:rPr>
              <m:t xml:space="preserve">n</m:t>
            </m:r>
          </m:den>
        </m:f>
      </m:oMath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, где:</w:t>
      </w:r>
    </w:p>
    <w:p>
      <w:pPr>
        <w:pStyle w:val="ConsPlusNormal"/>
        <w:spacing w:lineRule="auto" w:line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V</w:t>
      </w:r>
      <w:r>
        <w:rPr>
          <w:rFonts w:ascii="Times New Roman" w:hAnsi="Times New Roman"/>
          <w:color w:val="000000"/>
          <w:sz w:val="28"/>
          <w:szCs w:val="28"/>
          <w:shd w:fill="auto" w:val="clear"/>
          <w:vertAlign w:val="subscript"/>
        </w:rPr>
        <w:t>возврата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 – размер субсидии, подлежащей возврату;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V</w:t>
      </w:r>
      <w:r>
        <w:rPr>
          <w:rFonts w:ascii="Times New Roman" w:hAnsi="Times New Roman"/>
          <w:color w:val="000000"/>
          <w:sz w:val="28"/>
          <w:szCs w:val="28"/>
          <w:shd w:fill="auto" w:val="clear"/>
          <w:vertAlign w:val="subscript"/>
        </w:rPr>
        <w:t>субсидии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 – размер субсидии, предоставленной получателю субсидии;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S</w:t>
      </w:r>
      <w:r>
        <w:rPr>
          <w:rFonts w:ascii="Times New Roman" w:hAnsi="Times New Roman"/>
          <w:color w:val="000000"/>
          <w:sz w:val="28"/>
          <w:szCs w:val="28"/>
          <w:shd w:fill="auto" w:val="clear"/>
          <w:vertAlign w:val="subscript"/>
        </w:rPr>
        <w:t>фактi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 – фактически достигнутое значение i-го результата предоставления субсидии, установленного Соглашением;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S</w:t>
      </w:r>
      <w:r>
        <w:rPr>
          <w:rFonts w:ascii="Times New Roman" w:hAnsi="Times New Roman"/>
          <w:color w:val="000000"/>
          <w:sz w:val="28"/>
          <w:szCs w:val="28"/>
          <w:shd w:fill="auto" w:val="clear"/>
          <w:vertAlign w:val="subscript"/>
        </w:rPr>
        <w:t>планi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 – плановое значение i-го результата предоставления субсидии, установленного Соглашением;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m – количество недостигнутых результатов предоставления субсидии, установленных Соглашением;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n – общее количество результатов предоставления субсидии, установленных Соглашением.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40. Письменное требование о возврате субсидии в краевой бюджет направляется Министерством получателю субсидии в течение 15 рабочих дней со дня выявления нарушений по фактам проверок, проведенных Министерством, посредством почтового отправления, нарочным способом, на адрес электронной почты или иным способом, обеспечивающим подтверждение получения указанного требования.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41. При невозврате средств субсидии в сроки, установленные частью 38 настоящего Порядка, Министерство принимает необходимые меры по взысканию подлежащей возврату в краевой бюджет субсидии в судебном порядке в срок не позднее 30 рабочих дней со дня, когда Министерству стало известно о неисполнении получателем субсидии обязанности возвратить средства субсидии в краевой бюджет.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42. В случае выявления нарушений, в том числе по фактам проверок, указанных в части 36 настоящего Порядка, лица, получившие средства на основании договоров (соглашений), заключенных с получателем субсидии, обязаны возвратить в сроки, указанные в требовании о возврате средств, полученных за счет средств субсидии, средства, полученные за счет средств субсидии, на счет получателя субсидии в целях последующего возврата указанных средств получателем субсидии в краевой бюджет в срок не позднее 10 рабочих дней со дня поступления денежных средств на его счет.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Письменное требование о возврате средств, полученных за счет средств субсидии, направляется получателем субсидии лицам, получившим средства на основании договоров (соглашений), заключенных с получателем субсидии, и нарушившим порядок и условия предоставления субсидии, в течение 15 рабочих дней со дня выявления нарушений по фактам проверок, проведенных Министерством.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43. В случае невозврата лицами, указанными в части 42 настоящего Порядка, средств, полученных за счет средств субсидии, на счет получателя субсидии в сроки, указанные в требовании о возврате средств, полученных за счет средств субсидии, получатель субсидии, принимает необходимые меры по взысканию подлежащих возврату в краевой бюджет средств, полученных за счет средств субсидии, в судебном порядке в срок не позднее 30 рабочих дней со дня, когда получателю субсидии стало известно о неисполнении лицами, указанными в части 42 настоящего Порядка, обязанности возвратить средства, полученные за счет средств субсидии, на счет получателя субсидии.</w:t>
      </w:r>
    </w:p>
    <w:sectPr>
      <w:type w:val="nextPage"/>
      <w:pgSz w:w="11906" w:h="16838"/>
      <w:pgMar w:left="1418" w:right="851" w:gutter="0" w:header="0" w:top="1134" w:footer="0" w:bottom="1134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Open Sans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link w:val="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Heading1">
    <w:name w:val="Heading 1"/>
    <w:next w:val="Normal"/>
    <w:link w:val="1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Heading2">
    <w:name w:val="Heading 2"/>
    <w:next w:val="Normal"/>
    <w:link w:val="2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Heading3">
    <w:name w:val="Heading 3"/>
    <w:next w:val="Normal"/>
    <w:link w:val="3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Heading4">
    <w:name w:val="Heading 4"/>
    <w:next w:val="Normal"/>
    <w:link w:val="4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Heading5">
    <w:name w:val="Heading 5"/>
    <w:next w:val="Normal"/>
    <w:link w:val="5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бычный1"/>
    <w:qFormat/>
    <w:rPr/>
  </w:style>
  <w:style w:type="character" w:styleId="2" w:customStyle="1">
    <w:name w:val="Оглавление 2 Знак"/>
    <w:qFormat/>
    <w:rPr>
      <w:rFonts w:ascii="XO Thames" w:hAnsi="XO Thames"/>
      <w:sz w:val="28"/>
    </w:rPr>
  </w:style>
  <w:style w:type="character" w:styleId="4" w:customStyle="1">
    <w:name w:val="Оглавление 4 Знак"/>
    <w:qFormat/>
    <w:rPr>
      <w:rFonts w:ascii="XO Thames" w:hAnsi="XO Thames"/>
      <w:sz w:val="28"/>
    </w:rPr>
  </w:style>
  <w:style w:type="character" w:styleId="Style9" w:customStyle="1">
    <w:name w:val="Верхний колонтитул Знак"/>
    <w:basedOn w:val="1"/>
    <w:uiPriority w:val="99"/>
    <w:qFormat/>
    <w:rPr/>
  </w:style>
  <w:style w:type="character" w:styleId="6" w:customStyle="1">
    <w:name w:val="Оглавление 6 Знак"/>
    <w:qFormat/>
    <w:rPr>
      <w:rFonts w:ascii="XO Thames" w:hAnsi="XO Thames"/>
      <w:sz w:val="28"/>
    </w:rPr>
  </w:style>
  <w:style w:type="character" w:styleId="7" w:customStyle="1">
    <w:name w:val="Оглавление 7 Знак"/>
    <w:qFormat/>
    <w:rPr>
      <w:rFonts w:ascii="XO Thames" w:hAnsi="XO Thames"/>
      <w:sz w:val="28"/>
    </w:rPr>
  </w:style>
  <w:style w:type="character" w:styleId="3" w:customStyle="1">
    <w:name w:val="Заголовок 3 Знак"/>
    <w:qFormat/>
    <w:rPr>
      <w:rFonts w:ascii="XO Thames" w:hAnsi="XO Thames"/>
      <w:b/>
      <w:sz w:val="26"/>
    </w:rPr>
  </w:style>
  <w:style w:type="character" w:styleId="Style10" w:customStyle="1">
    <w:name w:val="Текст Знак"/>
    <w:basedOn w:val="1"/>
    <w:link w:val="PlainText"/>
    <w:qFormat/>
    <w:rPr>
      <w:rFonts w:ascii="Calibri" w:hAnsi="Calibri"/>
    </w:rPr>
  </w:style>
  <w:style w:type="character" w:styleId="31" w:customStyle="1">
    <w:name w:val="Оглавление 3 Знак"/>
    <w:qFormat/>
    <w:rPr>
      <w:rFonts w:ascii="XO Thames" w:hAnsi="XO Thames"/>
      <w:sz w:val="28"/>
    </w:rPr>
  </w:style>
  <w:style w:type="character" w:styleId="5" w:customStyle="1">
    <w:name w:val="Заголовок 5 Знак"/>
    <w:qFormat/>
    <w:rPr>
      <w:rFonts w:ascii="XO Thames" w:hAnsi="XO Thames"/>
      <w:b/>
      <w:sz w:val="22"/>
    </w:rPr>
  </w:style>
  <w:style w:type="character" w:styleId="11" w:customStyle="1">
    <w:name w:val="Заголовок 1 Знак"/>
    <w:qFormat/>
    <w:rPr>
      <w:rFonts w:ascii="XO Thames" w:hAnsi="XO Thames"/>
      <w:b/>
      <w:sz w:val="32"/>
    </w:rPr>
  </w:style>
  <w:style w:type="character" w:styleId="Hyperlink">
    <w:name w:val="Hyperlink"/>
    <w:basedOn w:val="DefaultParagraphFont"/>
    <w:link w:val="13"/>
    <w:rPr>
      <w:color w:themeColor="hyperlink" w:val="0563C1"/>
      <w:u w:val="single"/>
    </w:rPr>
  </w:style>
  <w:style w:type="character" w:styleId="Footnote" w:customStyle="1">
    <w:name w:val="Footnote"/>
    <w:link w:val="Footnote1"/>
    <w:qFormat/>
    <w:rPr>
      <w:rFonts w:ascii="XO Thames" w:hAnsi="XO Thames"/>
      <w:sz w:val="22"/>
    </w:rPr>
  </w:style>
  <w:style w:type="character" w:styleId="12" w:customStyle="1">
    <w:name w:val="Оглавление 1 Знак"/>
    <w:qFormat/>
    <w:rPr>
      <w:rFonts w:ascii="XO Thames" w:hAnsi="XO Thames"/>
      <w:b/>
      <w:sz w:val="28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9" w:customStyle="1">
    <w:name w:val="Оглавление 9 Знак"/>
    <w:qFormat/>
    <w:rPr>
      <w:rFonts w:ascii="XO Thames" w:hAnsi="XO Thames"/>
      <w:sz w:val="28"/>
    </w:rPr>
  </w:style>
  <w:style w:type="character" w:styleId="8" w:customStyle="1">
    <w:name w:val="Оглавление 8 Знак"/>
    <w:qFormat/>
    <w:rPr>
      <w:rFonts w:ascii="XO Thames" w:hAnsi="XO Thames"/>
      <w:sz w:val="28"/>
    </w:rPr>
  </w:style>
  <w:style w:type="character" w:styleId="51" w:customStyle="1">
    <w:name w:val="Оглавление 5 Знак"/>
    <w:qFormat/>
    <w:rPr>
      <w:rFonts w:ascii="XO Thames" w:hAnsi="XO Thames"/>
      <w:sz w:val="28"/>
    </w:rPr>
  </w:style>
  <w:style w:type="character" w:styleId="Style11" w:customStyle="1">
    <w:name w:val="Подзаголовок Знак"/>
    <w:qFormat/>
    <w:rPr>
      <w:rFonts w:ascii="XO Thames" w:hAnsi="XO Thames"/>
      <w:i/>
      <w:sz w:val="24"/>
    </w:rPr>
  </w:style>
  <w:style w:type="character" w:styleId="Style12" w:customStyle="1">
    <w:name w:val="Нижний колонтитул Знак"/>
    <w:basedOn w:val="1"/>
    <w:qFormat/>
    <w:rPr>
      <w:rFonts w:ascii="Times New Roman" w:hAnsi="Times New Roman"/>
      <w:sz w:val="28"/>
    </w:rPr>
  </w:style>
  <w:style w:type="character" w:styleId="Style13" w:customStyle="1">
    <w:name w:val="Название Знак"/>
    <w:qFormat/>
    <w:rPr>
      <w:rFonts w:ascii="XO Thames" w:hAnsi="XO Thames"/>
      <w:b/>
      <w:caps/>
      <w:sz w:val="40"/>
    </w:rPr>
  </w:style>
  <w:style w:type="character" w:styleId="Style14" w:customStyle="1">
    <w:name w:val="Текст выноски Знак"/>
    <w:basedOn w:val="1"/>
    <w:link w:val="BalloonText"/>
    <w:qFormat/>
    <w:rPr>
      <w:rFonts w:ascii="Segoe UI" w:hAnsi="Segoe UI"/>
      <w:sz w:val="18"/>
    </w:rPr>
  </w:style>
  <w:style w:type="character" w:styleId="41" w:customStyle="1">
    <w:name w:val="Заголовок 4 Знак"/>
    <w:qFormat/>
    <w:rPr>
      <w:rFonts w:ascii="XO Thames" w:hAnsi="XO Thames"/>
      <w:b/>
      <w:sz w:val="24"/>
    </w:rPr>
  </w:style>
  <w:style w:type="character" w:styleId="21" w:customStyle="1">
    <w:name w:val="Заголовок 2 Знак"/>
    <w:qFormat/>
    <w:rPr>
      <w:rFonts w:ascii="XO Thames" w:hAnsi="XO Thames"/>
      <w:b/>
      <w:sz w:val="28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ohit Devanagari"/>
    </w:rPr>
  </w:style>
  <w:style w:type="paragraph" w:styleId="TOC2">
    <w:name w:val="TOC 2"/>
    <w:next w:val="Normal"/>
    <w:link w:val="2"/>
    <w:uiPriority w:val="39"/>
    <w:pPr>
      <w:widowControl/>
      <w:suppressAutoHyphens w:val="true"/>
      <w:bidi w:val="0"/>
      <w:spacing w:lineRule="auto" w:line="264" w:before="0" w:after="160"/>
      <w:ind w:left="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4">
    <w:name w:val="TOC 4"/>
    <w:next w:val="Normal"/>
    <w:link w:val="4"/>
    <w:uiPriority w:val="39"/>
    <w:pPr>
      <w:widowControl/>
      <w:suppressAutoHyphens w:val="true"/>
      <w:bidi w:val="0"/>
      <w:spacing w:lineRule="auto" w:line="264" w:before="0" w:after="160"/>
      <w:ind w:left="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17" w:customStyle="1">
    <w:name w:val="Колонтитул"/>
    <w:qFormat/>
    <w:pPr>
      <w:widowControl/>
      <w:suppressAutoHyphens w:val="true"/>
      <w:bidi w:val="0"/>
      <w:spacing w:lineRule="auto" w:line="240" w:before="0" w:after="160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Header">
    <w:name w:val="Header"/>
    <w:basedOn w:val="Normal"/>
    <w:link w:val="Style9"/>
    <w:uiPriority w:val="9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TOC6">
    <w:name w:val="TOC 6"/>
    <w:next w:val="Normal"/>
    <w:link w:val="6"/>
    <w:uiPriority w:val="39"/>
    <w:pPr>
      <w:widowControl/>
      <w:suppressAutoHyphens w:val="true"/>
      <w:bidi w:val="0"/>
      <w:spacing w:lineRule="auto" w:line="264" w:before="0" w:after="160"/>
      <w:ind w:left="10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7">
    <w:name w:val="TOC 7"/>
    <w:next w:val="Normal"/>
    <w:link w:val="7"/>
    <w:uiPriority w:val="39"/>
    <w:pPr>
      <w:widowControl/>
      <w:suppressAutoHyphens w:val="true"/>
      <w:bidi w:val="0"/>
      <w:spacing w:lineRule="auto" w:line="264" w:before="0" w:after="160"/>
      <w:ind w:left="1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PlainText">
    <w:name w:val="Plain Text"/>
    <w:basedOn w:val="Normal"/>
    <w:link w:val="Style10"/>
    <w:qFormat/>
    <w:pPr>
      <w:spacing w:lineRule="auto" w:line="240" w:before="0" w:after="0"/>
    </w:pPr>
    <w:rPr>
      <w:rFonts w:ascii="Calibri" w:hAnsi="Calibri"/>
    </w:rPr>
  </w:style>
  <w:style w:type="paragraph" w:styleId="TOC3">
    <w:name w:val="TOC 3"/>
    <w:next w:val="Normal"/>
    <w:link w:val="31"/>
    <w:uiPriority w:val="39"/>
    <w:pPr>
      <w:widowControl/>
      <w:suppressAutoHyphens w:val="true"/>
      <w:bidi w:val="0"/>
      <w:spacing w:lineRule="auto" w:line="264" w:before="0" w:after="160"/>
      <w:ind w:left="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3" w:customStyle="1">
    <w:name w:val="Гиперссылка1"/>
    <w:basedOn w:val="14"/>
    <w:qFormat/>
    <w:pPr/>
    <w:rPr>
      <w:color w:themeColor="hyperlink" w:val="0563C1"/>
      <w:u w:val="single"/>
    </w:rPr>
  </w:style>
  <w:style w:type="paragraph" w:styleId="Footnote1" w:customStyle="1">
    <w:name w:val="Footnote1"/>
    <w:link w:val="Footnote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TOC1">
    <w:name w:val="TOC 1"/>
    <w:next w:val="Normal"/>
    <w:link w:val="12"/>
    <w:uiPriority w:val="39"/>
    <w:pPr>
      <w:widowControl/>
      <w:suppressAutoHyphens w:val="true"/>
      <w:bidi w:val="0"/>
      <w:spacing w:lineRule="auto" w:line="264" w:before="0" w:after="16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14" w:customStyle="1">
    <w:name w:val="Основной шрифт абзаца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TOC9">
    <w:name w:val="TOC 9"/>
    <w:next w:val="Normal"/>
    <w:link w:val="9"/>
    <w:uiPriority w:val="39"/>
    <w:pPr>
      <w:widowControl/>
      <w:suppressAutoHyphens w:val="true"/>
      <w:bidi w:val="0"/>
      <w:spacing w:lineRule="auto" w:line="264" w:before="0" w:after="160"/>
      <w:ind w:left="1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8">
    <w:name w:val="TOC 8"/>
    <w:next w:val="Normal"/>
    <w:link w:val="8"/>
    <w:uiPriority w:val="39"/>
    <w:pPr>
      <w:widowControl/>
      <w:suppressAutoHyphens w:val="true"/>
      <w:bidi w:val="0"/>
      <w:spacing w:lineRule="auto" w:line="264" w:before="0" w:after="160"/>
      <w:ind w:left="1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5">
    <w:name w:val="TOC 5"/>
    <w:next w:val="Normal"/>
    <w:link w:val="51"/>
    <w:uiPriority w:val="39"/>
    <w:pPr>
      <w:widowControl/>
      <w:suppressAutoHyphens w:val="true"/>
      <w:bidi w:val="0"/>
      <w:spacing w:lineRule="auto" w:line="264" w:before="0" w:after="160"/>
      <w:ind w:left="8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ubtitle">
    <w:name w:val="Subtitle"/>
    <w:next w:val="Normal"/>
    <w:link w:val="Style11"/>
    <w:uiPriority w:val="11"/>
    <w:qFormat/>
    <w:pPr>
      <w:widowControl/>
      <w:suppressAutoHyphens w:val="true"/>
      <w:bidi w:val="0"/>
      <w:spacing w:lineRule="auto" w:line="264" w:before="0" w:after="16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Footer">
    <w:name w:val="Footer"/>
    <w:basedOn w:val="Normal"/>
    <w:link w:val="Style1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Title">
    <w:name w:val="Title"/>
    <w:next w:val="Normal"/>
    <w:link w:val="Style13"/>
    <w:uiPriority w:val="10"/>
    <w:qFormat/>
    <w:pPr>
      <w:widowControl/>
      <w:suppressAutoHyphens w:val="true"/>
      <w:bidi w:val="0"/>
      <w:spacing w:lineRule="auto" w:line="264"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ConsPlusNormal">
    <w:name w:val="ConsPlusNormal"/>
    <w:qFormat/>
    <w:pPr>
      <w:widowControl w:val="false"/>
      <w:suppressAutoHyphens w:val="true"/>
      <w:bidi w:val="0"/>
      <w:spacing w:lineRule="auto" w:line="264" w:before="0" w:after="0"/>
      <w:ind w:firstLine="720"/>
      <w:jc w:val="left"/>
    </w:pPr>
    <w:rPr>
      <w:rFonts w:ascii="Arial" w:hAnsi="Arial" w:eastAsia="Tahoma" w:cs="Lohit Devanagari"/>
      <w:color w:val="000000"/>
      <w:kern w:val="0"/>
      <w:sz w:val="20"/>
      <w:szCs w:val="20"/>
      <w:lang w:val="ru-RU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6">
    <w:name w:val="Сетка таблицы1"/>
    <w:basedOn w:val="a1"/>
    <w:pPr>
      <w:spacing w:after="0" w:line="240" w:lineRule="auto"/>
    </w:pPr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3">
    <w:name w:val="Сетка таблицы2"/>
    <w:basedOn w:val="a1"/>
    <w:pPr>
      <w:spacing w:after="0" w:line="240" w:lineRule="auto"/>
    </w:pPr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Application>LibreOffice/7.6.7.2$Linux_X86_64 LibreOffice_project/60$Build-2</Application>
  <AppVersion>15.0000</AppVersion>
  <Pages>11</Pages>
  <Words>3279</Words>
  <Characters>24041</Characters>
  <CharactersWithSpaces>27225</CharactersWithSpaces>
  <Paragraphs>117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2025-01-31T01:52:00Z</dcterms:created>
  <dc:creator>Лосев Дмитрий Игоревич</dc:creator>
  <dc:description/>
  <dc:language>ru-RU</dc:language>
  <cp:lastModifiedBy/>
  <dcterms:modified xsi:type="dcterms:W3CDTF">2025-06-02T14:37:33Z</dcterms:modified>
  <cp:revision>62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