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190"/>
                <wp:lineTo x="20077" y="20190"/>
                <wp:lineTo x="20077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8"/>
        <w:tblW w:w="9663" w:type="dxa"/>
        <w:jc w:val="left"/>
        <w:tblInd w:w="-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63"/>
      </w:tblGrid>
      <w:tr>
        <w:trPr/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я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в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приложение к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постановлени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ю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Правительства Камчатского края от 15.01.2024 № 6-П «Об утверждении Поряд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ка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</w:t>
              <w:t>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Внести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b w:val="false"/>
          <w:sz w:val="28"/>
        </w:rPr>
        <w:t>част</w:t>
      </w:r>
      <w:r>
        <w:rPr>
          <w:rFonts w:ascii="Times New Roman" w:hAnsi="Times New Roman"/>
          <w:b w:val="false"/>
          <w:sz w:val="28"/>
        </w:rPr>
        <w:t>ь</w:t>
      </w:r>
      <w:r>
        <w:rPr>
          <w:rFonts w:ascii="Times New Roman" w:hAnsi="Times New Roman"/>
          <w:b w:val="false"/>
          <w:sz w:val="28"/>
        </w:rPr>
        <w:t xml:space="preserve"> </w:t>
      </w:r>
      <w:r>
        <w:rPr>
          <w:rFonts w:ascii="Times New Roman" w:hAnsi="Times New Roman"/>
          <w:b w:val="false"/>
          <w:sz w:val="28"/>
        </w:rPr>
        <w:t>26</w:t>
      </w:r>
      <w:r>
        <w:rPr>
          <w:rFonts w:ascii="Times New Roman" w:hAnsi="Times New Roman"/>
          <w:b w:val="false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приложения к постановлению Правительства Камчатского края от 15.01.2024 № 6-П «Об утверждении Порядка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изменение, изложив</w:t>
      </w:r>
      <w:r>
        <w:rPr>
          <w:rFonts w:ascii="Times New Roman" w:hAnsi="Times New Roman"/>
          <w:b w:val="false"/>
          <w:sz w:val="28"/>
        </w:rPr>
        <w:t xml:space="preserve"> </w:t>
      </w:r>
      <w:r>
        <w:rPr>
          <w:rFonts w:ascii="Times New Roman" w:hAnsi="Times New Roman"/>
          <w:b w:val="false"/>
          <w:sz w:val="28"/>
        </w:rPr>
        <w:t>ее</w:t>
      </w:r>
      <w:r>
        <w:rPr>
          <w:rFonts w:ascii="Times New Roman" w:hAnsi="Times New Roman"/>
          <w:b w:val="false"/>
          <w:sz w:val="28"/>
        </w:rPr>
        <w:t xml:space="preserve">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«26. Размер субсидий для достижения результатов предоставления субсидий в рамках результатов структурных элементов Программы, указанных в части 1 настоящего Порядка, определен Законом Камчатского края от 05.12.2024 </w:t>
      </w:r>
      <w:r>
        <w:rPr>
          <w:rFonts w:ascii="Times New Roman" w:hAnsi="Times New Roman"/>
          <w:b w:val="false"/>
          <w:sz w:val="28"/>
        </w:rPr>
        <w:t>№ </w:t>
      </w:r>
      <w:r>
        <w:rPr>
          <w:rFonts w:ascii="Times New Roman" w:hAnsi="Times New Roman"/>
          <w:b w:val="false"/>
          <w:sz w:val="28"/>
        </w:rPr>
        <w:t xml:space="preserve">421 «О краевом бюджете на 2025 год и на плановый период 2026 и 2027 годов» (в 2025 году </w:t>
      </w:r>
      <w:r>
        <w:rPr>
          <w:rFonts w:ascii="Times New Roman" w:hAnsi="Times New Roman"/>
          <w:b w:val="false"/>
          <w:sz w:val="28"/>
          <w:szCs w:val="28"/>
        </w:rPr>
        <w:t>–</w:t>
      </w:r>
      <w:r>
        <w:rPr>
          <w:rFonts w:ascii="Times New Roman" w:hAnsi="Times New Roman"/>
          <w:b w:val="false"/>
          <w:sz w:val="28"/>
        </w:rPr>
        <w:t xml:space="preserve"> </w:t>
      </w:r>
      <w:r>
        <w:rPr>
          <w:rFonts w:ascii="Times New Roman" w:hAnsi="Times New Roman"/>
          <w:b w:val="false"/>
          <w:sz w:val="28"/>
        </w:rPr>
        <w:t>402</w:t>
      </w:r>
      <w:r>
        <w:rPr>
          <w:rFonts w:ascii="Times New Roman" w:hAnsi="Times New Roman"/>
          <w:b w:val="false"/>
          <w:sz w:val="28"/>
        </w:rPr>
        <w:t> </w:t>
      </w:r>
      <w:r>
        <w:rPr>
          <w:rFonts w:ascii="Times New Roman" w:hAnsi="Times New Roman"/>
          <w:b w:val="false"/>
          <w:sz w:val="28"/>
        </w:rPr>
        <w:t>692</w:t>
      </w:r>
      <w:r>
        <w:rPr>
          <w:rFonts w:ascii="Times New Roman" w:hAnsi="Times New Roman"/>
          <w:b w:val="false"/>
          <w:sz w:val="28"/>
        </w:rPr>
        <w:t>,</w:t>
      </w:r>
      <w:r>
        <w:rPr>
          <w:rFonts w:ascii="Times New Roman" w:hAnsi="Times New Roman"/>
          <w:b w:val="false"/>
          <w:sz w:val="28"/>
        </w:rPr>
        <w:t>36311</w:t>
      </w:r>
      <w:r>
        <w:rPr>
          <w:rFonts w:ascii="Times New Roman" w:hAnsi="Times New Roman"/>
          <w:b w:val="false"/>
          <w:sz w:val="28"/>
        </w:rPr>
        <w:t xml:space="preserve"> тыс. рублей, в 2026 году </w:t>
      </w:r>
      <w:r>
        <w:rPr>
          <w:rFonts w:ascii="Times New Roman" w:hAnsi="Times New Roman"/>
          <w:b w:val="false"/>
          <w:sz w:val="28"/>
          <w:szCs w:val="28"/>
        </w:rPr>
        <w:t>–</w:t>
      </w:r>
      <w:r>
        <w:rPr>
          <w:rFonts w:ascii="Times New Roman" w:hAnsi="Times New Roman"/>
          <w:b w:val="false"/>
          <w:sz w:val="28"/>
        </w:rPr>
        <w:t xml:space="preserve"> 407 085,90</w:t>
      </w:r>
      <w:r>
        <w:rPr>
          <w:rFonts w:ascii="Times New Roman" w:hAnsi="Times New Roman"/>
          <w:b w:val="false"/>
          <w:sz w:val="28"/>
        </w:rPr>
        <w:t>000</w:t>
      </w:r>
      <w:r>
        <w:rPr>
          <w:rFonts w:ascii="Times New Roman" w:hAnsi="Times New Roman"/>
          <w:b w:val="false"/>
          <w:sz w:val="28"/>
        </w:rPr>
        <w:t xml:space="preserve"> тыс. рублей, в 2027 году </w:t>
      </w:r>
      <w:r>
        <w:rPr>
          <w:rFonts w:ascii="Times New Roman" w:hAnsi="Times New Roman"/>
          <w:b w:val="false"/>
          <w:sz w:val="28"/>
          <w:szCs w:val="28"/>
        </w:rPr>
        <w:t>–</w:t>
      </w:r>
      <w:r>
        <w:rPr>
          <w:rFonts w:ascii="Times New Roman" w:hAnsi="Times New Roman"/>
          <w:b w:val="false"/>
          <w:sz w:val="28"/>
        </w:rPr>
        <w:t xml:space="preserve"> 377 647,00</w:t>
      </w:r>
      <w:r>
        <w:rPr>
          <w:rFonts w:ascii="Times New Roman" w:hAnsi="Times New Roman"/>
          <w:b w:val="false"/>
          <w:sz w:val="28"/>
        </w:rPr>
        <w:t>000</w:t>
      </w:r>
      <w:r>
        <w:rPr>
          <w:rFonts w:ascii="Times New Roman" w:hAnsi="Times New Roman"/>
          <w:b w:val="false"/>
          <w:sz w:val="28"/>
        </w:rPr>
        <w:t xml:space="preserve"> тыс. рублей).</w:t>
        <w:t>».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  <w:szCs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4"/>
        <w:gridCol w:w="2551"/>
      </w:tblGrid>
      <w:tr>
        <w:trPr>
          <w:trHeight w:val="147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Временно исполняющий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обязанности Председателя Правительства</w:t>
              <w:br/>
              <w:t>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widowControl w:val="false"/>
              <w:ind w:hanging="0" w:left="284"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ind w:hanging="0" w:left="284"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before="0" w:after="160"/>
              <w:ind w:hanging="0" w:left="284"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>
      <w:pPr>
        <w:pStyle w:val="Normal"/>
        <w:pageBreakBefore w:val="false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Tempora LGC Uni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64" w:before="0" w:after="0"/>
      <w:jc w:val="left"/>
    </w:pPr>
    <w:rPr>
      <w:rFonts w:ascii="Tempora LGC Uni" w:hAnsi="Tempora LGC Uni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lineRule="auto" w:line="264"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f973ff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Application>LibreOffice/7.6.7.2$Linux_X86_64 LibreOffice_project/60$Build-2</Application>
  <AppVersion>15.0000</AppVersion>
  <Pages>1</Pages>
  <Words>208</Words>
  <Characters>1349</Characters>
  <CharactersWithSpaces>1545</CharactersWithSpaces>
  <Paragraphs>15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2025-02-16T21:40:00Z</dcterms:created>
  <dc:creator>Кулакова Анастасия Борисовна</dc:creator>
  <dc:description/>
  <dc:language>ru-RU</dc:language>
  <cp:lastModifiedBy/>
  <dcterms:modified xsi:type="dcterms:W3CDTF">2025-03-11T14:38:16Z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