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0427"/>
                <wp:lineTo x="20382" y="20427"/>
                <wp:lineTo x="20382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8"/>
        <w:tblW w:w="9663" w:type="dxa"/>
        <w:jc w:val="left"/>
        <w:tblInd w:w="-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63"/>
      </w:tblGrid>
      <w:tr>
        <w:trPr/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О внесении изменения в приложение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В соответствии с пунктом 2 статьи 78</w:t>
      </w:r>
      <w:r>
        <w:rPr>
          <w:rFonts w:ascii="Times New Roman" w:hAnsi="Times New Roman"/>
          <w:sz w:val="28"/>
          <w:szCs w:val="28"/>
          <w:shd w:fill="auto" w:val="clear"/>
          <w:vertAlign w:val="superscript"/>
        </w:rPr>
        <w:t>1</w:t>
      </w:r>
      <w:r>
        <w:rPr>
          <w:rFonts w:ascii="Times New Roman" w:hAnsi="Times New Roman"/>
          <w:sz w:val="28"/>
          <w:szCs w:val="28"/>
          <w:shd w:fill="auto" w:val="clear"/>
        </w:rPr>
        <w:t>, подпунктом 1 пункта 2 статьи 78</w:t>
      </w:r>
      <w:r>
        <w:rPr>
          <w:rFonts w:ascii="Times New Roman" w:hAnsi="Times New Roman"/>
          <w:sz w:val="28"/>
          <w:szCs w:val="28"/>
          <w:shd w:fill="auto" w:val="clear"/>
          <w:vertAlign w:val="superscript"/>
        </w:rPr>
        <w:t>5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Бюджетного кодекса Российской Федерации, постановлением Правительства Российской Федерации от 25.10.2023 № 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1. Внести в приложение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3578"/>
        <w:gridCol w:w="3544"/>
        <w:gridCol w:w="2410"/>
      </w:tblGrid>
      <w:tr>
        <w:trPr>
          <w:trHeight w:val="147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hd w:fill="auto" w:val="clear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  <w:shd w:fill="auto" w:val="clear"/>
              </w:rPr>
              <w:t>[горизонтальный штамп подписи 1]</w:t>
            </w:r>
            <w:bookmarkEnd w:id="1"/>
          </w:p>
        </w:tc>
        <w:tc>
          <w:tcPr>
            <w:tcW w:w="24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  <w:p>
            <w:pPr>
              <w:pStyle w:val="Normal"/>
              <w:widowControl w:val="false"/>
              <w:spacing w:before="0" w:after="160"/>
              <w:ind w:left="284" w:right="-6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  <w:t>Е.А. Чекин</w:t>
            </w:r>
          </w:p>
        </w:tc>
      </w:tr>
    </w:tbl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12288"/>
        </w:sectPr>
      </w:pPr>
      <w:r>
        <w:br w:type="page"/>
      </w:r>
    </w:p>
    <w:tbl>
      <w:tblPr>
        <w:tblStyle w:val="af8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7"/>
        <w:gridCol w:w="478"/>
        <w:gridCol w:w="478"/>
        <w:gridCol w:w="3668"/>
        <w:gridCol w:w="480"/>
        <w:gridCol w:w="1902"/>
        <w:gridCol w:w="487"/>
        <w:gridCol w:w="1665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от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shd w:fill="auto" w:val="clear"/>
                <w:lang w:val="ru-RU" w:eastAsia="ru-RU" w:bidi="ar-SA"/>
              </w:rPr>
              <w:t>EGDATESTAMP]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№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shd w:fill="auto" w:val="clear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LOnormal"/>
        <w:spacing w:lineRule="auto" w:line="240" w:before="0" w:after="0"/>
        <w:ind w:left="5102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«Приложение к постановлению</w:t>
      </w:r>
    </w:p>
    <w:p>
      <w:pPr>
        <w:pStyle w:val="LOnormal"/>
        <w:spacing w:lineRule="auto" w:line="240" w:before="0" w:after="0"/>
        <w:ind w:left="5102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Правительства Камчатского края</w:t>
      </w:r>
    </w:p>
    <w:p>
      <w:pPr>
        <w:pStyle w:val="LOnormal"/>
        <w:spacing w:lineRule="auto" w:line="240" w:before="0" w:after="0"/>
        <w:ind w:left="5102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от 15.01.2024 № 6-П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val="auto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Порядок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auto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1. Настоящий Порядок регулирует вопросы предоставления из краевого бюджета субсидий автономной некоммерческой организации «Камчатский выставочно-туристический центр» на финансовое обеспечение затрат, направленных на развитие внутреннего и въездного туризма в Камчатском крае (далее – субсидии), в связи с оказанием услуг в рамках реализации структурных элементов государственной программы Камчатского края «Развитие внутреннего и въездного туризма в Камчатском крае», утвержденной постановлением Правительства Камчатского края от 28.12.2023 № 701-П </w:t>
        <w:br/>
        <w:t>(далее – Программа):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ведомственного проекта «Продвижение туристского продукта»;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ведомственного проекта «Популяризация отдельных видов туризма в Камчатском крае»;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комплекса процессных мероприятий «Развитие инфраструктуры туристских ресурсов в Камчатском крае»;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комплекса процессных мероприятий «Информационное обслуживание туристов и повышение качества туристских услуг»;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5) комплекса процессных мероприятий «Организационно-аналитическое обеспечение реализации государственной программы».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2. Субсидии носят целевой характер и не могут быть израсходованы на цели, не предусмотренные настоящим Порядком.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3. Министерство туризма Камчатского края (далее –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Субсидии предоставляются Министерством в пределах лимитов бюджетных обязательств, доведенных в установленном порядке до Министерства.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Субсидии предоставляются в период действия структурных элементов Программы, указанных в части 1 Порядка.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Способ предоставления субсидий – финансовое обеспечение затрат.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(в разделе единого портала) в порядке, установленном Министерством финансов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5. Получателем субсидий является автономная некоммерческая организация «Камчатский выставочно-туристический центр» (далее – получатель субсидий).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6. Направлениями расходов, источником финансового обеспечения которых являются субсидии,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целях достижения результатов ведомственного проекта «Продвижение туристского продукта»: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организация и проведение презентационных и выставочных мероприятий, в том числе с участием Камчатского края;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организация участия Камчатского края в Восточном экономическом форуме;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в) организация и проведение маркетинговых кампаний по продвижению туристского продукта;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целях достижения результатов ведомственного проекта «Популяризация отдельных видов туризма в Камчатском крае»: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организация и проведение мероприятий в рамках праздника Камчатского края «Дни туризма в Камчатском крае»;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проведение краевого фестиваля «Сохраним лососей ВМЕСТЕ!»;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в) организация и проведение зимнего фестиваля «Берингия»;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г) организация посещения учащимися одиннадцатых классов общеобразовательных организаций Камчатского края вертолетной экскурсии «Долина гейзеров»;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целях достижения результатов комплекса процессных мероприятий «Развитие инфраструктуры туристских ресурсов в Камчатском крае»: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обустройство и содержание туристского стопа в районе заправочной станции «Апача»;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аренда и обслуживание санитарных блок-модулей, туалетов на туристских маршрутах;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в) разработка туристских маршрутов, разработка технического задания и проектно-сметной документации для обустройства туристских маршрутов (троп);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в целях достижения результатов комплекса процессных мероприятий «Информационное обслуживание туристов и повышение качества туристских услуг»: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модернизация, поддержка и продвижение туристского сайта Камчатского края в сети Интернет;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организация и проведение курсов подготовки и переподготовки специалистов сферы туризма;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в) организация и проведение туристских соревнований, слетов, конкурсов;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5) в целях достижения результатов комплекса процессных мероприятий «Организационно-аналитическое обеспечение реализации государственной программы»: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оплата труда и начисления на оплату труда работников получателя субсидий;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компенсация оплаты проезда к месту отпуска и обратно работников получателя субсидий и лиц, находящихся на их иждивении (один раз в два года), в размерах, не превышающих установленной нормы в соответствии с Законом Камчатского края от 29.12.2014 № 561 «О гарантиях и компенсациях для лиц, проживающих в Камчатском крае и работающих в государственных органах Камчатского края, краевых государственных учреждениях»;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в) оплата командировочных расходов работников получателя субсидий в размерах, установленных локальным актом получателя субсидий, но не превышающих установленных постановлением Правительства Камчатского края от 14.06.2022 № 312-П «О порядке и размерах возмещения расходов, связанных со служебными командировками, работникам, заключившим трудовой договор о работе в государственных органах Камчатского края, работникам краевых государственных учреждений, работникам территориального фонда обязательного медицинского страхования Камчатского края» норм;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г) оплата обучения, стажировки, курсов повышения квалификации, участия в семинарах, конференциях, выставках работников получателя субсидий;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д) оплата услуг специалистов, привлекаемых получателем субсидий по договорам гражданско-правового характера;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е) оплата услуг связи, в том числе: почтовой, телефонной, интернет-провайдеров, sms-информирования и прочие услуги организаций связи;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ж) оплата услуг кредитной организации по расчетно-кассовому обслуживанию;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з) оплата услуг по предоставлению лицензий на право использовать компьютерное программное обеспечение и работ по конфигурированию и модернизации программ, а также на поддержку и обновление лицензионного программного обеспечения, в том числе баз данных, оплата подключения новых рабочих мест и оборудования;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и) оплата налогов, сборов, государственных пошлин и иных обязательных платежей получателя субсидий за исключением денежных взысканий;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к) оплата аренды, в том числе: аренда служебных помещений, рекламных плоскостей, складских помещений и контейнеров для хранения имущества, аренда мест под контейнеры, системы видеонаблюдения;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л) оплата коммунальных услуг, в том числе: водоснабжение, водоотведение, отопление, электроэнергия;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м) оплата работ, услуг по содержанию и текущему ремонту помещений, занимаемых получателем субсидий, сбора и вывоза мусора, услуг регионального оператора по обращению с твердыми бытовыми отходами;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н) оплата работ, услуг по содержанию, обязательному страхованию и обслуживанию автотранспорта и другого имущества получателя субсидий;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о) оплата транспортных услуг, услуг грузчиков;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п) приобретение основных средств, нематериальных активов, расходных материалов и канцелярских принадлежностей;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р) организация и проведение выставочно-ярмарочных, конкурсных и имиджевых мероприятий, включая форумы, конференции, стратегические сессии;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с) организация участия Камчатского края в форумах, конференциях, стратегических сессиях, выставочно-ярмарочных, конкурсных и прочих аналогичных мероприятиях за пределами Камчатского края;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т) обустройство и содержание туристских информационных центров, визит-центров, туристских стопов (оборудованных для отдыха туристических стоянок, расположенных вдоль автомобильных дорог), а также туристских центров Камчатского края, находящихся за пределами региона;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у) разработка, изготовление и приобретение полиграфической и сувенирной продукции;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ф) оплата представительских расходов, организация приема и обслуживания делегаций, официальных лиц и их сопровождающих на территории Камчатского края;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х) освещение деятельности получателя субсидий в средствах массовой информации и в сети Интернет;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ц) оплата исследований и статистических работ в сфере туризма в Камчатском крае.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7. Условием предоставления субсидий является соответствие получателя субсидий на первое число месяца, в котором подаются указанные в части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8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 документы для получения субсидий, следующим требованиям: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получатель субсидий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получатель субсидий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получатель субсидий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получатель субсидий не получает средства из краевого бюджета на основании иных нормативных правовых актов Камчатского края на цели, установленные настоящим Порядком;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5) получатель субсидий не является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6) у получателя субсидий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7) у получателя субсидий отсутствуют просроченная задолженность по возврату в краевой бюджет иных субсидий, бюджетных инвестиций, предоставленных в том числе в соответствии с иными нормативными правовыми актами Камчатского края, и иная просроченная (неурегулированная) задолженность по денежным обязательствам перед Камчатским краем;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8) получатель субсидий не находится в процессе реорганизации (за исключением реорганизации в форме присоединения к юридическому лицу, являющемуся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получателем субсидии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, другого юридического лица), ликвидации, в отношении него не введена процедура банкротства, деятельность получателя субсидий не должна быть приостановлена в порядке, предусмотренном законодательством Российской Федерации;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9) в реестре дисквалифицированных лиц отсутствуют сведения о дисквалифицированном руководителе или главном бухгалтере получателя субсидий;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10) получатель субсидий состоит в Реестре социально ориентированных некоммерческих организаций.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8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Для получения субсидии получатель субсидий в срок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до 1 февраля текущего финансового года представляет нарочно на бумажном носителе в Министерство заявление о получении субсидии отдельно по каждому структурному элементу Программы в произвольной форме с указанием расчетного или корреспондентского счета получателя субсидий, открытого в учреждениях Центрального банка Российской Федерации или кредитной организации, на который в соответствии с бюджетным законодательством Российской Федерации перечисляются субсидии, и следующие документы: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копии учредительных документов получателя субсидий с одновременным представлением подлинников для сверки;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справку, подписанную руководителем получателя субсидий, подтверждающую соответствие получателя субсидий требованиям, установленным частью 7 настоящего Порядка;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план мероприятий по достижению результатов предоставления субсидии (контрольные точки) с приложением финансово-экономического обоснования расходов на организацию и проведение мероприятий (далее – План мероприятий).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9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Все представленные получателем субсидий в Министерство документы подлежат регистрации в день их поступления.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0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После получения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и регистрации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документов, указанных в части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8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Министерство в течение 10 рабочих дней устанавливает полноту и достоверность сведений, содержащихся в документах,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осуществляет проверку получателя субсидии на соответствие его требованиям, установленным частью 7 настоящего Порядка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соответствии с пунктами 1 и 8 части 7 настоящего Порядка на основании сведений из Единого государственного реестра юридических лиц на официальном сайте Федеральной налоговой службы путем использования сервиса «Предоставление сведений из ЕГРЮЛ/ЕГРИП в электронном виде»;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соответствии с пунктом 2 части 7 настоящего Порядка на официальном сайте Росфинмониторинга на странице «Перечень организаций и физических лиц, в отношении которых имеются сведения об их причастности к экстремистской деятельности или терроризму»;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соответствии с пунктом 3 части 7 настоящего Порядка на официальном сайте Росфинмониторинга на странице «Перечни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в соответствии с пунктом 4 части 7 настоящего Порядка на основании иных нормативных правовых актов Камчатского края и данных, полученных от главных распорядителей бюджетных средств, предоставляющих из краевого бюджета субсидий получателю субсидий;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5) в соответствии с пунктом 5 части 7 настоящего Порядка на официальном сайте Министерства юстиции Российской Федерации на странице «Реестр иностранных агентов»;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6) в соответствии с пунктом 6 части 7 настоящего Порядка на основании данных Федеральной налоговой службы путем использования государственной информационной системы «Региональная система межведомственного электронного взаимодействия»;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7) в соответствии с пунктом 7 части 7 настоящего Порядка на основании данных, полученных от главных распорядителей бюджетных средств, предоставляющих из краевого бюджета субсидий получателю субсидий;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8) в соответствии с пунктом 9 части 7 настоящего Порядка на официальном сайте Федеральной налоговой службы на странице «Поиск сведений в реестре дисквалифицированных лиц»;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9) в соответствии с пунктом 10 части 7 настоящего Порядка на сайте Министерства экономического развития Российской Федерации на странице «Реестр социально ориентированных некоммерческих организаций».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11. После получения и регистрации документов, указанных в части 8 настоящего Порядка, Министерство в течение 10 рабочих дней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рассматривает представленные документы и принимает решение о предоставлении субсидии или об отказе в предоставлении субсидии. Решение о предоставлении субсидии принимается Министерством в форме приказа.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Основаниями для отказа в предоставлении субсидии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несоответствие представленных получателем субсидий документов требованиям, определенным частью 12 настоящего Порядка, или непредставление (представление не в полном объеме) указанных документов;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установление факта недостоверности представленной получателем субсидий информации, в том числе информации о месте нахождения и адресе юридического лица;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несоответствие получателя субсидий условию предоставления субсидий, установленному частью 7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В случае отказа в предоставлении субсидии Министерство в течение 5 рабочих дней со дня принятия такого решения направляет получателю субсидий письменное уведомление об отказе в предоставлении субсидии с обоснованием причин такого отказа посредством заказного почтового отправления или на адрес электронной почты, или иным способом, обеспечивающим подтверждение получения указанного уведомления получателем субсидий.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4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. Субсидии предоставляются на основании соглашений о предоставлении субсидии (далее – Соглашение), которые заключаются на финансовый год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</w:t>
        <w:t>в порядке и сроки, установленные частью 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5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5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Заключение Соглашения осуществляется в следующем порядке и сроки: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Министерство в течение 10 рабочих дней со дня принятия решения о предоставлении субсидии размещает проект Соглашения в соответствии с типовой формой, установленной Министерством финансов Камчатского края, в системе «Электронный бюджет»;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получатель субсидии в течение 5 рабочих дней со дня размещения проекта Соглашения в системе «Электронный бюджет» подписывает Соглашение усиленной квалифицированной электронной подписью;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Министерство в течение 5 рабочих дней со дня подписания получателем субсидии Соглашения усиленной квалифицированной электронной подписью, подписывает его со своей стороны усиленной квалифицированной электронной подписью в системе «Электронный бюджет»;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Соглашение считается заключенным после подписания его Министерством и получателем субсидии, и регистрации в установленном порядке органами Федерального казначейства.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6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Получатель субсидии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признается уклонившимся от подписания Соглашения в случае неподписания Соглашения в сроки, указанные в пункте 2 части 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5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17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В случаях, предусмотренных законодательством Российской Федерации и (или) законодательством Камчатского края, в Соглашение могут быть внесены изменения. Внесение изменений в Соглашение оформляется в виде дополнительного соглашения к Соглашению в соответствии с типовой формой, установленной Министерством финансов Камчатского края, в системе «Электронный бюджет».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18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Министерство в течение 5 рабочих дней со дня принятия решения о заключении дополнительного соглашения к Соглашению размещает проект дополнительного соглашения к Соглашению в системе «Электронный бюджет».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19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Получатель субсидии в течение 5 рабочих дней со дня размещения проекта дополнительного соглашения к Соглашению, но не позднее 20 декабря соответствующего финансового года, организует подписание дополнительного соглашения к Соглашению в системе «Электронный бюджет» усиленной квалифицированной электронной подписью.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20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Министерство в течение 5 рабочих дней со дня подписания получателем субсидии дополнительного соглашения к Соглашению осуществляет его подписание в системе «Электронный бюджет» усиленной квалифицированной электронной подписью.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При реорганизации получателя субсидии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Камчатского края.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Обязательными условиями предоставления субсидий, включаемыми соответственно в Соглашение и в договоры, заключенные в целях исполнения обязательств по Соглашению, являются: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согласие получателя субсидий, лиц, получающих средства на основании договоров, заключенных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perscript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и 269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Бюджетного кодекса Российской Федерации и на включение таких положений в Соглашение;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запрет приобретения получателем субсидий, а также иными юридическими лицами, получающими средства на основании договоров, заключенных с получателем субсидий, за счет полученных из бюджета Камчатского края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24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Обязательными условиями предоставления субсидий, включаемыми в Соглашение,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согласие получателя субсидий на осуществление Министерством согласования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субсидий в размере, определенном в Соглашении;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принятие получателем субсидий обязательства о достижении результатов предоставления субсидий в соответствии с заключенным между Министерством и получателем субсидий Соглашением;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3) принятие получателем субсидий обязательства предоставления отчетов, в порядке и сроки, указанные в части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30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25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Размер субсидий для достижения результатов предоставления субсидий в рамках результатов структурных элементов Программы, указанных в части 1 настоящего Порядка, определен Законом Камчатского края</w:t>
        <w:br/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от 05.12.2024 № 421 «О крае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вом бюджете на 2025 год и на плановый период 2026 и 2027 годов» (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 2025 году – 378 200,00 тыс. рублей, в 2026 году – 407 085,90 тыс. рублей, в 2027 году – 377 647,00 тыс. рублей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26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Перечисление субсидий осуществляется в пределах кассового плана по расходам краевого бюджета в соответствии с планом-графиком перечисления субсидий, установленным в приложении к Соглашению.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27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Министерство перечисляет субсидию на расчетный или корреспондентский счет, открытый получателем субсидии в учреждениях Центрального банка Российской Федерации или кредитной организации, реквизиты которого указаны в Соглашении,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не позднее 10 рабочего дня,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следующего за днем заключения Соглашения.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28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Ежегодно по состоянию на 31 декабря текущего года результатами предоставления субсидий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рамках ведомственного проекта «Продвижение туристского продукта»: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для мероприятия (результата) «Организовано участие Камчатского края в Восточном экономическом форуме» – количество организованных мероприятий по продвижению туристского продукта;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для мероприятия (результата) «Организованы и проведены презентационные и выставочные мероприятия, в том числе с участием Камчатского края» – количество организованных мероприятий по продвижению туристского продукта;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в) для мероприятия (результата) «Организованы и проведены маркетинговые кампании по продвижению туристского продукта» – количество организованных мероприятий по продвижению туристского продукта;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рамках ведомственного проекта «Популяризация отдельных видов туризма в Камчатском крае»: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для мероприятия (результата) «Организованы и проведены мероприятия в рамках праздника Камчатского края «Дни туризма в Камчатском крае» – количество человек, принявших участие в мероприятиях событийного туризма;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для мероприятия (результата) «Проведен краевой фестиваль «Сохраним лососей ВМЕСТЕ!» – количество человек, принявших участие в мероприятиях событийного туризма;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в) для мероприятия (результата) «Организован и проведен зимний фестиваль «Берингия» – количество человек, принявших участие в мероприятиях событийного туризма;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г) для мероприятия (результата) «Организация посещения учащимися одиннадцатых классов общеобразовательных организаций Камчатского края вертолетной экскурсии «Долина гейзеров» – количество детей школьного возраста, участвующих в туристических поездках;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рамках комплекса процессных мероприятий «Развитие инфраструктуры туристских ресурсов в Камчатском крае» для мероприятия (результата) «Обустройство и содержание туристских точек притяжения, включая создание туристских троп и маршрутов – количество созданных и обустроенных туристических объектов и маршрутов;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в рамках комплекса процессных мероприятий «Информационное обслуживание туристов и повышение качества туристских услуг»: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для мероприятия (результата) «Модернизация, поддержка и продвижение туристского сайта Камчатского края в сети Интернет» – количество просмотров туристского сайта;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для мероприятия (результата) «Организованы и проведены курсы подготовки и переподготовки специалистов сферы туризма» – количество человек, прошедших обучение на семинарах и курсах подготовки и переподготовки в сфере туризма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в) для мероприятия (результата) «Проведены туристские соревнования, слеты, конкурсы» – количество проведенных туристских соревнований, слетов, конкурсов;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5) в рамках комплекса процессных мероприятий «Организационно-аналитическое обеспечение реализации государственной программы» для мероприятия (результата) «Организованы и проведены выставки, ярмарки и другие мероприятия» – количество проведенных имиджевых и выставочно-ярмарочных мероприятий.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29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Значения результатов предоставления субсидий и сроки их достижения устанавливаются Соглашением.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30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Получатель субсидии, заключивший Соглашение, ежеквартально в срок не позднее 10 рабочего дня, следующего за отчетным кварталом, представляет в системе «Электронный бюджет» отчеты по формам, определенным типовой формой соглашения, установленной Министерством финансов Камчатского края: отчет о достижении значений результатов предоставления субсидии; отчет о реализации плана мероприятий по достижению результатов предоставления субсидии (контрольных точек); отчет о расходах, источником финансового обеспечения которых является субсидия.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Рассмотрение и принятие либо непринятие отчета, указанного в части 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0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осуществляется Министерством в течение 10 рабочих дней с момента его получения.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В случае выявления при рассмотрении отчета, указанного в части 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0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некорректного заполнения (незаполнения) получателем субсидии всех обязательных для заполнения граф в отчете и (или) выявления неполноты и (или) недостоверности сведений, содержащихся в отчете, такой отчет считается непринятым. Министерством принимается решение о непринятии отчета путем проставления в системе «Электронный бюджет» резолюции «не согласовано» к отчету с указанием причин. Получатель субсидии в этот же день информируется Министерством о непринятии отчета посредством телефонной связи.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Получатель субсидии в течение 2 рабочих дней со дня принятия Министерством решения о непринятии отчета обеспечивает устранение выявленного некорректного заполнения (незаполнения) всех обязательных для заполнения граф в отчете, или устранение неполноты и (или) недостоверности сведений в отчете и направляет его в системе «Электронный бюджет» на согласование.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4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. Министерство в течение 2 рабочих дней с момента получения отчета, представленного получателем субсидии в соответствии с частью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33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рассматривает и принимает отчет или возвращает его на доработку в соответствии с частью 35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5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Мониторинг достижения результатов предоставления субсидий, исходя из достижения значений результатов предоставления субсидий, определенных Соглашением, и событий, отражающих факт завершения соответствующего мероприятия по получению результата предоставления субсидий (контрольная точка), в порядке и по формам, которые установлены Министерством финансов Российской Федерации, осуществляется Министерством.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6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Министерство осуществляет проверки соблюдения получателем субсидий, а также лицами, получающими средства на основании договоров, заключенных с получателями субсидий, в целях исполнения обязательств по Соглашению, условий и порядка предоставления субсидий, в том числе в части достижения результатов предоставления субсидии, а органы государственного финансового контроля осуществляют проверки в соответствии со статьями 268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perscript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и 269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Бюджетного кодекса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Министерство оформляет результаты проверок в порядке, установленном пунктами 48 – 59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№ 1235.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37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Остаток субсидии, неиспользованный в отчетном финансовом году, может быть использован получателем субсидий в очередном финансовом году на цели, указанные в части 1 настоящего Порядка, при принятии Министерством в порядке, определенном Правительством Камчатского края, решения о наличии потребности в указанных средствах и включении соответствующих положений в Соглашение.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 случае отсутствия указанного решения остаток субсидии, неиспользованный в отчетном финансовом году, подлежит возврату в краевой бюджет на лицевой счет Министерства не позднее 15 февраля очередного финансового года.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38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В случае вы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явления нарушений, в том числе по фактам проверок, указанных в части 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6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получатель субсидий обязан возвратить полученные средства субсидии в краевой бюджет на лицевой счет Министерства в следующем порядке и сроки: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случае выявления нарушения Министерством – в течение 20 рабочих дней со дня получения требования Министерства;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иных случаях – в течение 20 рабочих дней со дня нарушения.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39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Получатель субсидий обязан возвратить средства субсидии в следующих размерах: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случае нарушения целей предоставления субсидии – в размере нецелевого использования средств субсидии;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случае нарушения условий и порядка предоставления субсидии – в полном объеме;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случае, если по состоянию на 31 декабря года предоставления субсидии допущен факт недостижения значений результатов, установленных в Соглашении, субсидия подлежит возврату в краевой бюджет на лицевой счет Министерства – в размере, определяемом по формуле: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V</m:t>
            </m:r>
          </m:e>
          <m:sub>
            <m:r>
              <w:rPr>
                <w:rFonts w:ascii="Cambria Math" w:hAnsi="Cambria Math"/>
              </w:rPr>
              <m:t xml:space="preserve">возврата</m:t>
            </m:r>
          </m:sub>
        </m:sSub>
        <m:r>
          <w:rPr>
            <w:rFonts w:ascii="Cambria Math" w:hAnsi="Cambria Math"/>
          </w:rPr>
          <m:t xml:space="preserve">=</m:t>
        </m:r>
        <m:sSub>
          <m:e>
            <m:r>
              <w:rPr>
                <w:rFonts w:ascii="Cambria Math" w:hAnsi="Cambria Math"/>
              </w:rPr>
              <m:t xml:space="preserve">V</m:t>
            </m:r>
          </m:e>
          <m:sub>
            <m:r>
              <w:rPr>
                <w:rFonts w:ascii="Cambria Math" w:hAnsi="Cambria Math"/>
              </w:rPr>
              <m:t xml:space="preserve">субсидии</m:t>
            </m:r>
          </m:sub>
        </m:sSub>
        <m:r>
          <w:rPr>
            <w:rFonts w:ascii="Cambria Math" w:hAnsi="Cambria Math"/>
          </w:rPr>
          <m:t xml:space="preserve">×</m:t>
        </m:r>
        <m:f>
          <m:num>
            <m:nary>
              <m:naryPr>
                <m:chr m:val="∑"/>
                <m:subHide m:val="1"/>
                <m:supHide m:val="1"/>
              </m:naryPr>
              <m:sub/>
              <m:sup/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−</m:t>
                    </m:r>
                    <m:f>
                      <m:num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факт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i</m:t>
                            </m:r>
                          </m:sub>
                        </m:sSub>
                      </m:num>
                      <m:den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план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i</m:t>
                            </m:r>
                          </m:sub>
                        </m:sSub>
                      </m:den>
                    </m:f>
                  </m:e>
                </m:d>
              </m:e>
            </m:nary>
          </m:num>
          <m:den>
            <m:r>
              <w:rPr>
                <w:rFonts w:ascii="Cambria Math" w:hAnsi="Cambria Math"/>
              </w:rPr>
              <m:t xml:space="preserve">m</m:t>
            </m:r>
          </m:den>
        </m:f>
        <m:r>
          <w:rPr>
            <w:rFonts w:ascii="Cambria Math" w:hAnsi="Cambria Math"/>
          </w:rPr>
          <m:t xml:space="preserve">×</m:t>
        </m:r>
        <m:f>
          <m:num>
            <m:r>
              <w:rPr>
                <w:rFonts w:ascii="Cambria Math" w:hAnsi="Cambria Math"/>
              </w:rPr>
              <m:t xml:space="preserve">m</m:t>
            </m:r>
          </m:num>
          <m:den>
            <m:r>
              <w:rPr>
                <w:rFonts w:ascii="Cambria Math" w:hAnsi="Cambria Math"/>
              </w:rPr>
              <m:t xml:space="preserve">n</m:t>
            </m:r>
          </m:den>
        </m:f>
      </m:oMath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, где:</w:t>
      </w:r>
    </w:p>
    <w:p>
      <w:pPr>
        <w:pStyle w:val="ConsPlusNormal"/>
        <w:spacing w:lineRule="auto" w:line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ConsPlusNormal"/>
        <w:spacing w:lineRule="auto" w:line="24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V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  <w:vertAlign w:val="subscript"/>
        </w:rPr>
        <w:t>возврата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– размер субсидии, подлежащей возврату;</w:t>
      </w:r>
    </w:p>
    <w:p>
      <w:pPr>
        <w:pStyle w:val="ConsPlusNormal"/>
        <w:spacing w:lineRule="auto" w:line="24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V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  <w:vertAlign w:val="subscript"/>
        </w:rPr>
        <w:t>субсидии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– размер субсидии, предоставленной получателю субсидий;</w:t>
      </w:r>
    </w:p>
    <w:p>
      <w:pPr>
        <w:pStyle w:val="ConsPlusNormal"/>
        <w:spacing w:lineRule="auto" w:line="24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S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  <w:vertAlign w:val="subscript"/>
        </w:rPr>
        <w:t>факт i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– фактически достигнутое значение i-го результата предоставления субсидии, установленного Соглашением;</w:t>
      </w:r>
    </w:p>
    <w:p>
      <w:pPr>
        <w:pStyle w:val="ConsPlusNormal"/>
        <w:spacing w:lineRule="auto" w:line="24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S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  <w:vertAlign w:val="subscript"/>
        </w:rPr>
        <w:t>план i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– плановое значение i-го результата предоставления субсидии, установленного Соглашением;</w:t>
      </w:r>
    </w:p>
    <w:p>
      <w:pPr>
        <w:pStyle w:val="ConsPlus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m – количество недостигнутых результатов предоставления субсидии, установленных Соглашением;</w:t>
      </w:r>
    </w:p>
    <w:p>
      <w:pPr>
        <w:pStyle w:val="ConsPlus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n – общее количество результатов предоставления субсидии, установленных Соглашением.</w:t>
      </w:r>
    </w:p>
    <w:p>
      <w:pPr>
        <w:pStyle w:val="ConsPlusNormal"/>
        <w:spacing w:lineRule="auto" w:line="24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40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. Письменное требование о возврате субсидии в краевой бюджет направляется Министерством получателю субсидий в течение 15 рабочих дней со дня выявления нарушений по фактам проверок, проведенных Министерством, посредством почтового отправления, нарочным способом, на адрес электронной почты или иным способом, обеспечивающим подтверждение получения указанного требования.</w:t>
      </w:r>
    </w:p>
    <w:p>
      <w:pPr>
        <w:pStyle w:val="ConsPlusNormal"/>
        <w:spacing w:lineRule="auto" w:line="24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4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1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. При невозврате средств субсидии в сроки, установленные частью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38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Министерство принимает необходимые меры по взысканию подлежащей возврату в краевой бюджет субсидии в судебном порядке в срок не позднее 30 рабочих дней со дня, когда Министерству стало известно о неисполнении получателем субсидий обязанности возвратить средства субсидии в краевой бюджет.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0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. В случае выявления нарушений, в том числе по фактам проверок, указанных в части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36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лица, получившие средства на основании договоров, заключенных с получателем субсидий, обязаны возвратить в сроки, указанные в требовании о возврате средств, полученных за счет средств субсидии, средства, полученные за счет средств субсидии, на счет получателя субсидий в целях последующего возврата указанных средств получателем субсидий в краевой бюджет в срок не позднее 10 рабочих дней со дня поступления денежных средств на его счет.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Письменное требование о возврате средств, полученных за счет средств субсидий, направляется получателем субсидий лицам, получившим средства на основании договоров, заключенных с получателем субсидий, и нарушившим порядок и условия предоставления субсидии, в течение 15 рабочих дней со дня выявления нарушений по фактам проверок, проведенных Министерством.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0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 В случае невозврата лицами, указанными в части 4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средств, полученных за счет средств субсидии, на счет получателя субсидий в сроки, указанные в требовании о возврате средств, полученных за счет средств субсидии, получатель субсидий, принимает необходимые меры по взысканию подлежащих возврату в краевой бюджет средств, полученных за счет средств субсидии, в судебном порядке в срок не позднее 30 рабочих дней со дня, когда получателю субсидий стало известно о неисполнении лицами, указанными в части 4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настоящего Порядка, обязанности возвратить средства, полученные за счет средств субсидии, на счет получателя субсидий.</w:t>
      </w:r>
    </w:p>
    <w:sectPr>
      <w:headerReference w:type="default" r:id="rId3"/>
      <w:type w:val="nextPage"/>
      <w:pgSz w:w="11906" w:h="16838"/>
      <w:pgMar w:left="1418" w:right="851" w:gutter="0" w:header="567" w:top="1134" w:footer="0" w:bottom="1134"/>
      <w:pgNumType w:fmt="decimal"/>
      <w:formProt w:val="false"/>
      <w:textDirection w:val="lrTb"/>
      <w:docGrid w:type="default" w:linePitch="299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14</w:t>
    </w:r>
    <w:r>
      <w:rPr>
        <w:sz w:val="28"/>
        <w:szCs w:val="28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Style11">
    <w:name w:val="Hyperlink"/>
    <w:basedOn w:val="DefaultParagraphFont"/>
    <w:link w:val="14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Подзаголовок Знак"/>
    <w:qFormat/>
    <w:rPr>
      <w:rFonts w:ascii="XO Thames" w:hAnsi="XO Thames"/>
      <w:i/>
      <w:sz w:val="24"/>
    </w:rPr>
  </w:style>
  <w:style w:type="character" w:styleId="Style13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4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5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Title"/>
    <w:next w:val="Style17"/>
    <w:link w:val="Style14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2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3">
    <w:name w:val="Header"/>
    <w:basedOn w:val="Normal"/>
    <w:link w:val="Style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563C1" w:themeColor="hyperlink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4">
    <w:name w:val="Subtitle"/>
    <w:next w:val="Normal"/>
    <w:link w:val="Style12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5">
    <w:name w:val="Footer"/>
    <w:basedOn w:val="Normal"/>
    <w:link w:val="Style1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5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64" w:before="0" w:after="0"/>
      <w:jc w:val="left"/>
    </w:pPr>
    <w:rPr>
      <w:rFonts w:ascii="Tempora LGC Uni" w:hAnsi="Tempora LGC Uni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lineRule="auto" w:line="264"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26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Application>LibreOffice/7.4.4.2$Linux_X86_64 LibreOffice_project/40$Build-2</Application>
  <AppVersion>15.0000</AppVersion>
  <Pages>16</Pages>
  <Words>4297</Words>
  <Characters>31397</Characters>
  <CharactersWithSpaces>35557</CharactersWithSpaces>
  <Paragraphs>181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2024-01-12T02:26:00Z</dcterms:created>
  <dc:creator>Кулакова Анастасия Борисовна</dc:creator>
  <dc:description/>
  <dc:language>ru-RU</dc:language>
  <cp:lastModifiedBy/>
  <dcterms:modified xsi:type="dcterms:W3CDTF">2024-12-06T17:45:46Z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