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0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0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ДЕЛАМ МЕСТНОГО САМОУПРАВЛЕНИЯ И РАЗВИТИЮ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КОРЯКСКОГО ОКРУГА КАМЧАТСКОГО КРАЯ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(Министерство по делам МСУ и развитию КО Камчатского края)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регламент реализации полномочий главного администратора доходов бюджета по взысканию дебиторской задолженности по платежам в бюджет, пеням и штрафам по ним согласно приложению к настоящему приказу.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Контроль за исполнением настоящего приказа оставляю за собой.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Настоящий приказ вступает в силу со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1982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Д.А. Прудкий</w:t>
            </w:r>
            <w:bookmarkStart w:id="3" w:name="_GoBack"/>
            <w:bookmarkEnd w:id="3"/>
          </w:p>
        </w:tc>
      </w:tr>
    </w:tbl>
    <w:p w14:paraId="22000000">
      <w:r>
        <w:br w:type="page"/>
      </w:r>
    </w:p>
    <w:p w14:paraId="23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к приказу Министерства</w:t>
      </w:r>
    </w:p>
    <w:p w14:paraId="24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делам местного самоуправления и развитию Корякского округа Камчатского 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9000000">
      <w:pPr>
        <w:spacing w:line="240" w:lineRule="auto"/>
        <w:ind/>
        <w:rPr>
          <w:rFonts w:ascii="Times New Roman" w:hAnsi="Times New Roman"/>
        </w:rPr>
      </w:pPr>
    </w:p>
    <w:p w14:paraId="2A000000">
      <w:pPr>
        <w:spacing w:after="0" w:before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Р</w:t>
      </w:r>
      <w:r>
        <w:rPr>
          <w:rFonts w:ascii="Times New Roman" w:hAnsi="Times New Roman"/>
          <w:b w:val="1"/>
          <w:caps w:val="1"/>
          <w:sz w:val="28"/>
        </w:rPr>
        <w:t>егламент</w:t>
      </w:r>
      <w:r>
        <w:rPr>
          <w:rFonts w:ascii="Times New Roman" w:hAnsi="Times New Roman"/>
          <w:b w:val="1"/>
          <w:caps w:val="1"/>
          <w:sz w:val="28"/>
        </w:rPr>
        <w:br/>
      </w:r>
      <w:r>
        <w:rPr>
          <w:rFonts w:ascii="Times New Roman" w:hAnsi="Times New Roman"/>
          <w:b w:val="1"/>
          <w:caps w:val="1"/>
          <w:sz w:val="28"/>
        </w:rPr>
        <w:t xml:space="preserve">реализации полномочий главного администратора доходов бюджета по взысканию дебиторской задолженности по платежам в бюджет, </w:t>
      </w:r>
    </w:p>
    <w:p w14:paraId="2B000000">
      <w:pPr>
        <w:spacing w:after="0" w:before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пеням и штрафам по ним</w:t>
      </w:r>
    </w:p>
    <w:p w14:paraId="2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</w:p>
    <w:p w14:paraId="2D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 Общие положения</w:t>
      </w:r>
    </w:p>
    <w:p w14:paraId="2E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1.1. Настоящий Регламент устанавливает порядок реализации Министерством по делам местного самоуправления и развитию Камчатского края полномочий главного администратора доходов краевого бюджета по взысканию дебиторской задолженности по платежам в бюджет, пеням и штрафам по ним, являющимся источниками формирования доходов бюджета Камчатского края, за исключением платежей, предусмотренных законодательством о налогах и сборах, об обязательном соцстраховании от несчастных случаев на производстве и профзаболеваний, правом Евразийского экономического союза и законодательством Российской Федерации о таможенном регулировании (далее соответственно Министерство, регламент, дебиторская задолженность по доходам).</w:t>
      </w:r>
    </w:p>
    <w:p w14:paraId="3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Структурными подразделениями Министерства, ответственными за работу с дебиторской задолженностью по доходам, являются:</w:t>
      </w:r>
    </w:p>
    <w:p w14:paraId="31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 экономики, финансов и осуществления закупок Министерства;</w:t>
      </w:r>
    </w:p>
    <w:p w14:paraId="32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aps w:val="0"/>
          <w:color w:val="252525"/>
          <w:spacing w:val="0"/>
          <w:sz w:val="28"/>
          <w:highlight w:val="white"/>
        </w:rPr>
        <w:t xml:space="preserve">отдел правовой работы с органами местного самоуправления 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  <w:highlight w:val="white"/>
        </w:rPr>
        <w:t>Управления по взаимодействию с органами местного самоуправления Министерства.</w:t>
      </w:r>
    </w:p>
    <w:p w14:paraId="3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3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.1. Отдел </w:t>
      </w:r>
      <w:r>
        <w:rPr>
          <w:rFonts w:ascii="Times New Roman" w:hAnsi="Times New Roman"/>
          <w:sz w:val="28"/>
        </w:rPr>
        <w:t xml:space="preserve">экономики, финансов и осуществления закупок Министерства </w:t>
      </w:r>
      <w:r>
        <w:rPr>
          <w:rFonts w:ascii="Times New Roman" w:hAnsi="Times New Roman"/>
          <w:sz w:val="28"/>
        </w:rPr>
        <w:t>в порядки и сроки, предусмотренные законодательством или государственным контрактом либо договором, а в случае если такие сроки не установлены — ежегодно,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37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контролирует правильность исчисления, полноту и своевременность осуществления платежей в краевой бюджет, пеней и штрафов по ним, по закрепленным источникам доходов краевого бюджета за Министерством, как за администратором доходов, в том числе контролирует:</w:t>
      </w:r>
    </w:p>
    <w:p w14:paraId="38000000">
      <w:pPr>
        <w:widowControl w:val="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фактическое зачисление платежей в краевой бюджет в размерах и сроки, установленные законодательством Р</w:t>
      </w:r>
      <w:r>
        <w:rPr>
          <w:rFonts w:ascii="Times New Roman" w:hAnsi="Times New Roman"/>
          <w:sz w:val="28"/>
        </w:rPr>
        <w:t>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>, государственным контрактом или договором, соглашением;</w:t>
      </w:r>
    </w:p>
    <w:p w14:paraId="39000000">
      <w:pPr>
        <w:widowControl w:val="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краевой бюджет, а также за начисление процентов за предоставленную отсрочку или рассрочку и пени, штрафы за просрочку уплаты платежей в краевой бюджет в порядке и случаях, предусмотренных законодательством Р</w:t>
      </w:r>
      <w:r>
        <w:rPr>
          <w:rFonts w:ascii="Times New Roman" w:hAnsi="Times New Roman"/>
          <w:sz w:val="28"/>
        </w:rPr>
        <w:t>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>;</w:t>
      </w:r>
    </w:p>
    <w:p w14:paraId="3A000000">
      <w:pPr>
        <w:widowControl w:val="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своевременное начисление неустойки, штрафов и пени;</w:t>
      </w:r>
    </w:p>
    <w:p w14:paraId="3B000000">
      <w:pPr>
        <w:widowControl w:val="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своевременное составление первичных учетных документов, обосновывающих возникновение дебиторской задолженности ил</w:t>
      </w:r>
      <w:r>
        <w:rPr>
          <w:rFonts w:ascii="Times New Roman" w:hAnsi="Times New Roman"/>
          <w:sz w:val="28"/>
        </w:rPr>
        <w:t>и оформляющих операции по ее увеличению или уменьшению (списанию), а также своевременное их отражение в бюджетном учете.</w:t>
      </w:r>
    </w:p>
    <w:p w14:paraId="3C000000">
      <w:pPr>
        <w:widowControl w:val="1"/>
        <w:tabs>
          <w:tab w:leader="none" w:pos="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ежегодно</w:t>
      </w:r>
      <w:r>
        <w:rPr>
          <w:rFonts w:ascii="Times New Roman" w:hAnsi="Times New Roman"/>
          <w:sz w:val="28"/>
        </w:rPr>
        <w:t xml:space="preserve"> обеспеч</w:t>
      </w:r>
      <w:r>
        <w:rPr>
          <w:rFonts w:ascii="Times New Roman" w:hAnsi="Times New Roman"/>
          <w:sz w:val="28"/>
        </w:rPr>
        <w:t>ивает проведение анализа расчетов с должниками, включая сверку данных по доходам краевого бюджета,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>
        <w:rPr>
          <w:rFonts w:ascii="Times New Roman" w:hAnsi="Times New Roman"/>
          <w:sz w:val="28"/>
        </w:rPr>
        <w:t>;</w:t>
      </w:r>
    </w:p>
    <w:p w14:paraId="3D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части дебиторской задолженности по доходам, ежегодно проводит мониторинг финансового или платежного состояния должников, в том числе при проведении мероприятий по инвентаризации дебиторской задолженности по доходам на предмет:</w:t>
      </w:r>
    </w:p>
    <w:p w14:paraId="3E000000">
      <w:pPr>
        <w:widowControl w:val="1"/>
        <w:numPr>
          <w:ilvl w:val="0"/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сведений о взыскании с должника денежны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средств в рамках исполнительного производства;</w:t>
      </w:r>
    </w:p>
    <w:p w14:paraId="3F000000">
      <w:pPr>
        <w:widowControl w:val="1"/>
        <w:numPr>
          <w:ilvl w:val="0"/>
          <w:numId w:val="4"/>
        </w:numPr>
        <w:tabs>
          <w:tab w:leader="none" w:pos="396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сведений о возбуждении в отношении должника дела о банкротстве.</w:t>
      </w:r>
    </w:p>
    <w:p w14:paraId="40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</w:t>
      </w:r>
      <w:r>
        <w:rPr>
          <w:rFonts w:ascii="Times New Roman" w:hAnsi="Times New Roman"/>
          <w:sz w:val="28"/>
        </w:rPr>
        <w:t xml:space="preserve">воевременно направляет предложения в постоянно действующую </w:t>
      </w:r>
      <w:r>
        <w:rPr>
          <w:rFonts w:ascii="Times New Roman" w:hAnsi="Times New Roman"/>
          <w:sz w:val="28"/>
        </w:rPr>
        <w:t>комиссию по поступлению и выбытию активов (далее – комиссия), д</w:t>
      </w:r>
      <w:r>
        <w:rPr>
          <w:rFonts w:ascii="Times New Roman" w:hAnsi="Times New Roman"/>
          <w:sz w:val="28"/>
        </w:rPr>
        <w:t>ля принятия решения о признании безнадежной к взысканию задолж</w:t>
      </w:r>
      <w:r>
        <w:rPr>
          <w:rFonts w:ascii="Times New Roman" w:hAnsi="Times New Roman"/>
          <w:sz w:val="28"/>
        </w:rPr>
        <w:t>енности по платежам в краевой бюджет и ее списании.</w:t>
      </w:r>
    </w:p>
    <w:p w14:paraId="41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2000000">
      <w:pPr>
        <w:widowControl w:val="1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Мероприятия по урегулированию дебиторской задолженности по доходам в досудебном по</w:t>
      </w:r>
      <w:r>
        <w:rPr>
          <w:rFonts w:ascii="Times New Roman" w:hAnsi="Times New Roman"/>
          <w:b w:val="1"/>
          <w:sz w:val="28"/>
        </w:rPr>
        <w:t xml:space="preserve">рядке </w:t>
      </w:r>
      <w:r>
        <w:rPr>
          <w:rFonts w:ascii="Times New Roman" w:hAnsi="Times New Roman"/>
          <w:b w:val="1"/>
          <w:sz w:val="28"/>
        </w:rPr>
        <w:t>(со дня истечения срока уплаты соответствующего платежа в краевой бюджет, пеней, штрафов до начала работы по их принудительному взысканию)</w:t>
      </w:r>
    </w:p>
    <w:p w14:paraId="43000000">
      <w:pPr>
        <w:widowControl w:val="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44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>
        <w:rPr>
          <w:rFonts w:ascii="Times New Roman" w:hAnsi="Times New Roman"/>
          <w:b w:val="0"/>
          <w:sz w:val="28"/>
        </w:rPr>
        <w:t>При нарушении исполнения обязательств (просрочка исполнения, неисполнение, ненадлежащее исполнение обязательств), принятых по государственным контрактам, договорам, соглашениям, заключенным Министерством, ответственные структурные подразделения Министерства осуществляют следующие мероприятия, в том числе мероприятия по взысканию дебиторской задолженности:</w:t>
      </w:r>
    </w:p>
    <w:p w14:paraId="45000000">
      <w:pPr>
        <w:widowControl w:val="1"/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направление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востребования;</w:t>
      </w:r>
    </w:p>
    <w:p w14:paraId="46000000">
      <w:pPr>
        <w:widowControl w:val="1"/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</w:t>
      </w:r>
      <w:r>
        <w:rPr>
          <w:rFonts w:ascii="Times New Roman" w:hAnsi="Times New Roman"/>
          <w:sz w:val="28"/>
        </w:rPr>
        <w:t>оссийско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>, договором (государственным контрактом, соглашением).</w:t>
      </w:r>
    </w:p>
    <w:p w14:paraId="47000000">
      <w:pPr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направление требования (претензии) должнику (поставщику, подрядчику, исполнителю по государственному контракту) об уплате неустоек (штрафов, пеней);</w:t>
      </w:r>
    </w:p>
    <w:p w14:paraId="48000000">
      <w:pPr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рассмотрение вопроса о возможности расторжения государственного контракта или договора, предоставления отсрочки или рассрочки платежа, реструктуризации дебиторской задолженности по доходам в порядке, в сроки и в случаях, предусмотренных законодательством Р</w:t>
      </w:r>
      <w:r>
        <w:rPr>
          <w:rFonts w:ascii="Times New Roman" w:hAnsi="Times New Roman"/>
          <w:sz w:val="28"/>
        </w:rPr>
        <w:t>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государственным контрактом, договором или соглашением.</w:t>
      </w:r>
    </w:p>
    <w:p w14:paraId="49000000">
      <w:pPr>
        <w:widowControl w:val="1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aps w:val="0"/>
          <w:color w:val="252525"/>
          <w:spacing w:val="0"/>
          <w:sz w:val="28"/>
        </w:rPr>
        <w:t xml:space="preserve">Отдел правовой работы с органами местного самоуправления 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</w:rPr>
        <w:t>Управления по взаимодействию с органами местного самоуправления Министерства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 интересы Министерства 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</w:t>
      </w:r>
      <w:r>
        <w:rPr>
          <w:rFonts w:ascii="Times New Roman" w:hAnsi="Times New Roman"/>
          <w:sz w:val="28"/>
        </w:rPr>
        <w:t>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</w:rPr>
        <w:t>.</w:t>
      </w:r>
    </w:p>
    <w:p w14:paraId="4A000000">
      <w:pPr>
        <w:widowControl w:val="1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aps w:val="0"/>
          <w:color w:val="252525"/>
          <w:spacing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тветственные структурные подразделения Министерства могут</w:t>
      </w:r>
      <w:r>
        <w:rPr>
          <w:rFonts w:ascii="Times New Roman" w:hAnsi="Times New Roman"/>
          <w:sz w:val="28"/>
        </w:rPr>
        <w:t xml:space="preserve"> информировать посредством телефонной связи должника по дебиторской задолженности по доходам в течение срока добровольного погашения задолженности.</w:t>
      </w:r>
    </w:p>
    <w:p w14:paraId="4B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>
        <w:rPr>
          <w:rFonts w:ascii="Times New Roman" w:hAnsi="Times New Roman"/>
          <w:sz w:val="28"/>
        </w:rPr>
        <w:t xml:space="preserve">Отдел экономики, финансов и осуществления закупок Министерства </w:t>
      </w:r>
      <w:r>
        <w:rPr>
          <w:rFonts w:ascii="Times New Roman" w:hAnsi="Times New Roman"/>
          <w:sz w:val="28"/>
        </w:rPr>
        <w:t>при выявлении в ходе контроля за поступлением доходов в краевой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4C000000">
      <w:pPr>
        <w:widowControl w:val="1"/>
        <w:numPr>
          <w:numId w:val="7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производит расчет задолженности по пеням и штрафам;</w:t>
      </w:r>
    </w:p>
    <w:p w14:paraId="4D000000">
      <w:pPr>
        <w:widowControl w:val="1"/>
        <w:numPr>
          <w:numId w:val="7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направляет должнику требование (претензию) о погашении </w:t>
      </w:r>
      <w:r>
        <w:rPr>
          <w:rFonts w:ascii="Times New Roman" w:hAnsi="Times New Roman"/>
          <w:sz w:val="28"/>
        </w:rPr>
        <w:t>задолженности в пятнадцатидневный срок с приложением расчета задолженности по пеням и штрафам.</w:t>
      </w:r>
    </w:p>
    <w:p w14:paraId="4E000000">
      <w:pPr>
        <w:numPr>
          <w:ilvl w:val="0"/>
          <w:numId w:val="0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F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4. Мероприятия по принудительному взысканию дебиторской задолженности</w:t>
      </w:r>
    </w:p>
    <w:p w14:paraId="50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51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14:paraId="52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тветственные структурные подразделения Министерства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30 рабочих дней с даты получения информации, указанной в пункте 4.1 регламента, подготавливают и направляют исковое заявление о взыскании просроченной дебиторской задолженности в суд.</w:t>
      </w:r>
    </w:p>
    <w:p w14:paraId="53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В течение 10 рабочих дней со дня поступления в Министерство исполнительного документа, 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  <w:highlight w:val="white"/>
        </w:rPr>
        <w:t xml:space="preserve">Отдел правовой работы с органами местного самоуправления 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  <w:highlight w:val="white"/>
        </w:rPr>
        <w:t>Управления по взаимодействию с органами местного самоуправления Министерства</w:t>
      </w:r>
      <w:r>
        <w:rPr>
          <w:rFonts w:ascii="Times New Roman" w:hAnsi="Times New Roman"/>
          <w:sz w:val="28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14:paraId="54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При принятии судом решения о полном (частичном) отказе в удовлетворении заявленных требований, 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  <w:highlight w:val="white"/>
        </w:rPr>
        <w:t xml:space="preserve">Отдел правовой работы с органами местного самоуправления 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  <w:highlight w:val="white"/>
        </w:rPr>
        <w:t>Управления по взаимодействию с органами местного самоуправления Министерства</w:t>
      </w:r>
      <w:r>
        <w:rPr>
          <w:rFonts w:ascii="Times New Roman" w:hAnsi="Times New Roman"/>
          <w:sz w:val="28"/>
        </w:rPr>
        <w:t xml:space="preserve"> обеспечивает принятие исчерпывающих мер по обжалованию судебных актов.</w:t>
      </w:r>
    </w:p>
    <w:p w14:paraId="55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Документы о ходе претензионно-исковой работы по взысканию задолженности, в том числе судебные акты, на бумажном носителе хранятся в 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  <w:highlight w:val="white"/>
        </w:rPr>
        <w:t xml:space="preserve">Отделе правовой работы с органами местного самоуправления 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  <w:highlight w:val="white"/>
        </w:rPr>
        <w:t>Управления по взаимодействию с органами местного самоуправления Министерства</w:t>
      </w:r>
      <w:r>
        <w:rPr>
          <w:rFonts w:ascii="Times New Roman" w:hAnsi="Times New Roman"/>
          <w:sz w:val="28"/>
        </w:rPr>
        <w:t>.</w:t>
      </w:r>
    </w:p>
    <w:p w14:paraId="56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57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58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59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  <w:highlight w:val="white"/>
        </w:rPr>
        <w:t xml:space="preserve">Отдел правовой работы с органами местного самоуправления </w:t>
      </w:r>
      <w:r>
        <w:rPr>
          <w:rFonts w:ascii="Times New Roman" w:hAnsi="Times New Roman"/>
          <w:b w:val="0"/>
          <w:caps w:val="0"/>
          <w:color w:val="252525"/>
          <w:spacing w:val="0"/>
          <w:sz w:val="28"/>
          <w:highlight w:val="white"/>
        </w:rPr>
        <w:t>Управления по взаимодействию с органами местного самоуправления Министерства</w:t>
      </w:r>
      <w:r>
        <w:rPr>
          <w:rFonts w:ascii="Times New Roman" w:hAnsi="Times New Roman"/>
          <w:sz w:val="28"/>
        </w:rPr>
        <w:t xml:space="preserve"> осуществляет, при необходимости, взаимодействие со службой судебных приставов, включающее в себя:</w:t>
      </w:r>
    </w:p>
    <w:p w14:paraId="5A000000">
      <w:pPr>
        <w:numPr>
          <w:ilvl w:val="0"/>
          <w:numId w:val="0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5B000000">
      <w:pPr>
        <w:numPr>
          <w:ilvl w:val="0"/>
          <w:numId w:val="0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проводит мониторинг эффективности</w:t>
      </w:r>
      <w:r>
        <w:rPr>
          <w:rFonts w:ascii="Times New Roman" w:hAnsi="Times New Roman"/>
          <w:sz w:val="28"/>
        </w:rPr>
        <w:t xml:space="preserve"> взыскания просроченной дебиторской задолженности в рамках исполнительного производ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тва.</w:t>
      </w: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1"/>
    <w:link w:val="Style_16_ch"/>
    <w:rPr>
      <w:color w:themeColor="hyperlink" w:val="0563C1"/>
      <w:u w:val="single"/>
    </w:rPr>
  </w:style>
  <w:style w:styleId="Style_16_ch" w:type="character">
    <w:name w:val="Hyperlink"/>
    <w:basedOn w:val="Style_11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4_ch"/>
    <w:link w:val="Style_21"/>
    <w:rPr>
      <w:rFonts w:ascii="Times New Roman" w:hAnsi="Times New Roman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2024-01-22T23:21:18Z</dcterms:modified>
</cp:coreProperties>
</file>