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ЖИЛИЩНОЙ ПОЛИТИКИ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142" w:hanging="142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kern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kern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kern w:val="0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kern w:val="0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jc w:val="both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  <w:highlight w:val="none"/>
        </w:rPr>
      </w:pPr>
    </w:p>
    <w:p>
      <w:pPr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ка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>компенсации части стоимости домокомплекта гражданам, являющимся участниками специальной военной операции, и членам их семей в Камчатском крае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widowControl w:val="0"/>
        <w:spacing w:before="0"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ru-RU" w:bidi="ar-SA"/>
        </w:rPr>
        <w:t>В соответствии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ru-RU" w:bidi="ar-SA"/>
        </w:rPr>
        <w:t xml:space="preserve"> с частью 3 постановления Правительства Камчатского края от __.__.2025 № ___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 установлении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расходного обязательства Камчатского края по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компенсации части стоимости домокомплекта гражданам, являющимся участниками специальной военной операции, и членам их семей 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ru-RU" w:bidi="ar-SA"/>
        </w:rPr>
        <w:t>»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8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eastAsia="zh-C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1. Уст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 w:eastAsia="ru-RU"/>
        </w:rPr>
        <w:t>ановить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Поряд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ок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предоставления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компенсации части стоимости домокомплекта гражданам, являющимся участниками специальной военной операции, и членам их семей в Камчатском крае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согласно приложению.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Настоящий приказ вступает в силу через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10 дней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после дня его официального опубликования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 распространяется на право</w:t>
      </w:r>
      <w:bookmarkStart w:id="2" w:name="_GoBack"/>
      <w:bookmarkEnd w:id="2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отношения, возникающие с 1 января 2026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</w:p>
    <w:tbl>
      <w:tblPr>
        <w:tblStyle w:val="12"/>
        <w:tblW w:w="967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4537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2585" w:type="dxa"/>
            <w:shd w:val="clear" w:color="auto" w:fill="auto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ind w:left="30" w:right="27"/>
              <w:jc w:val="left"/>
              <w:textAlignment w:val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lang w:val="ru-RU"/>
              </w:rPr>
              <w:t>Министр</w:t>
            </w:r>
          </w:p>
        </w:tc>
        <w:tc>
          <w:tcPr>
            <w:tcW w:w="4537" w:type="dxa"/>
            <w:shd w:val="clear" w:color="auto" w:fill="auto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0" w:line="240" w:lineRule="auto"/>
              <w:jc w:val="right"/>
              <w:textAlignment w:val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А.В. Фирстов</w:t>
            </w:r>
          </w:p>
        </w:tc>
      </w:tr>
    </w:tbl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br w:type="page"/>
      </w:r>
    </w:p>
    <w:p>
      <w:pPr>
        <w:keepNext w:val="0"/>
        <w:keepLines w:val="0"/>
        <w:widowControl w:val="0"/>
        <w:tabs>
          <w:tab w:val="left" w:pos="8222"/>
        </w:tabs>
        <w:overflowPunct w:val="0"/>
        <w:bidi w:val="0"/>
        <w:snapToGrid/>
        <w:spacing w:before="0" w:after="0" w:line="240" w:lineRule="auto"/>
        <w:ind w:left="4840" w:right="-2" w:firstLine="0"/>
        <w:textAlignment w:val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 к приказу Министерства</w:t>
      </w:r>
    </w:p>
    <w:p>
      <w:pPr>
        <w:keepNext w:val="0"/>
        <w:keepLines w:val="0"/>
        <w:pageBreakBefore w:val="0"/>
        <w:widowControl w:val="0"/>
        <w:overflowPunct w:val="0"/>
        <w:bidi w:val="0"/>
        <w:snapToGrid/>
        <w:spacing w:before="0" w:after="0" w:line="240" w:lineRule="auto"/>
        <w:ind w:left="4840" w:right="-2" w:firstLine="0"/>
        <w:jc w:val="left"/>
        <w:textAlignment w:val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 жилищной политики Камчатского края</w:t>
      </w:r>
    </w:p>
    <w:tbl>
      <w:tblPr>
        <w:tblStyle w:val="36"/>
        <w:tblW w:w="4933" w:type="dxa"/>
        <w:tblInd w:w="47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82"/>
        <w:gridCol w:w="486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ind w:left="-65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</w:t>
            </w:r>
            <w:r>
              <w:rPr>
                <w:rFonts w:ascii="Times New Roman" w:hAnsi="Times New Roman" w:cs="Times New Roman"/>
                <w:color w:val="FFFFFF" w:themeColor="background1"/>
                <w:kern w:val="0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kern w:val="0"/>
                <w:sz w:val="16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EGDATESTAMP</w:t>
            </w:r>
            <w:r>
              <w:rPr>
                <w:rFonts w:ascii="Times New Roman" w:hAnsi="Times New Roman" w:cs="Times New Roman"/>
                <w:color w:val="FFFFFF" w:themeColor="background1"/>
                <w:kern w:val="0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0" w:after="60" w:line="24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kern w:val="0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>
      <w:pPr>
        <w:keepNext w:val="0"/>
        <w:keepLines w:val="0"/>
        <w:widowControl w:val="0"/>
        <w:spacing w:before="0"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widowControl w:val="0"/>
        <w:spacing w:before="0"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widowControl w:val="0"/>
        <w:spacing w:before="0"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Порядок</w:t>
      </w:r>
    </w:p>
    <w:p>
      <w:pPr>
        <w:keepNext w:val="0"/>
        <w:keepLines w:val="0"/>
        <w:widowControl w:val="0"/>
        <w:spacing w:before="0"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предоставления компенсации части стоимости домокомплекта гражданам, являющимся участниками специальной военной операции, и членам их семей</w:t>
      </w:r>
    </w:p>
    <w:p>
      <w:pPr>
        <w:keepNext w:val="0"/>
        <w:keepLines w:val="0"/>
        <w:widowControl w:val="0"/>
        <w:spacing w:before="0"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Камчатском крае</w:t>
      </w:r>
    </w:p>
    <w:p>
      <w:pPr>
        <w:keepNext w:val="0"/>
        <w:keepLines w:val="0"/>
        <w:widowControl w:val="0"/>
        <w:spacing w:before="0"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Настоящий Порядок определяет правила предоставления за счет средств краевого бюджета компенсации части стоимости домокомплекта, приобретенного гражданами для строительства индивидуального жилого дома на принадлежащем им на праве собственности земельном участке, в Камчатском крае (далее </w:t>
      </w:r>
      <w:r>
        <w:rPr>
          <w:rFonts w:ascii="Times New Roman" w:hAnsi="Times New Roman"/>
          <w:sz w:val="28"/>
          <w:lang w:val="en-US" w:eastAsia="zh-CN"/>
        </w:rPr>
        <w:t>–</w:t>
      </w:r>
      <w:r>
        <w:rPr>
          <w:rFonts w:ascii="Times New Roman" w:hAnsi="Times New Roman"/>
          <w:sz w:val="28"/>
          <w:lang w:val="ru-RU"/>
        </w:rPr>
        <w:t xml:space="preserve"> компенсация).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Предоставление компенсации осуществляется Министерством строительства и жилищной политики Камчатского края (далее </w:t>
      </w:r>
      <w:r>
        <w:rPr>
          <w:rFonts w:ascii="Times New Roman" w:hAnsi="Times New Roman"/>
          <w:sz w:val="28"/>
          <w:lang w:val="en-US" w:eastAsia="zh-CN"/>
        </w:rPr>
        <w:t>–</w:t>
      </w:r>
      <w:r>
        <w:rPr>
          <w:rFonts w:ascii="Times New Roman" w:hAnsi="Times New Roman"/>
          <w:sz w:val="28"/>
          <w:lang w:val="ru-RU"/>
        </w:rPr>
        <w:t xml:space="preserve"> Министерство)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Министерству на соответствующие цели.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Под домокомплектом в настоящем Порядке понимается предназначенная для строительства индивидуального жилого дома совокупность конструкций, деталей, изделий и материалов, произведенных заводским способом, приобретенная у юридического лица (индивидуального предпринимателя), являющегося</w:t>
      </w:r>
      <w:r>
        <w:rPr>
          <w:rFonts w:hint="default" w:ascii="Times New Roman" w:hAnsi="Times New Roman"/>
          <w:sz w:val="28"/>
          <w:lang w:val="ru-RU"/>
        </w:rPr>
        <w:t xml:space="preserve"> производителем домокомплектов</w:t>
      </w:r>
      <w:r>
        <w:rPr>
          <w:rFonts w:ascii="Times New Roman" w:hAnsi="Times New Roman"/>
          <w:sz w:val="28"/>
          <w:lang w:val="ru-RU"/>
        </w:rPr>
        <w:t>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Право на получение компенсации предоставляется гражданам, являющимся участниками специальной военной операции, гражданам, члены семьи которых являются участниками специальной военной операции, приобретшим в собственность земельный участок в соответствии с Законом Камчатского края от 02.10.2023 № 251 «О предоставлении земельных участков в собственность отдельных категорий граждан, принимающих (принимавших) участие в специальной военной операции, и членов их семей в Камчатском крае» (далее </w:t>
      </w:r>
      <w:r>
        <w:rPr>
          <w:rFonts w:ascii="Times New Roman" w:hAnsi="Times New Roman"/>
          <w:sz w:val="28"/>
          <w:lang w:val="en-US" w:eastAsia="zh-CN"/>
        </w:rPr>
        <w:t>–</w:t>
      </w:r>
      <w:r>
        <w:rPr>
          <w:rFonts w:ascii="Times New Roman" w:hAnsi="Times New Roman"/>
          <w:sz w:val="28"/>
          <w:lang w:val="ru-RU"/>
        </w:rPr>
        <w:t xml:space="preserve"> граждане).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 w:eastAsia="zh-CN"/>
        </w:rPr>
        <w:t>Размер предоставляемой гражданам, указанным в части 4 настоящего Порядка, компенсации составляет один</w:t>
      </w:r>
      <w:r>
        <w:rPr>
          <w:rFonts w:hint="default" w:ascii="Times New Roman" w:hAnsi="Times New Roman"/>
          <w:sz w:val="28"/>
          <w:lang w:val="ru-RU" w:eastAsia="zh-CN"/>
        </w:rPr>
        <w:t xml:space="preserve"> миллион</w:t>
      </w:r>
      <w:r>
        <w:rPr>
          <w:rFonts w:ascii="Times New Roman" w:hAnsi="Times New Roman"/>
          <w:sz w:val="28"/>
          <w:lang w:val="ru-RU" w:eastAsia="zh-CN"/>
        </w:rPr>
        <w:t xml:space="preserve"> рублей.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 w:eastAsia="zh-CN"/>
        </w:rPr>
        <w:t xml:space="preserve">Право гражданина на компенсацию удостоверяется сертификатом, представляющим собой именной документ, подтверждающий право на получение компенсации и не являющийся ценной бумагой. Форма сертификата определяется Министерством.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 w:eastAsia="zh-CN"/>
        </w:rPr>
        <w:t xml:space="preserve">Решение о предоставлении гражданину компенсации принимается Министерством </w:t>
      </w:r>
      <w:r>
        <w:rPr>
          <w:rFonts w:ascii="Times New Roman" w:hAnsi="Times New Roman"/>
          <w:sz w:val="28"/>
          <w:lang w:val="en-US" w:eastAsia="zh-CN"/>
        </w:rPr>
        <w:t xml:space="preserve">на основании следующих документов (информации): </w:t>
      </w:r>
    </w:p>
    <w:p>
      <w:pPr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>представляемых гражданином</w:t>
      </w:r>
      <w:r>
        <w:rPr>
          <w:rFonts w:ascii="Times New Roman" w:hAnsi="Times New Roman"/>
          <w:sz w:val="28"/>
          <w:lang w:val="ru-RU" w:eastAsia="zh-CN"/>
        </w:rPr>
        <w:t xml:space="preserve"> в Министерство</w:t>
      </w:r>
      <w:r>
        <w:rPr>
          <w:rFonts w:ascii="Times New Roman" w:hAnsi="Times New Roman"/>
          <w:sz w:val="28"/>
          <w:lang w:val="en-US" w:eastAsia="zh-CN"/>
        </w:rPr>
        <w:t xml:space="preserve">: 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а) заявления о </w:t>
      </w:r>
      <w:r>
        <w:rPr>
          <w:rFonts w:ascii="Times New Roman" w:hAnsi="Times New Roman"/>
          <w:sz w:val="28"/>
          <w:lang w:val="ru-RU" w:eastAsia="zh-CN"/>
        </w:rPr>
        <w:t>предоставлении компенсации</w:t>
      </w:r>
      <w:r>
        <w:rPr>
          <w:rFonts w:ascii="Times New Roman" w:hAnsi="Times New Roman"/>
          <w:sz w:val="28"/>
          <w:lang w:val="en-US" w:eastAsia="zh-CN"/>
        </w:rPr>
        <w:t>;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en-US" w:eastAsia="zh-CN"/>
        </w:rPr>
        <w:t>б) документ</w:t>
      </w:r>
      <w:r>
        <w:rPr>
          <w:rFonts w:ascii="Times New Roman" w:hAnsi="Times New Roman"/>
          <w:sz w:val="28"/>
          <w:lang w:val="ru-RU" w:eastAsia="zh-CN"/>
        </w:rPr>
        <w:t>а</w:t>
      </w:r>
      <w:r>
        <w:rPr>
          <w:rFonts w:ascii="Times New Roman" w:hAnsi="Times New Roman"/>
          <w:sz w:val="28"/>
          <w:lang w:val="en-US" w:eastAsia="zh-CN"/>
        </w:rPr>
        <w:t>, удостоверяющ</w:t>
      </w:r>
      <w:r>
        <w:rPr>
          <w:rFonts w:ascii="Times New Roman" w:hAnsi="Times New Roman"/>
          <w:sz w:val="28"/>
          <w:lang w:val="ru-RU" w:eastAsia="zh-CN"/>
        </w:rPr>
        <w:t>его</w:t>
      </w:r>
      <w:r>
        <w:rPr>
          <w:rFonts w:ascii="Times New Roman" w:hAnsi="Times New Roman"/>
          <w:sz w:val="28"/>
          <w:lang w:val="en-US" w:eastAsia="zh-CN"/>
        </w:rPr>
        <w:t xml:space="preserve"> личность гражданина</w:t>
      </w:r>
      <w:r>
        <w:rPr>
          <w:rFonts w:ascii="Times New Roman" w:hAnsi="Times New Roman"/>
          <w:sz w:val="28"/>
          <w:lang w:val="ru-RU" w:eastAsia="zh-CN"/>
        </w:rPr>
        <w:t>;</w:t>
      </w:r>
    </w:p>
    <w:p>
      <w:pPr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>документов (информации), запрашиваемых в порядке межведомственного информационного взаимодействия в</w:t>
      </w:r>
      <w:r>
        <w:rPr>
          <w:rFonts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>орган</w:t>
      </w:r>
      <w:r>
        <w:rPr>
          <w:rFonts w:ascii="Times New Roman" w:hAnsi="Times New Roman"/>
          <w:sz w:val="28"/>
          <w:lang w:val="ru-RU" w:eastAsia="zh-CN"/>
        </w:rPr>
        <w:t>ах</w:t>
      </w:r>
      <w:r>
        <w:rPr>
          <w:rFonts w:ascii="Times New Roman" w:hAnsi="Times New Roman"/>
          <w:sz w:val="28"/>
          <w:lang w:val="en-US" w:eastAsia="zh-CN"/>
        </w:rPr>
        <w:t xml:space="preserve"> государственной власти, органах местного самоуправления и подведомственных органам государственной власти или органам местного</w:t>
      </w:r>
      <w:r>
        <w:rPr>
          <w:rFonts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 xml:space="preserve">самоуправления организациях, в распоряжении которых находятся данные документы и (или) информация: 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а) документов (информации) из Единого государственного реестра недвижимости о наличии (отсутствии) у гражданина зарегистрированных прав на </w:t>
      </w:r>
      <w:r>
        <w:rPr>
          <w:rFonts w:ascii="Times New Roman" w:hAnsi="Times New Roman"/>
          <w:sz w:val="28"/>
          <w:lang w:val="ru-RU" w:eastAsia="zh-CN"/>
        </w:rPr>
        <w:t>земельный участок, на котором планируется строительство индивидуального жилого дома</w:t>
      </w:r>
      <w:r>
        <w:rPr>
          <w:rFonts w:ascii="Times New Roman" w:hAnsi="Times New Roman"/>
          <w:sz w:val="28"/>
          <w:lang w:val="en-US" w:eastAsia="zh-CN"/>
        </w:rPr>
        <w:t xml:space="preserve">; 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 w:eastAsia="zh-CN"/>
        </w:rPr>
        <w:t>б</w:t>
      </w:r>
      <w:r>
        <w:rPr>
          <w:rFonts w:ascii="Times New Roman" w:hAnsi="Times New Roman"/>
          <w:sz w:val="28"/>
          <w:lang w:val="en-US" w:eastAsia="zh-CN"/>
        </w:rPr>
        <w:t xml:space="preserve">) документов (информации) органа </w:t>
      </w:r>
      <w:r>
        <w:rPr>
          <w:rFonts w:ascii="Times New Roman" w:hAnsi="Times New Roman"/>
          <w:sz w:val="28"/>
          <w:lang w:val="ru-RU" w:eastAsia="zh-CN"/>
        </w:rPr>
        <w:t>местного самоуправления муниципального образования в Камчатском крае, подтверждающих предоставление гражданину земельного участка в соответствии с Законом Камчатского края от 02.10.2023 № 251 «О предоставлении земельных участ</w:t>
      </w:r>
      <w:r>
        <w:rPr>
          <w:rFonts w:ascii="Times New Roman" w:hAnsi="Times New Roman"/>
          <w:sz w:val="28"/>
          <w:lang w:val="ru-RU"/>
        </w:rPr>
        <w:t>ков в собственность отдельных категорий граждан, принимающих (принимавших) участие в специальной военной операции, и членов их семей в Камчатском крае».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Документы, указанные в пункте 2 части 7 настоящего Порядка, гражданин вправе представить самостоятельно.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Документы, представленные гражданином в соответствии с частью </w:t>
      </w:r>
      <w:r>
        <w:rPr>
          <w:rFonts w:ascii="Times New Roman" w:hAnsi="Times New Roman"/>
          <w:sz w:val="28"/>
          <w:lang w:val="ru-RU" w:eastAsia="zh-CN"/>
        </w:rPr>
        <w:t>7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регистрируются в Министерстве в день их поступления и </w:t>
      </w:r>
      <w:r>
        <w:rPr>
          <w:rFonts w:ascii="Times New Roman" w:hAnsi="Times New Roman"/>
          <w:sz w:val="28"/>
          <w:lang w:val="ru-RU" w:eastAsia="zh-CN"/>
        </w:rPr>
        <w:t>рассматриваются в срок, не превышающий 10 рабочих дней со дня их регистрации.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По результатам рассмотрения представленных гражданином документов (информации) </w:t>
      </w:r>
      <w:r>
        <w:rPr>
          <w:rFonts w:ascii="Times New Roman" w:hAnsi="Times New Roman"/>
          <w:sz w:val="28"/>
          <w:lang w:val="ru-RU" w:eastAsia="zh-CN"/>
        </w:rPr>
        <w:t xml:space="preserve">Министерством </w:t>
      </w:r>
      <w:r>
        <w:rPr>
          <w:rFonts w:ascii="Times New Roman" w:hAnsi="Times New Roman"/>
          <w:sz w:val="28"/>
          <w:lang w:val="en-US" w:eastAsia="zh-CN"/>
        </w:rPr>
        <w:t>принимает</w:t>
      </w:r>
      <w:r>
        <w:rPr>
          <w:rFonts w:ascii="Times New Roman" w:hAnsi="Times New Roman"/>
          <w:sz w:val="28"/>
          <w:lang w:val="ru-RU" w:eastAsia="zh-CN"/>
        </w:rPr>
        <w:t>ся</w:t>
      </w:r>
      <w:r>
        <w:rPr>
          <w:rFonts w:ascii="Times New Roman" w:hAnsi="Times New Roman"/>
          <w:sz w:val="28"/>
          <w:lang w:val="en-US" w:eastAsia="zh-CN"/>
        </w:rPr>
        <w:t xml:space="preserve"> одно из решений: 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1) </w:t>
      </w:r>
      <w:r>
        <w:rPr>
          <w:rFonts w:ascii="Times New Roman" w:hAnsi="Times New Roman"/>
          <w:sz w:val="28"/>
          <w:lang w:val="ru-RU" w:eastAsia="zh-CN"/>
        </w:rPr>
        <w:t>предоставить гражданину компенсацию</w:t>
      </w:r>
      <w:r>
        <w:rPr>
          <w:rFonts w:ascii="Times New Roman" w:hAnsi="Times New Roman"/>
          <w:sz w:val="28"/>
          <w:lang w:val="en-US" w:eastAsia="zh-CN"/>
        </w:rPr>
        <w:t xml:space="preserve">; 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>2) отказать</w:t>
      </w:r>
      <w:r>
        <w:rPr>
          <w:rFonts w:ascii="Times New Roman" w:hAnsi="Times New Roman"/>
          <w:sz w:val="28"/>
          <w:lang w:val="ru-RU" w:eastAsia="zh-CN"/>
        </w:rPr>
        <w:t xml:space="preserve"> в предоставлении гражданину компенсации</w:t>
      </w:r>
      <w:r>
        <w:rPr>
          <w:rFonts w:ascii="Times New Roman" w:hAnsi="Times New Roman"/>
          <w:sz w:val="28"/>
          <w:lang w:val="en-US" w:eastAsia="zh-CN"/>
        </w:rPr>
        <w:t>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Министерство в течение 5 дней со дня принятия решения, указанного в части </w:t>
      </w:r>
      <w:r>
        <w:rPr>
          <w:rFonts w:ascii="Times New Roman" w:hAnsi="Times New Roman"/>
          <w:sz w:val="28"/>
          <w:lang w:val="ru-RU" w:eastAsia="zh-CN"/>
        </w:rPr>
        <w:t>10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 готовит уведомление о принятом решении</w:t>
      </w:r>
      <w:r>
        <w:rPr>
          <w:rFonts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 xml:space="preserve">и в течение 5 дней со дня подписания направляет его в адрес гражданина почтовым отправлением либо вручает гражданину лично.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В случае принятия </w:t>
      </w:r>
      <w:r>
        <w:rPr>
          <w:rFonts w:ascii="Times New Roman" w:hAnsi="Times New Roman"/>
          <w:sz w:val="28"/>
          <w:lang w:val="ru-RU" w:eastAsia="zh-CN"/>
        </w:rPr>
        <w:t>Министерством</w:t>
      </w:r>
      <w:r>
        <w:rPr>
          <w:rFonts w:ascii="Times New Roman" w:hAnsi="Times New Roman"/>
          <w:sz w:val="28"/>
          <w:lang w:val="en-US" w:eastAsia="zh-CN"/>
        </w:rPr>
        <w:t xml:space="preserve"> решения, указанного пункте </w:t>
      </w:r>
      <w:r>
        <w:rPr>
          <w:rFonts w:ascii="Times New Roman" w:hAnsi="Times New Roman"/>
          <w:sz w:val="28"/>
          <w:lang w:val="ru-RU" w:eastAsia="zh-CN"/>
        </w:rPr>
        <w:t>1</w:t>
      </w:r>
      <w:r>
        <w:rPr>
          <w:rFonts w:ascii="Times New Roman" w:hAnsi="Times New Roman"/>
          <w:sz w:val="28"/>
          <w:lang w:val="en-US" w:eastAsia="zh-CN"/>
        </w:rPr>
        <w:t xml:space="preserve"> части </w:t>
      </w:r>
      <w:r>
        <w:rPr>
          <w:rFonts w:ascii="Times New Roman" w:hAnsi="Times New Roman"/>
          <w:sz w:val="28"/>
          <w:lang w:val="ru-RU" w:eastAsia="zh-CN"/>
        </w:rPr>
        <w:t>10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</w:t>
      </w:r>
      <w:r>
        <w:rPr>
          <w:rFonts w:ascii="Times New Roman" w:hAnsi="Times New Roman"/>
          <w:sz w:val="28"/>
          <w:lang w:val="ru-RU" w:eastAsia="zh-CN"/>
        </w:rPr>
        <w:t xml:space="preserve">Министерством издается приказ о предоставлении гражданину компенсации и изготавливается </w:t>
      </w:r>
      <w:r>
        <w:rPr>
          <w:rFonts w:ascii="Times New Roman" w:hAnsi="Times New Roman"/>
          <w:sz w:val="28"/>
          <w:lang w:val="en-US" w:eastAsia="zh-CN"/>
        </w:rPr>
        <w:t>уведомление о принятом решении</w:t>
      </w:r>
      <w:r>
        <w:rPr>
          <w:rFonts w:ascii="Times New Roman" w:hAnsi="Times New Roman"/>
          <w:sz w:val="28"/>
          <w:lang w:val="ru-RU" w:eastAsia="zh-CN"/>
        </w:rPr>
        <w:t>, которое</w:t>
      </w:r>
      <w:r>
        <w:rPr>
          <w:rFonts w:ascii="Times New Roman" w:hAnsi="Times New Roman"/>
          <w:sz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lang w:val="ru-RU" w:eastAsia="zh-CN"/>
        </w:rPr>
        <w:t xml:space="preserve">также </w:t>
      </w:r>
      <w:r>
        <w:rPr>
          <w:rFonts w:ascii="Times New Roman" w:hAnsi="Times New Roman"/>
          <w:sz w:val="28"/>
          <w:lang w:val="en-US" w:eastAsia="zh-CN"/>
        </w:rPr>
        <w:t>должно содержать</w:t>
      </w:r>
      <w:r>
        <w:rPr>
          <w:rFonts w:ascii="Times New Roman" w:hAnsi="Times New Roman"/>
          <w:sz w:val="28"/>
          <w:lang w:val="ru-RU" w:eastAsia="zh-CN"/>
        </w:rPr>
        <w:t xml:space="preserve"> информацию о возможности получения гражданином сертификата, указанного в части 6 настоящего Порядка, о месте и времени его выдачи гражданину.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В случае принятия </w:t>
      </w:r>
      <w:r>
        <w:rPr>
          <w:rFonts w:ascii="Times New Roman" w:hAnsi="Times New Roman"/>
          <w:sz w:val="28"/>
          <w:lang w:val="ru-RU" w:eastAsia="zh-CN"/>
        </w:rPr>
        <w:t>Министерством</w:t>
      </w:r>
      <w:r>
        <w:rPr>
          <w:rFonts w:ascii="Times New Roman" w:hAnsi="Times New Roman"/>
          <w:sz w:val="28"/>
          <w:lang w:val="en-US" w:eastAsia="zh-CN"/>
        </w:rPr>
        <w:t xml:space="preserve"> решения, указанного пункте 2 части </w:t>
      </w:r>
      <w:r>
        <w:rPr>
          <w:rFonts w:ascii="Times New Roman" w:hAnsi="Times New Roman"/>
          <w:sz w:val="28"/>
          <w:lang w:val="ru-RU" w:eastAsia="zh-CN"/>
        </w:rPr>
        <w:t>10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уведомление о принятом решении должно содержать разъяснения о причинах принятия такого решения и порядок его обжалования.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Основаниями для принятия </w:t>
      </w:r>
      <w:r>
        <w:rPr>
          <w:rFonts w:ascii="Times New Roman" w:hAnsi="Times New Roman"/>
          <w:sz w:val="28"/>
          <w:lang w:val="ru-RU" w:eastAsia="zh-CN"/>
        </w:rPr>
        <w:t>Министерством</w:t>
      </w:r>
      <w:r>
        <w:rPr>
          <w:rFonts w:ascii="Times New Roman" w:hAnsi="Times New Roman"/>
          <w:sz w:val="28"/>
          <w:lang w:val="en-US" w:eastAsia="zh-CN"/>
        </w:rPr>
        <w:t xml:space="preserve"> решения, указанного </w:t>
      </w:r>
      <w:r>
        <w:rPr>
          <w:rFonts w:ascii="Times New Roman" w:hAnsi="Times New Roman"/>
          <w:sz w:val="28"/>
          <w:lang w:val="ru-RU" w:eastAsia="zh-CN"/>
        </w:rPr>
        <w:t xml:space="preserve">в </w:t>
      </w:r>
      <w:r>
        <w:rPr>
          <w:rFonts w:ascii="Times New Roman" w:hAnsi="Times New Roman"/>
          <w:sz w:val="28"/>
          <w:lang w:val="en-US" w:eastAsia="zh-CN"/>
        </w:rPr>
        <w:t xml:space="preserve">пункте 2 части </w:t>
      </w:r>
      <w:r>
        <w:rPr>
          <w:rFonts w:ascii="Times New Roman" w:hAnsi="Times New Roman"/>
          <w:sz w:val="28"/>
          <w:lang w:val="ru-RU" w:eastAsia="zh-CN"/>
        </w:rPr>
        <w:t>10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являются: 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>1) несоответствие гражданина требовани</w:t>
      </w:r>
      <w:r>
        <w:rPr>
          <w:rFonts w:ascii="Times New Roman" w:hAnsi="Times New Roman"/>
          <w:sz w:val="28"/>
          <w:lang w:val="ru-RU" w:eastAsia="zh-CN"/>
        </w:rPr>
        <w:t>ям</w:t>
      </w:r>
      <w:r>
        <w:rPr>
          <w:rFonts w:ascii="Times New Roman" w:hAnsi="Times New Roman"/>
          <w:sz w:val="28"/>
          <w:lang w:val="en-US" w:eastAsia="zh-CN"/>
        </w:rPr>
        <w:t xml:space="preserve">, </w:t>
      </w:r>
      <w:r>
        <w:rPr>
          <w:rFonts w:ascii="Times New Roman" w:hAnsi="Times New Roman"/>
          <w:sz w:val="28"/>
          <w:lang w:val="ru-RU" w:eastAsia="zh-CN"/>
        </w:rPr>
        <w:t>предусмотренным</w:t>
      </w:r>
      <w:r>
        <w:rPr>
          <w:rFonts w:ascii="Times New Roman" w:hAnsi="Times New Roman"/>
          <w:sz w:val="28"/>
          <w:lang w:val="en-US" w:eastAsia="zh-CN"/>
        </w:rPr>
        <w:t xml:space="preserve"> част</w:t>
      </w:r>
      <w:r>
        <w:rPr>
          <w:rFonts w:ascii="Times New Roman" w:hAnsi="Times New Roman"/>
          <w:sz w:val="28"/>
          <w:lang w:val="ru-RU" w:eastAsia="zh-CN"/>
        </w:rPr>
        <w:t>ью</w:t>
      </w:r>
      <w:r>
        <w:rPr>
          <w:rFonts w:ascii="Times New Roman" w:hAnsi="Times New Roman"/>
          <w:sz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lang w:val="ru-RU" w:eastAsia="zh-CN"/>
        </w:rPr>
        <w:t>4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Порядка;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2) непредставление гражданином документов (информации), указанных в пункте 1 части </w:t>
      </w:r>
      <w:r>
        <w:rPr>
          <w:rFonts w:ascii="Times New Roman" w:hAnsi="Times New Roman"/>
          <w:sz w:val="28"/>
          <w:lang w:val="ru-RU" w:eastAsia="zh-CN"/>
        </w:rPr>
        <w:t>7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Порядка; 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3)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(информации), необходимого (необходимой) для предоставления </w:t>
      </w:r>
      <w:r>
        <w:rPr>
          <w:rFonts w:ascii="Times New Roman" w:hAnsi="Times New Roman"/>
          <w:sz w:val="28"/>
          <w:lang w:val="ru-RU" w:eastAsia="zh-CN"/>
        </w:rPr>
        <w:t>компенсации</w:t>
      </w:r>
      <w:r>
        <w:rPr>
          <w:rFonts w:ascii="Times New Roman" w:hAnsi="Times New Roman"/>
          <w:sz w:val="28"/>
          <w:lang w:val="en-US" w:eastAsia="zh-CN"/>
        </w:rPr>
        <w:t xml:space="preserve"> (если соответствующий документ (информация) не представлены гражданином по собственной инициативе), в случае, предусмотренном частью </w:t>
      </w:r>
      <w:r>
        <w:rPr>
          <w:rFonts w:ascii="Times New Roman" w:hAnsi="Times New Roman"/>
          <w:sz w:val="28"/>
          <w:lang w:val="ru-RU" w:eastAsia="zh-CN"/>
        </w:rPr>
        <w:t>8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 xml:space="preserve">Принятие решения, указанного </w:t>
      </w:r>
      <w:r>
        <w:rPr>
          <w:rFonts w:ascii="Times New Roman" w:hAnsi="Times New Roman"/>
          <w:sz w:val="28"/>
          <w:lang w:val="ru-RU" w:eastAsia="zh-CN"/>
        </w:rPr>
        <w:t xml:space="preserve">в </w:t>
      </w:r>
      <w:r>
        <w:rPr>
          <w:rFonts w:ascii="Times New Roman" w:hAnsi="Times New Roman"/>
          <w:sz w:val="28"/>
          <w:lang w:val="en-US" w:eastAsia="zh-CN"/>
        </w:rPr>
        <w:t xml:space="preserve">пункте 2 части </w:t>
      </w:r>
      <w:r>
        <w:rPr>
          <w:rFonts w:ascii="Times New Roman" w:hAnsi="Times New Roman"/>
          <w:sz w:val="28"/>
          <w:lang w:val="ru-RU" w:eastAsia="zh-CN"/>
        </w:rPr>
        <w:t>10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по основанию, указанному в пункте 3 части </w:t>
      </w:r>
      <w:r>
        <w:rPr>
          <w:rFonts w:ascii="Times New Roman" w:hAnsi="Times New Roman"/>
          <w:sz w:val="28"/>
          <w:lang w:val="ru-RU" w:eastAsia="zh-CN"/>
        </w:rPr>
        <w:t>14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допускается в случае, если Министерством направлено почтовым отправлением или вручено гражданину</w:t>
      </w:r>
      <w:r>
        <w:rPr>
          <w:rFonts w:ascii="Times New Roman" w:hAnsi="Times New Roman"/>
          <w:sz w:val="28"/>
          <w:lang w:val="ru-RU" w:eastAsia="zh-CN"/>
        </w:rPr>
        <w:t xml:space="preserve"> лично</w:t>
      </w:r>
      <w:r>
        <w:rPr>
          <w:rFonts w:ascii="Times New Roman" w:hAnsi="Times New Roman"/>
          <w:sz w:val="28"/>
          <w:lang w:val="en-US" w:eastAsia="zh-CN"/>
        </w:rPr>
        <w:t xml:space="preserve"> уведомление о получении такого ответа с предложением представить документы (информацию), необходимые (необходимую) для предоставления </w:t>
      </w:r>
      <w:r>
        <w:rPr>
          <w:rFonts w:ascii="Times New Roman" w:hAnsi="Times New Roman"/>
          <w:sz w:val="28"/>
          <w:lang w:val="ru-RU" w:eastAsia="zh-CN"/>
        </w:rPr>
        <w:t>компенсации</w:t>
      </w:r>
      <w:r>
        <w:rPr>
          <w:rFonts w:ascii="Times New Roman" w:hAnsi="Times New Roman"/>
          <w:sz w:val="28"/>
          <w:lang w:val="en-US" w:eastAsia="zh-CN"/>
        </w:rPr>
        <w:t>, но в течение 15 дней со дня направления уведомления от заявителя не получены такие документы (информация).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На имя гражданина, в отношении которого Министерством принято решение о предоставлении компенсации, изготавливается сертификат, в котором указываются фамилия, имя, отчество (при наличии) гражданина, имеющего право на компенсацию, размер компенсации, срок действия сертификата, дата выдачи сертификата гражданину.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 xml:space="preserve">Срок действия сертификата составляет три года с даты его выдачи, указанной в сертификате.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ru-RU" w:eastAsia="zh-CN"/>
        </w:rPr>
        <w:t xml:space="preserve">Гражданин, получивший сертификат, вправе предъявить его в Министерство для получения компенсации в срок, указанный в части 17 настоящего Порядка.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ru-RU" w:eastAsia="zh-CN"/>
        </w:rPr>
        <w:t>Сертификаты</w:t>
      </w:r>
      <w:r>
        <w:rPr>
          <w:rFonts w:hint="default" w:ascii="Times New Roman" w:hAnsi="Times New Roman"/>
          <w:sz w:val="28"/>
          <w:lang w:val="ru-RU" w:eastAsia="zh-CN"/>
        </w:rPr>
        <w:t>, предъявленные гражданами в Министерство по истечении срока, указанного в части 17 настоящего Порядка, к оплате не принимаются и подлежат уничтожению.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ru-RU" w:eastAsia="zh-CN"/>
        </w:rPr>
        <w:t>Министерство</w:t>
      </w:r>
      <w:r>
        <w:rPr>
          <w:rFonts w:hint="default" w:ascii="Times New Roman" w:hAnsi="Times New Roman"/>
          <w:sz w:val="28"/>
          <w:lang w:val="ru-RU" w:eastAsia="zh-CN"/>
        </w:rPr>
        <w:t xml:space="preserve"> в течение </w:t>
      </w:r>
      <w:r>
        <w:rPr>
          <w:rFonts w:hint="default" w:ascii="Times New Roman" w:hAnsi="Times New Roman"/>
          <w:sz w:val="28"/>
          <w:lang w:val="ru-RU" w:eastAsia="zh-CN"/>
        </w:rPr>
        <w:t xml:space="preserve">5 дней со дня поступления сертификата с истекшим сроком действия уведомляет любым доступным способом </w:t>
      </w:r>
      <w:r>
        <w:rPr>
          <w:rFonts w:ascii="Times New Roman" w:hAnsi="Times New Roman"/>
          <w:sz w:val="28"/>
          <w:lang w:val="ru-RU" w:eastAsia="zh-CN"/>
        </w:rPr>
        <w:t>гражданина</w:t>
      </w:r>
      <w:r>
        <w:rPr>
          <w:rFonts w:hint="default" w:ascii="Times New Roman" w:hAnsi="Times New Roman"/>
          <w:sz w:val="28"/>
          <w:lang w:val="ru-RU" w:eastAsia="zh-CN"/>
        </w:rPr>
        <w:t xml:space="preserve">, предъявившего в Министерство сертификат по истечении срока, указанного в части 17 настоящего Порядка, о </w:t>
      </w:r>
      <w:r>
        <w:rPr>
          <w:rFonts w:hint="default" w:ascii="Times New Roman" w:hAnsi="Times New Roman"/>
          <w:sz w:val="28"/>
          <w:lang w:val="ru-RU" w:eastAsia="zh-CN"/>
        </w:rPr>
        <w:t xml:space="preserve">невозможности получения компенсации в связи с </w:t>
      </w:r>
      <w:r>
        <w:rPr>
          <w:rFonts w:hint="default" w:ascii="Times New Roman" w:hAnsi="Times New Roman"/>
          <w:sz w:val="28"/>
          <w:lang w:val="ru-RU" w:eastAsia="zh-CN"/>
        </w:rPr>
        <w:t xml:space="preserve">истечением срока действия сертификата. 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en-US" w:eastAsia="zh-CN"/>
        </w:rPr>
        <w:t>Министерство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с момента доведения лимитов бюджетных обязательств производит расчет и формирует из числа граждан,</w:t>
      </w:r>
      <w:r>
        <w:rPr>
          <w:rFonts w:ascii="Times New Roman" w:hAnsi="Times New Roman"/>
          <w:sz w:val="28"/>
          <w:lang w:val="ru-RU" w:eastAsia="zh-CN"/>
        </w:rPr>
        <w:t xml:space="preserve"> представивших </w:t>
      </w:r>
      <w:r>
        <w:rPr>
          <w:rFonts w:ascii="Times New Roman" w:hAnsi="Times New Roman"/>
          <w:sz w:val="28"/>
          <w:lang w:val="ru-RU" w:eastAsia="zh-CN"/>
        </w:rPr>
        <w:t>сертификаты</w:t>
      </w:r>
      <w:r>
        <w:rPr>
          <w:rFonts w:hint="default"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ru-RU" w:eastAsia="zh-CN"/>
        </w:rPr>
        <w:t>в Министерство</w:t>
      </w:r>
      <w:r>
        <w:rPr>
          <w:rFonts w:ascii="Times New Roman" w:hAnsi="Times New Roman"/>
          <w:sz w:val="28"/>
          <w:lang w:val="en-US" w:eastAsia="zh-CN"/>
        </w:rPr>
        <w:t>, список граждан</w:t>
      </w:r>
      <w:r>
        <w:rPr>
          <w:rFonts w:ascii="Times New Roman" w:hAnsi="Times New Roman"/>
          <w:sz w:val="28"/>
          <w:lang w:val="ru-RU" w:eastAsia="zh-CN"/>
        </w:rPr>
        <w:t>, претендующих на получение компенсации</w:t>
      </w:r>
      <w:r>
        <w:rPr>
          <w:rFonts w:ascii="Times New Roman" w:hAnsi="Times New Roman"/>
          <w:sz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lang w:val="ru-RU" w:eastAsia="zh-CN"/>
        </w:rPr>
        <w:t xml:space="preserve">в текущем финансовом году </w:t>
      </w:r>
      <w:r>
        <w:rPr>
          <w:rFonts w:ascii="Times New Roman" w:hAnsi="Times New Roman"/>
          <w:sz w:val="28"/>
          <w:lang w:val="en-US" w:eastAsia="zh-CN"/>
        </w:rPr>
        <w:t xml:space="preserve">(далее – </w:t>
      </w:r>
      <w:r>
        <w:rPr>
          <w:rFonts w:ascii="Times New Roman" w:hAnsi="Times New Roman"/>
          <w:sz w:val="28"/>
          <w:lang w:val="ru-RU" w:eastAsia="zh-CN"/>
        </w:rPr>
        <w:t>С</w:t>
      </w:r>
      <w:r>
        <w:rPr>
          <w:rFonts w:ascii="Times New Roman" w:hAnsi="Times New Roman"/>
          <w:sz w:val="28"/>
          <w:lang w:val="en-US" w:eastAsia="zh-CN"/>
        </w:rPr>
        <w:t>писок</w:t>
      </w:r>
      <w:r>
        <w:rPr>
          <w:rFonts w:ascii="Times New Roman" w:hAnsi="Times New Roman"/>
          <w:sz w:val="28"/>
          <w:lang w:val="ru-RU" w:eastAsia="zh-CN"/>
        </w:rPr>
        <w:t xml:space="preserve"> получателей</w:t>
      </w:r>
      <w:r>
        <w:rPr>
          <w:rFonts w:ascii="Times New Roman" w:hAnsi="Times New Roman"/>
          <w:sz w:val="28"/>
          <w:lang w:val="en-US" w:eastAsia="zh-CN"/>
        </w:rPr>
        <w:t>).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en-US" w:eastAsia="zh-CN"/>
        </w:rPr>
        <w:t>В целях реализации права</w:t>
      </w:r>
      <w:r>
        <w:rPr>
          <w:rFonts w:ascii="Times New Roman" w:hAnsi="Times New Roman"/>
          <w:sz w:val="28"/>
          <w:lang w:val="ru-RU" w:eastAsia="zh-CN"/>
        </w:rPr>
        <w:t xml:space="preserve"> граждан</w:t>
      </w:r>
      <w:r>
        <w:rPr>
          <w:rFonts w:ascii="Times New Roman" w:hAnsi="Times New Roman"/>
          <w:sz w:val="28"/>
          <w:lang w:val="en-US" w:eastAsia="zh-CN"/>
        </w:rPr>
        <w:t xml:space="preserve"> на </w:t>
      </w:r>
      <w:r>
        <w:rPr>
          <w:rFonts w:ascii="Times New Roman" w:hAnsi="Times New Roman"/>
          <w:sz w:val="28"/>
          <w:lang w:val="ru-RU" w:eastAsia="zh-CN"/>
        </w:rPr>
        <w:t>компенсацию</w:t>
      </w:r>
      <w:r>
        <w:rPr>
          <w:rFonts w:ascii="Times New Roman" w:hAnsi="Times New Roman"/>
          <w:sz w:val="28"/>
          <w:lang w:val="en-US" w:eastAsia="zh-CN"/>
        </w:rPr>
        <w:t xml:space="preserve"> Министерство в течение 5 дней со дня включения в </w:t>
      </w:r>
      <w:r>
        <w:rPr>
          <w:rFonts w:ascii="Times New Roman" w:hAnsi="Times New Roman"/>
          <w:sz w:val="28"/>
          <w:lang w:val="ru-RU" w:eastAsia="zh-CN"/>
        </w:rPr>
        <w:t>С</w:t>
      </w:r>
      <w:r>
        <w:rPr>
          <w:rFonts w:ascii="Times New Roman" w:hAnsi="Times New Roman"/>
          <w:sz w:val="28"/>
          <w:lang w:val="en-US" w:eastAsia="zh-CN"/>
        </w:rPr>
        <w:t>писок</w:t>
      </w:r>
      <w:r>
        <w:rPr>
          <w:rFonts w:ascii="Times New Roman" w:hAnsi="Times New Roman"/>
          <w:sz w:val="28"/>
          <w:lang w:val="ru-RU" w:eastAsia="zh-CN"/>
        </w:rPr>
        <w:t xml:space="preserve"> получателей</w:t>
      </w:r>
      <w:r>
        <w:rPr>
          <w:rFonts w:ascii="Times New Roman" w:hAnsi="Times New Roman"/>
          <w:sz w:val="28"/>
          <w:lang w:val="en-US" w:eastAsia="zh-CN"/>
        </w:rPr>
        <w:t xml:space="preserve"> уведомляет любым доступным</w:t>
      </w:r>
      <w:r>
        <w:rPr>
          <w:rFonts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 xml:space="preserve">способом граждан, включенных в </w:t>
      </w:r>
      <w:r>
        <w:rPr>
          <w:rFonts w:ascii="Times New Roman" w:hAnsi="Times New Roman"/>
          <w:sz w:val="28"/>
          <w:lang w:val="ru-RU" w:eastAsia="zh-CN"/>
        </w:rPr>
        <w:t>С</w:t>
      </w:r>
      <w:r>
        <w:rPr>
          <w:rFonts w:ascii="Times New Roman" w:hAnsi="Times New Roman"/>
          <w:sz w:val="28"/>
          <w:lang w:val="en-US" w:eastAsia="zh-CN"/>
        </w:rPr>
        <w:t>писок</w:t>
      </w:r>
      <w:r>
        <w:rPr>
          <w:rFonts w:ascii="Times New Roman" w:hAnsi="Times New Roman"/>
          <w:sz w:val="28"/>
          <w:lang w:val="ru-RU" w:eastAsia="zh-CN"/>
        </w:rPr>
        <w:t xml:space="preserve"> получателей</w:t>
      </w:r>
      <w:r>
        <w:rPr>
          <w:rFonts w:ascii="Times New Roman" w:hAnsi="Times New Roman"/>
          <w:sz w:val="28"/>
          <w:lang w:val="en-US" w:eastAsia="zh-CN"/>
        </w:rPr>
        <w:t xml:space="preserve">, о возможности получения </w:t>
      </w:r>
      <w:r>
        <w:rPr>
          <w:rFonts w:ascii="Times New Roman" w:hAnsi="Times New Roman"/>
          <w:sz w:val="28"/>
          <w:lang w:val="ru-RU" w:eastAsia="zh-CN"/>
        </w:rPr>
        <w:t>компенсации в текущем финансовом году</w:t>
      </w:r>
      <w:r>
        <w:rPr>
          <w:rFonts w:ascii="Times New Roman" w:hAnsi="Times New Roman"/>
          <w:sz w:val="28"/>
          <w:lang w:val="en-US" w:eastAsia="zh-CN"/>
        </w:rPr>
        <w:t xml:space="preserve"> и необходимости представления в Министерство в течение </w:t>
      </w:r>
      <w:r>
        <w:rPr>
          <w:rFonts w:ascii="Times New Roman" w:hAnsi="Times New Roman"/>
          <w:sz w:val="28"/>
          <w:lang w:val="ru-RU" w:eastAsia="zh-CN"/>
        </w:rPr>
        <w:t>30</w:t>
      </w:r>
      <w:r>
        <w:rPr>
          <w:rFonts w:ascii="Times New Roman" w:hAnsi="Times New Roman"/>
          <w:sz w:val="28"/>
          <w:lang w:val="en-US" w:eastAsia="zh-CN"/>
        </w:rPr>
        <w:t xml:space="preserve"> дней со дня получения уведомления заявления о </w:t>
      </w:r>
      <w:r>
        <w:rPr>
          <w:rFonts w:ascii="Times New Roman" w:hAnsi="Times New Roman"/>
          <w:sz w:val="28"/>
          <w:lang w:val="ru-RU" w:eastAsia="zh-CN"/>
        </w:rPr>
        <w:t>перечислении средств компенсации</w:t>
      </w:r>
      <w:r>
        <w:rPr>
          <w:rFonts w:ascii="Times New Roman" w:hAnsi="Times New Roman"/>
          <w:sz w:val="28"/>
          <w:lang w:val="en-US" w:eastAsia="zh-CN"/>
        </w:rPr>
        <w:t xml:space="preserve"> и документов, указанных в части </w:t>
      </w:r>
      <w:r>
        <w:rPr>
          <w:rFonts w:hint="default" w:ascii="Times New Roman" w:hAnsi="Times New Roman"/>
          <w:sz w:val="28"/>
          <w:lang w:val="ru-RU" w:eastAsia="zh-CN"/>
        </w:rPr>
        <w:t>23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Порядка.</w:t>
      </w:r>
    </w:p>
    <w:p>
      <w:pPr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перечисления средств компенсации гражданин представляет в Министерство следующие документы:</w:t>
      </w:r>
    </w:p>
    <w:p>
      <w:pPr>
        <w:keepNext w:val="0"/>
        <w:keepLines w:val="0"/>
        <w:widowControl w:val="0"/>
        <w:numPr>
          <w:ilvl w:val="0"/>
          <w:numId w:val="3"/>
        </w:numPr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заявление о перечислении компенсации;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2</w:t>
      </w:r>
      <w:r>
        <w:rPr>
          <w:rFonts w:ascii="Times New Roman" w:hAnsi="Times New Roman"/>
          <w:sz w:val="28"/>
          <w:lang w:val="en-US" w:eastAsia="zh-CN"/>
        </w:rPr>
        <w:t>) документ, удостоверяющи</w:t>
      </w:r>
      <w:r>
        <w:rPr>
          <w:rFonts w:ascii="Times New Roman" w:hAnsi="Times New Roman"/>
          <w:sz w:val="28"/>
          <w:lang w:val="ru-RU" w:eastAsia="zh-CN"/>
        </w:rPr>
        <w:t>й</w:t>
      </w:r>
      <w:r>
        <w:rPr>
          <w:rFonts w:ascii="Times New Roman" w:hAnsi="Times New Roman"/>
          <w:sz w:val="28"/>
          <w:lang w:val="en-US" w:eastAsia="zh-CN"/>
        </w:rPr>
        <w:t xml:space="preserve"> личность гражданина</w:t>
      </w:r>
      <w:r>
        <w:rPr>
          <w:rFonts w:ascii="Times New Roman" w:hAnsi="Times New Roman"/>
          <w:sz w:val="28"/>
          <w:lang w:val="ru-RU" w:eastAsia="zh-CN"/>
        </w:rPr>
        <w:t>;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3) документы</w:t>
      </w:r>
      <w:r>
        <w:rPr>
          <w:rFonts w:hint="default" w:ascii="Times New Roman" w:hAnsi="Times New Roman"/>
          <w:sz w:val="28"/>
          <w:lang w:val="ru-RU" w:eastAsia="zh-CN"/>
        </w:rPr>
        <w:t xml:space="preserve">, подтвержданающие </w:t>
      </w:r>
      <w:r>
        <w:rPr>
          <w:rFonts w:ascii="Times New Roman" w:hAnsi="Times New Roman"/>
          <w:sz w:val="28"/>
          <w:lang w:val="ru-RU" w:eastAsia="zh-CN"/>
        </w:rPr>
        <w:t xml:space="preserve">приобретение гражданином </w:t>
      </w:r>
      <w:r>
        <w:rPr>
          <w:rFonts w:hint="default" w:ascii="Times New Roman" w:hAnsi="Times New Roman"/>
          <w:sz w:val="28"/>
          <w:lang w:val="ru-RU" w:eastAsia="zh-CN"/>
        </w:rPr>
        <w:t xml:space="preserve">не ранее даты регистрации права собственности на земельный участок, указанный в части 4 настоящего Порядка, </w:t>
      </w:r>
      <w:r>
        <w:rPr>
          <w:rFonts w:ascii="Times New Roman" w:hAnsi="Times New Roman"/>
          <w:sz w:val="28"/>
          <w:lang w:val="ru-RU" w:eastAsia="zh-CN"/>
        </w:rPr>
        <w:t>домокомплекта</w:t>
      </w:r>
      <w:r>
        <w:rPr>
          <w:rFonts w:hint="default" w:ascii="Times New Roman" w:hAnsi="Times New Roman"/>
          <w:sz w:val="28"/>
          <w:lang w:val="ru-RU" w:eastAsia="zh-CN"/>
        </w:rPr>
        <w:t xml:space="preserve">, </w:t>
      </w:r>
      <w:r>
        <w:rPr>
          <w:rFonts w:ascii="Times New Roman" w:hAnsi="Times New Roman"/>
          <w:sz w:val="28"/>
          <w:lang w:val="ru-RU" w:eastAsia="zh-CN"/>
        </w:rPr>
        <w:t>в</w:t>
      </w:r>
      <w:r>
        <w:rPr>
          <w:rFonts w:hint="default" w:ascii="Times New Roman" w:hAnsi="Times New Roman"/>
          <w:sz w:val="28"/>
          <w:lang w:val="ru-RU" w:eastAsia="zh-CN"/>
        </w:rPr>
        <w:t xml:space="preserve"> том числе </w:t>
      </w:r>
      <w:r>
        <w:rPr>
          <w:rFonts w:ascii="Times New Roman" w:hAnsi="Times New Roman"/>
          <w:sz w:val="28"/>
          <w:lang w:val="ru-RU" w:eastAsia="zh-CN"/>
        </w:rPr>
        <w:t>содержащие сведения о площади</w:t>
      </w:r>
      <w:r>
        <w:rPr>
          <w:rFonts w:hint="default" w:ascii="Times New Roman" w:hAnsi="Times New Roman"/>
          <w:sz w:val="28"/>
          <w:lang w:val="ru-RU" w:eastAsia="zh-CN"/>
        </w:rPr>
        <w:t xml:space="preserve"> жилого дома из такого домокомплекта (по проекту) и его цене</w:t>
      </w:r>
      <w:r>
        <w:rPr>
          <w:rFonts w:ascii="Times New Roman" w:hAnsi="Times New Roman"/>
          <w:sz w:val="28"/>
          <w:lang w:val="ru-RU" w:eastAsia="zh-CN"/>
        </w:rPr>
        <w:t>;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4) документ, подтверждающий факт оплаты стоимости приобретенного домокомплекта.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 xml:space="preserve">22. </w:t>
      </w:r>
      <w:r>
        <w:rPr>
          <w:rFonts w:ascii="Times New Roman" w:hAnsi="Times New Roman"/>
          <w:sz w:val="28"/>
          <w:lang w:val="en-US" w:eastAsia="zh-CN"/>
        </w:rPr>
        <w:t xml:space="preserve">В случае непредставления гражданином документов, указанных в части </w:t>
      </w:r>
      <w:r>
        <w:rPr>
          <w:rFonts w:hint="default" w:ascii="Times New Roman" w:hAnsi="Times New Roman"/>
          <w:sz w:val="28"/>
          <w:lang w:val="ru-RU" w:eastAsia="zh-CN"/>
        </w:rPr>
        <w:t>23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в срок, определенный частью </w:t>
      </w:r>
      <w:r>
        <w:rPr>
          <w:rFonts w:hint="default" w:ascii="Times New Roman" w:hAnsi="Times New Roman"/>
          <w:sz w:val="28"/>
          <w:lang w:val="ru-RU" w:eastAsia="zh-CN"/>
        </w:rPr>
        <w:t>22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либо отказа гражданина от </w:t>
      </w:r>
      <w:r>
        <w:rPr>
          <w:rFonts w:ascii="Times New Roman" w:hAnsi="Times New Roman"/>
          <w:sz w:val="28"/>
          <w:lang w:val="ru-RU" w:eastAsia="zh-CN"/>
        </w:rPr>
        <w:t>получения компенсации</w:t>
      </w:r>
      <w:r>
        <w:rPr>
          <w:rFonts w:ascii="Times New Roman" w:hAnsi="Times New Roman"/>
          <w:sz w:val="28"/>
          <w:lang w:val="en-US" w:eastAsia="zh-CN"/>
        </w:rPr>
        <w:t xml:space="preserve">, гражданин исключается из числа граждан, претендующих на получение </w:t>
      </w:r>
      <w:r>
        <w:rPr>
          <w:rFonts w:ascii="Times New Roman" w:hAnsi="Times New Roman"/>
          <w:sz w:val="28"/>
          <w:lang w:val="ru-RU" w:eastAsia="zh-CN"/>
        </w:rPr>
        <w:t>компенсации</w:t>
      </w:r>
      <w:r>
        <w:rPr>
          <w:rFonts w:ascii="Times New Roman" w:hAnsi="Times New Roman"/>
          <w:sz w:val="28"/>
          <w:lang w:val="en-US" w:eastAsia="zh-CN"/>
        </w:rPr>
        <w:t xml:space="preserve"> в текущем финансовом году, а в </w:t>
      </w:r>
      <w:r>
        <w:rPr>
          <w:rFonts w:ascii="Times New Roman" w:hAnsi="Times New Roman"/>
          <w:sz w:val="28"/>
          <w:lang w:val="ru-RU" w:eastAsia="zh-CN"/>
        </w:rPr>
        <w:t>С</w:t>
      </w:r>
      <w:r>
        <w:rPr>
          <w:rFonts w:ascii="Times New Roman" w:hAnsi="Times New Roman"/>
          <w:sz w:val="28"/>
          <w:lang w:val="en-US" w:eastAsia="zh-CN"/>
        </w:rPr>
        <w:t>писок</w:t>
      </w:r>
      <w:r>
        <w:rPr>
          <w:rFonts w:ascii="Times New Roman" w:hAnsi="Times New Roman"/>
          <w:sz w:val="28"/>
          <w:lang w:val="ru-RU" w:eastAsia="zh-CN"/>
        </w:rPr>
        <w:t xml:space="preserve"> получателей</w:t>
      </w:r>
      <w:r>
        <w:rPr>
          <w:rFonts w:ascii="Times New Roman" w:hAnsi="Times New Roman"/>
          <w:sz w:val="28"/>
          <w:lang w:val="en-US" w:eastAsia="zh-CN"/>
        </w:rPr>
        <w:t xml:space="preserve"> включается следующий исходя из даты подачи заявления о </w:t>
      </w:r>
      <w:r>
        <w:rPr>
          <w:rFonts w:ascii="Times New Roman" w:hAnsi="Times New Roman"/>
          <w:sz w:val="28"/>
          <w:lang w:val="ru-RU" w:eastAsia="zh-CN"/>
        </w:rPr>
        <w:t>предоставлении компенсации гражданин, предъявивший сертификат в соответствии с частью 18 настоящего Порядка.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ru-RU" w:eastAsia="zh-CN"/>
        </w:rPr>
        <w:t xml:space="preserve">23. </w:t>
      </w:r>
      <w:r>
        <w:rPr>
          <w:rFonts w:ascii="Times New Roman" w:hAnsi="Times New Roman"/>
          <w:sz w:val="28"/>
          <w:lang w:val="en-US" w:eastAsia="zh-CN"/>
        </w:rPr>
        <w:t>На основании документов, указанных в част</w:t>
      </w:r>
      <w:r>
        <w:rPr>
          <w:rFonts w:ascii="Times New Roman" w:hAnsi="Times New Roman"/>
          <w:sz w:val="28"/>
          <w:lang w:val="ru-RU" w:eastAsia="zh-CN"/>
        </w:rPr>
        <w:t>и</w:t>
      </w:r>
      <w:r>
        <w:rPr>
          <w:rFonts w:ascii="Times New Roman" w:hAnsi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/>
          <w:sz w:val="28"/>
          <w:lang w:val="ru-RU" w:eastAsia="zh-CN"/>
        </w:rPr>
        <w:t>23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Порядка, Министерство издает </w:t>
      </w:r>
      <w:r>
        <w:rPr>
          <w:rFonts w:ascii="Times New Roman" w:hAnsi="Times New Roman"/>
          <w:sz w:val="28"/>
          <w:lang w:val="ru-RU" w:eastAsia="zh-CN"/>
        </w:rPr>
        <w:t>п</w:t>
      </w:r>
      <w:r>
        <w:rPr>
          <w:rFonts w:ascii="Times New Roman" w:hAnsi="Times New Roman"/>
          <w:sz w:val="28"/>
          <w:lang w:val="en-US" w:eastAsia="zh-CN"/>
        </w:rPr>
        <w:t>риказ о перечислении денежных средств и в течение 20 рабочих дней с даты их представления гражданином перечисляет денежные средства на счет</w:t>
      </w:r>
      <w:r>
        <w:rPr>
          <w:rFonts w:hint="default" w:ascii="Times New Roman" w:hAnsi="Times New Roman"/>
          <w:sz w:val="28"/>
          <w:lang w:val="ru-RU" w:eastAsia="zh-CN"/>
        </w:rPr>
        <w:t xml:space="preserve"> гражданина</w:t>
      </w:r>
      <w:r>
        <w:rPr>
          <w:rFonts w:ascii="Times New Roman" w:hAnsi="Times New Roman"/>
          <w:sz w:val="28"/>
          <w:lang w:val="en-US" w:eastAsia="zh-CN"/>
        </w:rPr>
        <w:t xml:space="preserve">, указанный </w:t>
      </w:r>
      <w:r>
        <w:rPr>
          <w:rFonts w:ascii="Times New Roman" w:hAnsi="Times New Roman"/>
          <w:sz w:val="28"/>
          <w:lang w:val="ru-RU" w:eastAsia="zh-CN"/>
        </w:rPr>
        <w:t>им</w:t>
      </w:r>
      <w:r>
        <w:rPr>
          <w:rFonts w:hint="default" w:ascii="Times New Roman" w:hAnsi="Times New Roman"/>
          <w:sz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lang w:val="en-US" w:eastAsia="zh-CN"/>
        </w:rPr>
        <w:t xml:space="preserve">в заявлении о перечислении </w:t>
      </w:r>
      <w:r>
        <w:rPr>
          <w:rFonts w:ascii="Times New Roman" w:hAnsi="Times New Roman"/>
          <w:sz w:val="28"/>
          <w:lang w:val="ru-RU" w:eastAsia="zh-CN"/>
        </w:rPr>
        <w:t>компенсации</w:t>
      </w:r>
      <w:r>
        <w:rPr>
          <w:rFonts w:ascii="Times New Roman" w:hAnsi="Times New Roman"/>
          <w:sz w:val="28"/>
          <w:lang w:val="en-US" w:eastAsia="zh-CN"/>
        </w:rPr>
        <w:t>.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 xml:space="preserve">24. В случае если стоимость приобретенного гражданином домокомплекта меньше размера компенсации, определенной частью 5 настоящего Порядка, компенсация стоимости домокомплекта производится в размере фактически понесенных гражданином расходов на его приобретение. 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en-US" w:eastAsia="zh-CN"/>
        </w:rPr>
      </w:pPr>
      <w:r>
        <w:rPr>
          <w:rFonts w:ascii="Times New Roman" w:hAnsi="Times New Roman"/>
          <w:sz w:val="28"/>
          <w:lang w:val="ru-RU" w:eastAsia="zh-CN"/>
        </w:rPr>
        <w:t xml:space="preserve">25. </w:t>
      </w:r>
      <w:r>
        <w:rPr>
          <w:rFonts w:ascii="Times New Roman" w:hAnsi="Times New Roman"/>
          <w:sz w:val="28"/>
          <w:lang w:val="en-US" w:eastAsia="zh-CN"/>
        </w:rPr>
        <w:t xml:space="preserve">Предоставление </w:t>
      </w:r>
      <w:r>
        <w:rPr>
          <w:rFonts w:ascii="Times New Roman" w:hAnsi="Times New Roman"/>
          <w:sz w:val="28"/>
          <w:lang w:val="ru-RU" w:eastAsia="zh-CN"/>
        </w:rPr>
        <w:t>компенсации</w:t>
      </w:r>
      <w:r>
        <w:rPr>
          <w:rFonts w:ascii="Times New Roman" w:hAnsi="Times New Roman"/>
          <w:sz w:val="28"/>
          <w:lang w:val="en-US" w:eastAsia="zh-CN"/>
        </w:rPr>
        <w:t xml:space="preserve"> гражданину осуществляется в форме безналичного расчета путем перечисления денежных средств на счет гражданина, открытый в кредитной организации и указанный им в заявлении о перечислении </w:t>
      </w:r>
      <w:r>
        <w:rPr>
          <w:rFonts w:ascii="Times New Roman" w:hAnsi="Times New Roman"/>
          <w:sz w:val="28"/>
          <w:lang w:val="ru-RU" w:eastAsia="zh-CN"/>
        </w:rPr>
        <w:t>компенсации</w:t>
      </w:r>
      <w:r>
        <w:rPr>
          <w:rFonts w:ascii="Times New Roman" w:hAnsi="Times New Roman"/>
          <w:sz w:val="28"/>
          <w:lang w:val="en-US" w:eastAsia="zh-CN"/>
        </w:rPr>
        <w:t>.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 w:eastAsia="zh-CN"/>
        </w:rPr>
        <w:t>26. Компенсация</w:t>
      </w:r>
      <w:r>
        <w:rPr>
          <w:rFonts w:ascii="Times New Roman" w:hAnsi="Times New Roman"/>
          <w:sz w:val="28"/>
          <w:lang w:val="en-US" w:eastAsia="zh-CN"/>
        </w:rPr>
        <w:t xml:space="preserve"> считается предоставленной гражданину с даты ее перечисления в полном объеме</w:t>
      </w:r>
      <w:r>
        <w:rPr>
          <w:rFonts w:ascii="Times New Roman" w:hAnsi="Times New Roman"/>
          <w:sz w:val="28"/>
          <w:lang w:val="ru-RU" w:eastAsia="zh-CN"/>
        </w:rPr>
        <w:t>.</w:t>
      </w:r>
    </w:p>
    <w:p>
      <w:pPr>
        <w:keepNext w:val="0"/>
        <w:keepLines w:val="0"/>
        <w:widowControl w:val="0"/>
        <w:spacing w:before="0" w:after="0" w:line="240" w:lineRule="auto"/>
        <w:ind w:left="9" w:firstLine="70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val="ru-RU" w:eastAsia="zh-CN"/>
        </w:rPr>
        <w:t>2</w:t>
      </w:r>
      <w:r>
        <w:rPr>
          <w:rFonts w:ascii="Times New Roman" w:hAnsi="Times New Roman"/>
          <w:sz w:val="28"/>
          <w:lang w:val="en-US" w:eastAsia="zh-CN"/>
        </w:rPr>
        <w:t xml:space="preserve">7. Предоставление </w:t>
      </w:r>
      <w:r>
        <w:rPr>
          <w:rFonts w:ascii="Times New Roman" w:hAnsi="Times New Roman"/>
          <w:sz w:val="28"/>
          <w:lang w:val="ru-RU" w:eastAsia="zh-CN"/>
        </w:rPr>
        <w:t>компенсации</w:t>
      </w:r>
      <w:r>
        <w:rPr>
          <w:rFonts w:ascii="Times New Roman" w:hAnsi="Times New Roman"/>
          <w:sz w:val="28"/>
          <w:lang w:val="en-US" w:eastAsia="zh-CN"/>
        </w:rPr>
        <w:t xml:space="preserve">, а также отказ гражданина от получения </w:t>
      </w:r>
      <w:r>
        <w:rPr>
          <w:rFonts w:ascii="Times New Roman" w:hAnsi="Times New Roman"/>
          <w:sz w:val="28"/>
          <w:lang w:val="ru-RU" w:eastAsia="zh-CN"/>
        </w:rPr>
        <w:t>компенсации</w:t>
      </w:r>
      <w:r>
        <w:rPr>
          <w:rFonts w:ascii="Times New Roman" w:hAnsi="Times New Roman"/>
          <w:sz w:val="28"/>
          <w:lang w:val="en-US" w:eastAsia="zh-CN"/>
        </w:rPr>
        <w:t xml:space="preserve"> в текущем финансовом году являются основаниями для исключения гражданина из </w:t>
      </w:r>
      <w:r>
        <w:rPr>
          <w:rFonts w:ascii="Times New Roman" w:hAnsi="Times New Roman"/>
          <w:sz w:val="28"/>
          <w:lang w:val="ru-RU" w:eastAsia="zh-CN"/>
        </w:rPr>
        <w:t>с</w:t>
      </w:r>
      <w:r>
        <w:rPr>
          <w:rFonts w:ascii="Times New Roman" w:hAnsi="Times New Roman"/>
          <w:sz w:val="28"/>
          <w:lang w:val="en-US" w:eastAsia="zh-CN"/>
        </w:rPr>
        <w:t>писк</w:t>
      </w:r>
      <w:r>
        <w:rPr>
          <w:rFonts w:ascii="Times New Roman" w:hAnsi="Times New Roman"/>
          <w:sz w:val="28"/>
          <w:lang w:val="ru-RU" w:eastAsia="zh-CN"/>
        </w:rPr>
        <w:t>а, указанного в части</w:t>
      </w:r>
      <w:r>
        <w:rPr>
          <w:rFonts w:ascii="Times New Roman" w:hAnsi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/>
          <w:sz w:val="28"/>
          <w:lang w:val="ru-RU" w:eastAsia="zh-CN"/>
        </w:rPr>
        <w:t>21</w:t>
      </w:r>
      <w:r>
        <w:rPr>
          <w:rFonts w:ascii="Times New Roman" w:hAnsi="Times New Roman"/>
          <w:sz w:val="28"/>
          <w:lang w:val="en-US" w:eastAsia="zh-CN"/>
        </w:rPr>
        <w:t xml:space="preserve"> настоящего Порядка.</w:t>
      </w:r>
    </w:p>
    <w:sectPr>
      <w:headerReference r:id="rId6" w:type="first"/>
      <w:headerReference r:id="rId5" w:type="default"/>
      <w:pgSz w:w="11906" w:h="16838"/>
      <w:pgMar w:top="1134" w:right="850" w:bottom="1134" w:left="1417" w:header="48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jc w:val="center"/>
    </w:pPr>
  </w:p>
  <w:p>
    <w:pPr>
      <w:pStyle w:val="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5DB"/>
    <w:multiLevelType w:val="multilevel"/>
    <w:tmpl w:val="FFAE25DB"/>
    <w:lvl w:ilvl="0" w:tentative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5F087C2B"/>
    <w:multiLevelType w:val="multilevel"/>
    <w:tmpl w:val="5F087C2B"/>
    <w:lvl w:ilvl="0" w:tentative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6FEED397"/>
    <w:multiLevelType w:val="multilevel"/>
    <w:tmpl w:val="6FEED397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2267C"/>
    <w:rsid w:val="00755B76"/>
    <w:rsid w:val="00BD52DB"/>
    <w:rsid w:val="026C21D1"/>
    <w:rsid w:val="0E97A3F0"/>
    <w:rsid w:val="0FDA9583"/>
    <w:rsid w:val="11897955"/>
    <w:rsid w:val="177B2A23"/>
    <w:rsid w:val="17F71E28"/>
    <w:rsid w:val="194F4112"/>
    <w:rsid w:val="1997B718"/>
    <w:rsid w:val="1A7F96A7"/>
    <w:rsid w:val="1E330118"/>
    <w:rsid w:val="232A5768"/>
    <w:rsid w:val="27EA6925"/>
    <w:rsid w:val="2F0547BE"/>
    <w:rsid w:val="2FF604A6"/>
    <w:rsid w:val="39C5D802"/>
    <w:rsid w:val="39FE9D69"/>
    <w:rsid w:val="3BFF49E7"/>
    <w:rsid w:val="3CBFB1E9"/>
    <w:rsid w:val="3D7FA3BA"/>
    <w:rsid w:val="3DFF8D27"/>
    <w:rsid w:val="3F59EB00"/>
    <w:rsid w:val="3FDFAAC2"/>
    <w:rsid w:val="3FEB0A82"/>
    <w:rsid w:val="3FEBD4BA"/>
    <w:rsid w:val="3FF7E744"/>
    <w:rsid w:val="3FFAA2B9"/>
    <w:rsid w:val="40724DBA"/>
    <w:rsid w:val="44F74E60"/>
    <w:rsid w:val="47662DB1"/>
    <w:rsid w:val="49A6647F"/>
    <w:rsid w:val="4B3DC373"/>
    <w:rsid w:val="4F7FB829"/>
    <w:rsid w:val="4FBEB5BC"/>
    <w:rsid w:val="4FFF1FF0"/>
    <w:rsid w:val="527F99DC"/>
    <w:rsid w:val="5BAE1D32"/>
    <w:rsid w:val="5F3F0FCC"/>
    <w:rsid w:val="5F6F554F"/>
    <w:rsid w:val="5F6F8E36"/>
    <w:rsid w:val="5FFAF904"/>
    <w:rsid w:val="6027516C"/>
    <w:rsid w:val="60545B1D"/>
    <w:rsid w:val="65DF0A4C"/>
    <w:rsid w:val="69DE84B2"/>
    <w:rsid w:val="6A4573BA"/>
    <w:rsid w:val="6B91EBF4"/>
    <w:rsid w:val="6BF762EC"/>
    <w:rsid w:val="6EC31EEA"/>
    <w:rsid w:val="6F77DC7D"/>
    <w:rsid w:val="6F7F84D3"/>
    <w:rsid w:val="6F9B1BD5"/>
    <w:rsid w:val="6FDF7A60"/>
    <w:rsid w:val="6FE69EB7"/>
    <w:rsid w:val="6FF3F6DA"/>
    <w:rsid w:val="6FF57CE6"/>
    <w:rsid w:val="75BFF560"/>
    <w:rsid w:val="76BFB941"/>
    <w:rsid w:val="76CB817C"/>
    <w:rsid w:val="77BB7D7B"/>
    <w:rsid w:val="77D69E0E"/>
    <w:rsid w:val="77E6E008"/>
    <w:rsid w:val="77FED800"/>
    <w:rsid w:val="7B343927"/>
    <w:rsid w:val="7B9BD0A6"/>
    <w:rsid w:val="7BEF3F5B"/>
    <w:rsid w:val="7BFBAA92"/>
    <w:rsid w:val="7CFF7821"/>
    <w:rsid w:val="7D7043C0"/>
    <w:rsid w:val="7DBD417F"/>
    <w:rsid w:val="7DBFE413"/>
    <w:rsid w:val="7DD5DECA"/>
    <w:rsid w:val="7ED967E2"/>
    <w:rsid w:val="7EFF9CC5"/>
    <w:rsid w:val="7F83C0F7"/>
    <w:rsid w:val="7FB345A7"/>
    <w:rsid w:val="7FBED02B"/>
    <w:rsid w:val="7FF72557"/>
    <w:rsid w:val="7FF748F9"/>
    <w:rsid w:val="7FFBB7F6"/>
    <w:rsid w:val="97FE069C"/>
    <w:rsid w:val="AE6707EA"/>
    <w:rsid w:val="AE7FFA40"/>
    <w:rsid w:val="AFFE502F"/>
    <w:rsid w:val="B43DF154"/>
    <w:rsid w:val="B5DB6621"/>
    <w:rsid w:val="B5E726F3"/>
    <w:rsid w:val="B7BFE721"/>
    <w:rsid w:val="B9E54752"/>
    <w:rsid w:val="B9EEC5F4"/>
    <w:rsid w:val="BBCBAC77"/>
    <w:rsid w:val="BDAA9486"/>
    <w:rsid w:val="BDFF9597"/>
    <w:rsid w:val="BEDFD619"/>
    <w:rsid w:val="BEF351AA"/>
    <w:rsid w:val="BEFF25F3"/>
    <w:rsid w:val="BF47A2F4"/>
    <w:rsid w:val="BF7BCD26"/>
    <w:rsid w:val="BFAFCB69"/>
    <w:rsid w:val="BFB7C333"/>
    <w:rsid w:val="BFBF826B"/>
    <w:rsid w:val="C3F6A7ED"/>
    <w:rsid w:val="C677B1C9"/>
    <w:rsid w:val="CF3FD298"/>
    <w:rsid w:val="CF5F51CA"/>
    <w:rsid w:val="CFF626B9"/>
    <w:rsid w:val="DBFD2B6C"/>
    <w:rsid w:val="DEDEFF0D"/>
    <w:rsid w:val="E13F1C4E"/>
    <w:rsid w:val="E7DAB521"/>
    <w:rsid w:val="EA6FFFA3"/>
    <w:rsid w:val="EE6FBD55"/>
    <w:rsid w:val="EE9F3163"/>
    <w:rsid w:val="EEF7FA6F"/>
    <w:rsid w:val="EFB118FD"/>
    <w:rsid w:val="EFBF191C"/>
    <w:rsid w:val="EFFC95BF"/>
    <w:rsid w:val="EFFD3A94"/>
    <w:rsid w:val="F157FC66"/>
    <w:rsid w:val="F2FF4C5F"/>
    <w:rsid w:val="F3BACABE"/>
    <w:rsid w:val="F3FE347A"/>
    <w:rsid w:val="F5FDFDE3"/>
    <w:rsid w:val="F7DFD7E0"/>
    <w:rsid w:val="F7FE3835"/>
    <w:rsid w:val="F85EDC65"/>
    <w:rsid w:val="FB4D7539"/>
    <w:rsid w:val="FCA728EF"/>
    <w:rsid w:val="FCF3F4B2"/>
    <w:rsid w:val="FCFDED42"/>
    <w:rsid w:val="FDB56F29"/>
    <w:rsid w:val="FDBF8190"/>
    <w:rsid w:val="FE7F1FF4"/>
    <w:rsid w:val="FE924C96"/>
    <w:rsid w:val="FEE16DED"/>
    <w:rsid w:val="FF49FBE7"/>
    <w:rsid w:val="FF7B08D1"/>
    <w:rsid w:val="FF7D2098"/>
    <w:rsid w:val="FF7EA971"/>
    <w:rsid w:val="FFAE3C4D"/>
    <w:rsid w:val="FFBF94A6"/>
    <w:rsid w:val="FFBFEAB3"/>
    <w:rsid w:val="FFC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5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2">
    <w:name w:val="header"/>
    <w:basedOn w:val="1"/>
    <w:link w:val="18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qFormat/>
    <w:uiPriority w:val="39"/>
    <w:pPr>
      <w:spacing w:after="57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qFormat/>
    <w:uiPriority w:val="99"/>
    <w:pPr>
      <w:spacing w:after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6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8">
    <w:name w:val="Название Знак"/>
    <w:basedOn w:val="11"/>
    <w:link w:val="32"/>
    <w:qFormat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8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Текст сноски Знак"/>
    <w:link w:val="20"/>
    <w:qFormat/>
    <w:uiPriority w:val="99"/>
    <w:rPr>
      <w:sz w:val="18"/>
    </w:rPr>
  </w:style>
  <w:style w:type="character" w:customStyle="1" w:styleId="183">
    <w:name w:val="Текст концевой сноски Знак"/>
    <w:link w:val="18"/>
    <w:qFormat/>
    <w:uiPriority w:val="99"/>
    <w:rPr>
      <w:sz w:val="20"/>
    </w:rPr>
  </w:style>
  <w:style w:type="paragraph" w:customStyle="1" w:styleId="184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5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6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7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8">
    <w:name w:val="Верхний колонтитул Знак"/>
    <w:basedOn w:val="11"/>
    <w:link w:val="22"/>
    <w:qFormat/>
    <w:uiPriority w:val="99"/>
  </w:style>
  <w:style w:type="table" w:customStyle="1" w:styleId="189">
    <w:name w:val="Сетка таблицы1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2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1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2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paragraph" w:customStyle="1" w:styleId="193">
    <w:name w:val="ConsPlusNormal1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customStyle="1" w:styleId="194">
    <w:name w:val="ConsPlusNormal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195">
    <w:name w:val="Основной текст (2)"/>
    <w:basedOn w:val="1"/>
    <w:qFormat/>
    <w:uiPriority w:val="0"/>
    <w:pPr>
      <w:widowControl w:val="0"/>
      <w:shd w:val="clear" w:color="auto" w:fill="FFFFFF"/>
      <w:spacing w:before="0" w:after="0" w:line="322" w:lineRule="exact"/>
      <w:jc w:val="center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6243</Characters>
  <Lines>52</Lines>
  <Paragraphs>14</Paragraphs>
  <TotalTime>9</TotalTime>
  <ScaleCrop>false</ScaleCrop>
  <LinksUpToDate>false</LinksUpToDate>
  <CharactersWithSpaces>7324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2023-07-30T11:09:00Z</dcterms:created>
  <dc:creator>Киселев Виктор Вадимович</dc:creator>
  <cp:lastModifiedBy>merkulovaay</cp:lastModifiedBy>
  <dcterms:modified xsi:type="dcterms:W3CDTF">2025-05-22T18:17:44Z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  <property fmtid="{D5CDD505-2E9C-101B-9397-08002B2CF9AE}" pid="3" name="ICV">
    <vt:lpwstr>4252691D5FD847889DF6F9B466DF8D41_13</vt:lpwstr>
  </property>
</Properties>
</file>