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МИНИСТЕРСТВО СТРОИТЕЛЬСТВА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 И ЖИЛИЩНОЙ ПОЛИТИКИ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КАМЧАТСКОГО КРАЯ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ПРИКАЗ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0"/>
          <w:szCs w:val="28"/>
          <w:highlight w:val="none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2" w:hanging="142"/>
              <w:textAlignment w:val="auto"/>
              <w:rPr>
                <w:rFonts w:ascii="Times New Roman" w:hAnsi="Times New Roman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[Дат</w:t>
            </w:r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highlight w:val="none"/>
              </w:rPr>
              <w:t xml:space="preserve"> доку</w:t>
            </w:r>
            <w:r>
              <w:rPr>
                <w:rFonts w:ascii="Times New Roman" w:hAnsi="Times New Roman"/>
                <w:color w:val="FFFFFF"/>
                <w:sz w:val="20"/>
                <w:highlight w:val="none"/>
              </w:rPr>
              <w:t>мента</w:t>
            </w:r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highlight w:val="none"/>
                <w:u w:val="single"/>
              </w:rPr>
            </w:pPr>
            <w:r>
              <w:rPr>
                <w:rFonts w:ascii="Times New Roman" w:hAnsi="Times New Roman"/>
                <w:highlight w:val="none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noWrap w:val="0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  <w:highlight w:val="none"/>
        </w:rPr>
      </w:pPr>
    </w:p>
    <w:tbl>
      <w:tblPr>
        <w:tblStyle w:val="3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ru-RU"/>
              </w:rPr>
              <w:t>О внесении изменений в приложение к приказу Министерства строительства и жилищной политики Камчатского края от 22.03.2024 № 8-Н «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б утверждении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орядка предоставления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 xml:space="preserve">отдельным категориям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 xml:space="preserve">граждан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социальной выплаты на уплату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первоначального взноса по ипотечному жилищному кредиту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(займу) на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>строительство индивидуального жилого дома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 в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амчатском крае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ru-RU"/>
              </w:rPr>
              <w:t>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>ПРИКАЗЫВАЮ: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</w:p>
    <w:p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58" w:firstLineChars="235"/>
        <w:jc w:val="both"/>
        <w:textAlignment w:val="auto"/>
        <w:rPr>
          <w:rFonts w:hint="default" w:ascii="Times New Roman" w:hAnsi="Times New Roman"/>
          <w:color w:val="auto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1. Внести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приложение к приказу Министерства строительства и жилищной политики Камчатского края от 22.03.2024 № 8-Н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б утверждении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орядка предоставления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отдельным категориям граждан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строительство индивидуального жилого дома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» следующие изменения:</w:t>
      </w:r>
    </w:p>
    <w:p>
      <w:pPr>
        <w:pStyle w:val="46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</w:tabs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части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1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слова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отдельным категориям граждан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социальной выплаты на уплату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первоначального взноса по ипотечному жилищному кредиту (займу)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на строительство индивидуального жилого дома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амчатском крае (далее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–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Порядок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)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>» исключить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часть 3 дополнить словами «, не достигшие на дату обращения гражданина в Министерство возраста восемнадцати лет»;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в части 8 слова «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а также граждан, члены семьи которых являются 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>участникам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и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 xml:space="preserve"> специальной военной операции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, которым социальная выплата предостав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ляется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в первооч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ередном порядке» заменить словами «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граждан, члены семьи которых являются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>участникам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 xml:space="preserve"> специальной военной операции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, а также родителей участника специальной военной операции, приобретших земельный участок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t>Закон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Камчатского края от 02.10.2023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> 251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>О 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(далее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родители участника специальной военной операции),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которым социальная выплата предоставляется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в первую очередь в порядке, определенном списком граждан, претендующих на получение социальной выпл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аты в текущ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ем финансовом году (далее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–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Список получателей), сформированным в соответствии с частью 18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vertAlign w:val="superscript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настоящего Порядка»;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в части 9: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  <w:t>а) пункт 1 дополнить подпунктом «г» следующего содержания: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  <w:t>«г) документов (информации), подтверждающих родственные отношения с гражданином, являющимся участником специальной вонной операции (в случае обращения родителей участника специальной вонной операции);»;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  <w:t>б) пункт 2 дополнить подпунктами «д» и «е» следующего содержания: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-SA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  <w:t xml:space="preserve">«д) документов (информации) Министерства обороны Российской Федерации,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white"/>
          <w:lang w:val="en-US" w:eastAsia="ru-RU"/>
        </w:rPr>
        <w:t xml:space="preserve">подтверждающих факт участия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специальной военной операции на территориях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Украины, Донецкой Народной Республики, Луганской Народной Республики, Запорожской области и Херсонской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white"/>
          <w:lang w:val="ru-RU"/>
        </w:rPr>
        <w:t>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  <w:t xml:space="preserve">е) 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документов (информации) исполнительного органа Камчатского края или органа местного самоуправления муниципального образования 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 xml:space="preserve">, подтверждающих приобретение гражданином земельного участка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t>Закон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sz w:val="28"/>
          <w:szCs w:val="28"/>
        </w:rPr>
        <w:t xml:space="preserve"> Камчатского края от 02.10.2023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> 251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>О 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Федерации, и членов их семей в Камчатском крае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ru-RU" w:bidi="ar-SA"/>
        </w:rPr>
        <w:t>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в части 18 слова «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>с</w:t>
      </w:r>
      <w:r>
        <w:rPr>
          <w:rFonts w:ascii="Times New Roman" w:hAnsi="Times New Roman" w:eastAsia="Times New Roman"/>
          <w:color w:val="auto"/>
          <w:sz w:val="28"/>
          <w:szCs w:val="24"/>
          <w:highlight w:val="none"/>
        </w:rPr>
        <w:t xml:space="preserve">писок граждан, претендующих на получение социальной выплаты </w:t>
      </w:r>
      <w:r>
        <w:rPr>
          <w:rFonts w:ascii="Times New Roman" w:hAnsi="Times New Roman" w:eastAsia="Times New Roman"/>
          <w:color w:val="auto"/>
          <w:sz w:val="28"/>
          <w:szCs w:val="24"/>
          <w:highlight w:val="none"/>
          <w:lang w:val="ru-RU"/>
        </w:rPr>
        <w:t xml:space="preserve">в текущем финансовом году </w:t>
      </w:r>
      <w:r>
        <w:rPr>
          <w:rFonts w:ascii="Times New Roman" w:hAnsi="Times New Roman" w:eastAsia="Times New Roman"/>
          <w:color w:val="auto"/>
          <w:sz w:val="28"/>
          <w:szCs w:val="24"/>
          <w:highlight w:val="none"/>
        </w:rPr>
        <w:t xml:space="preserve">(далее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–</w:t>
      </w:r>
      <w:r>
        <w:rPr>
          <w:rFonts w:ascii="Times New Roman" w:hAnsi="Times New Roman" w:eastAsia="Times New Roman"/>
          <w:color w:val="auto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Список получ</w:t>
      </w:r>
      <w:r>
        <w:rPr>
          <w:rFonts w:ascii="Times New Roman" w:hAnsi="Times New Roman" w:eastAsia="Times New Roman"/>
          <w:color w:val="auto"/>
          <w:sz w:val="28"/>
          <w:szCs w:val="24"/>
          <w:highlight w:val="none"/>
          <w:lang w:val="ru-RU"/>
        </w:rPr>
        <w:t>ателей</w:t>
      </w:r>
      <w:r>
        <w:rPr>
          <w:rFonts w:ascii="Times New Roman" w:hAnsi="Times New Roman" w:eastAsia="Times New Roman"/>
          <w:color w:val="auto"/>
          <w:sz w:val="28"/>
          <w:szCs w:val="24"/>
          <w:highlight w:val="none"/>
        </w:rPr>
        <w:t>)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» заменить словами «Список получателей»;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дополнить частью 18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vertAlign w:val="superscript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следующего содержания: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«18</w:t>
      </w:r>
      <w:r>
        <w:rPr>
          <w:rFonts w:hint="default" w:ascii="Times New Roman" w:hAnsi="Times New Roman" w:eastAsia="Times New Roman"/>
          <w:sz w:val="28"/>
          <w:szCs w:val="28"/>
          <w:highlight w:val="none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 xml:space="preserve">. В первую очередь в Список получателей включаются граждане,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 xml:space="preserve">являющиеся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участникам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>и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специальной военной операции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 xml:space="preserve">, граждане, члены семьи которых являются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участникам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>и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специальной военной операции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>, и </w:t>
      </w:r>
      <w:bookmarkStart w:id="2" w:name="_GoBack"/>
      <w:bookmarkEnd w:id="2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>родители участника специальной военной операции, но не более 50 процентов от общего числа претендентов на получение социальной выплаты в текущем финансовом году.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>В Список получателей включается не менее 50 процентов от общего числа претендентов на получение социальной выплаты в текущем финансовом году из числа граждан, не указанных в абзаце первом настоящей части.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в части 20 слова «либо отказа гражданина от предоставления социальной выплаты,» исключить;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в части 21 слова «граждане, отказавшиеся от получения социальной выплаты в текущем финансовом году,» исключить;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в абзаце пятом части 29 слова «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, определяем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>ая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 один раз в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-SA"/>
        </w:rPr>
        <w:t xml:space="preserve">квартал </w:t>
      </w:r>
      <w: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уполномоченным Правительством Российской Федерации федеральным органом исполнительной власти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» заменить словами «за IV квартал года, предшествующего году предоставления социальной выплаты, определенная Минстроем России»;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дополнить частью 29</w:t>
      </w:r>
      <w:r>
        <w:rPr>
          <w:rFonts w:hint="default" w:ascii="Times New Roman" w:hAnsi="Times New Roman" w:eastAsia="Times New Roman"/>
          <w:sz w:val="28"/>
          <w:szCs w:val="28"/>
          <w:highlight w:val="none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 xml:space="preserve"> следующего содержания: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</w:pPr>
      <w:r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  <w:t>«29</w:t>
      </w:r>
      <w:r>
        <w:rPr>
          <w:rStyle w:val="192"/>
          <w:rFonts w:hint="default" w:ascii="Times New Roman" w:hAnsi="Times New Roman" w:eastAsia="SimSun" w:cs="Times New Roman"/>
          <w:highlight w:val="none"/>
          <w:vertAlign w:val="superscript"/>
          <w:lang w:val="en-US" w:eastAsia="ru-RU"/>
        </w:rPr>
        <w:t>1</w:t>
      </w:r>
      <w:r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  <w:t>. В случае достижения ребенком (детьми), указанным (указанными) в составе семьи гражданина, возраста восемнадцати лет, расчет социальной выплаты производится без учета ребенка (детей), достигшего (достигших) возраста восемнадцати лет.»;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</w:pPr>
      <w:r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  <w:t>дополнить частью 30</w:t>
      </w:r>
      <w:r>
        <w:rPr>
          <w:rStyle w:val="192"/>
          <w:rFonts w:hint="default" w:ascii="Times New Roman" w:hAnsi="Times New Roman" w:eastAsia="SimSun" w:cs="Times New Roman"/>
          <w:highlight w:val="none"/>
          <w:vertAlign w:val="superscript"/>
          <w:lang w:val="en-US" w:eastAsia="ru-RU"/>
        </w:rPr>
        <w:t>1</w:t>
      </w:r>
      <w:r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  <w:t xml:space="preserve"> следующего содержания: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  <w:t>«30</w:t>
      </w:r>
      <w:r>
        <w:rPr>
          <w:rStyle w:val="192"/>
          <w:rFonts w:hint="default" w:ascii="Times New Roman" w:hAnsi="Times New Roman" w:eastAsia="SimSun" w:cs="Times New Roman"/>
          <w:highlight w:val="none"/>
          <w:vertAlign w:val="superscript"/>
          <w:lang w:val="en-US" w:eastAsia="ru-RU"/>
        </w:rPr>
        <w:t>1</w:t>
      </w:r>
      <w:r>
        <w:rPr>
          <w:rStyle w:val="192"/>
          <w:rFonts w:hint="default" w:ascii="Times New Roman" w:hAnsi="Times New Roman" w:eastAsia="SimSun" w:cs="Times New Roman"/>
          <w:highlight w:val="none"/>
          <w:lang w:val="en-US"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 w:eastAsia="zh-CN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zh-CN"/>
        </w:rPr>
        <w:t>принятии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ru-RU" w:eastAsia="zh-CN"/>
        </w:rPr>
        <w:t xml:space="preserve"> Министерством решения о 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 w:eastAsia="zh-CN"/>
        </w:rPr>
        <w:t xml:space="preserve">предоставлении гражданину социальной выплаты учитываются действия и гражданско-правовые сделки с жилыми помещениями, 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zh-CN"/>
        </w:rPr>
        <w:t>совершенные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ru-RU" w:eastAsia="zh-CN"/>
        </w:rPr>
        <w:t xml:space="preserve"> гражданином и (или) членами его семьи в течение трех лет, предшествующих принятию Министерством решения о предоставлении социальной выплаты, и приведшие 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 w:eastAsia="zh-CN"/>
        </w:rPr>
        <w:t xml:space="preserve">к уменьшению размера занимаемых 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zh-CN"/>
        </w:rPr>
        <w:t>гражданином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ru-RU" w:eastAsia="zh-CN"/>
        </w:rPr>
        <w:t xml:space="preserve"> и членами его семьи 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 w:eastAsia="zh-CN"/>
        </w:rPr>
        <w:t>жилых помещений или к их отчуждению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zh-CN"/>
        </w:rPr>
        <w:t>.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в части 31 слово «предоставляется» заменить словами «носит целевой характер и может быть использована гражданином»;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часть 33 дополнить абзацем следующего содержания: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«При определении общей площади индивидуального жилого дома, строящегося с использованием средств социальной выплаты, не учитываются дети, указанные в составе семьи гражданина, достигшие возраста восемнадцати лет.»;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часть 34 дополнить словами «, за исключением детей, указанных в составе семьи гражданина, достигших возраста восемнадцати лет»;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часть 40 после слова «Порядком,» дополнить словами «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zh-CN"/>
        </w:rPr>
        <w:t>в течение четырех месяцев со дня издания Министерством приказа о предоставлении гражданину социальной выплаты, но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»;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/>
          <w:sz w:val="28"/>
          <w:szCs w:val="28"/>
          <w:highlight w:val="none"/>
          <w:lang w:val="en-US" w:eastAsia="ru-RU"/>
        </w:rPr>
        <w:t>в части 41 слово «является» заменить словами «, а также отказ гражданина от получения социальной выплаты в текущем финансовом году являются».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Настоящий приказ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вступает в силу </w:t>
      </w:r>
      <w:r>
        <w:rPr>
          <w:rStyle w:val="192"/>
          <w:rFonts w:ascii="Times New Roman" w:hAnsi="Times New Roman"/>
          <w:highlight w:val="none"/>
        </w:rPr>
        <w:t>после дня его официального опубликования.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sz w:val="28"/>
          <w:szCs w:val="28"/>
          <w:highlight w:val="none"/>
        </w:rPr>
      </w:pPr>
    </w:p>
    <w:tbl>
      <w:tblPr>
        <w:tblStyle w:val="12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977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0" w:right="27"/>
              <w:textAlignment w:val="auto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>Министр</w:t>
            </w:r>
          </w:p>
        </w:tc>
        <w:tc>
          <w:tcPr>
            <w:tcW w:w="4394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>А.В. Фирстов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0"/>
        <w:jc w:val="both"/>
        <w:textAlignment w:val="auto"/>
        <w:rPr>
          <w:highlight w:val="none"/>
        </w:rPr>
      </w:pPr>
    </w:p>
    <w:sectPr>
      <w:headerReference r:id="rId6" w:type="first"/>
      <w:headerReference r:id="rId5" w:type="default"/>
      <w:pgSz w:w="11906" w:h="16838"/>
      <w:pgMar w:top="1134" w:right="850" w:bottom="1134" w:left="1417" w:header="48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1"/>
      <w:jc w:val="center"/>
    </w:pPr>
  </w:p>
  <w:p>
    <w:pPr>
      <w:pStyle w:val="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2992F"/>
    <w:multiLevelType w:val="singleLevel"/>
    <w:tmpl w:val="A132992F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C21D1"/>
    <w:rsid w:val="0E97A3F0"/>
    <w:rsid w:val="0FDA9583"/>
    <w:rsid w:val="11897955"/>
    <w:rsid w:val="177B2A23"/>
    <w:rsid w:val="194F4112"/>
    <w:rsid w:val="1A7F96A7"/>
    <w:rsid w:val="1E330118"/>
    <w:rsid w:val="232A5768"/>
    <w:rsid w:val="27EA6925"/>
    <w:rsid w:val="2F0547BE"/>
    <w:rsid w:val="2FF604A6"/>
    <w:rsid w:val="39C5D802"/>
    <w:rsid w:val="39FE9D69"/>
    <w:rsid w:val="3BFF49E7"/>
    <w:rsid w:val="3DFF8D27"/>
    <w:rsid w:val="3F59EB00"/>
    <w:rsid w:val="3FF7E744"/>
    <w:rsid w:val="40724DBA"/>
    <w:rsid w:val="44F74E60"/>
    <w:rsid w:val="47662DB1"/>
    <w:rsid w:val="49A6647F"/>
    <w:rsid w:val="5BAE1D32"/>
    <w:rsid w:val="5F6F8E36"/>
    <w:rsid w:val="5FFAF904"/>
    <w:rsid w:val="6027516C"/>
    <w:rsid w:val="60545B1D"/>
    <w:rsid w:val="6A4573BA"/>
    <w:rsid w:val="6BF762EC"/>
    <w:rsid w:val="6EC31EEA"/>
    <w:rsid w:val="6F9B1BD5"/>
    <w:rsid w:val="6FDF7A60"/>
    <w:rsid w:val="6FE69EB7"/>
    <w:rsid w:val="6FF3F6DA"/>
    <w:rsid w:val="6FF57CE6"/>
    <w:rsid w:val="77BB7D7B"/>
    <w:rsid w:val="77E6E008"/>
    <w:rsid w:val="77FED800"/>
    <w:rsid w:val="7B343927"/>
    <w:rsid w:val="7BFBAA92"/>
    <w:rsid w:val="7D7043C0"/>
    <w:rsid w:val="7DBFE413"/>
    <w:rsid w:val="7ED967E2"/>
    <w:rsid w:val="7FBED02B"/>
    <w:rsid w:val="AE6707EA"/>
    <w:rsid w:val="AFFE502F"/>
    <w:rsid w:val="B5DB6621"/>
    <w:rsid w:val="B7BFE721"/>
    <w:rsid w:val="B9E54752"/>
    <w:rsid w:val="BBCBAC77"/>
    <w:rsid w:val="BEDFD619"/>
    <w:rsid w:val="BEFF25F3"/>
    <w:rsid w:val="BF7BCD26"/>
    <w:rsid w:val="BFAFCB69"/>
    <w:rsid w:val="BFB7C333"/>
    <w:rsid w:val="C677B1C9"/>
    <w:rsid w:val="CF5F51CA"/>
    <w:rsid w:val="CFF626B9"/>
    <w:rsid w:val="DBFD2B6C"/>
    <w:rsid w:val="E7DAB521"/>
    <w:rsid w:val="EA6FFFA3"/>
    <w:rsid w:val="EEF7FA6F"/>
    <w:rsid w:val="EFBF191C"/>
    <w:rsid w:val="F157FC66"/>
    <w:rsid w:val="F2FF4C5F"/>
    <w:rsid w:val="F3FE347A"/>
    <w:rsid w:val="F7DFD7E0"/>
    <w:rsid w:val="FB4D7539"/>
    <w:rsid w:val="FCFDED42"/>
    <w:rsid w:val="FDB56F29"/>
    <w:rsid w:val="FE7F1FF4"/>
    <w:rsid w:val="FE924C96"/>
    <w:rsid w:val="FEE16DED"/>
    <w:rsid w:val="FF7B08D1"/>
    <w:rsid w:val="FF7EA971"/>
    <w:rsid w:val="FFBFEAB3"/>
    <w:rsid w:val="FFC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5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6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SimSun" w:cs="Times New Roman"/>
    </w:rPr>
  </w:style>
  <w:style w:type="character" w:customStyle="1" w:styleId="48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9">
    <w:name w:val="Subtitle Char"/>
    <w:basedOn w:val="11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Footnote Text Char"/>
    <w:link w:val="20"/>
    <w:qFormat/>
    <w:uiPriority w:val="99"/>
    <w:rPr>
      <w:sz w:val="18"/>
    </w:rPr>
  </w:style>
  <w:style w:type="character" w:customStyle="1" w:styleId="183">
    <w:name w:val="Endnote Text Char"/>
    <w:link w:val="18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rPr>
      <w:rFonts w:hint="default" w:ascii="Times New Roman" w:hAnsi="Times New Roman" w:eastAsia="SimSun" w:cs="Times New Roman"/>
    </w:rPr>
  </w:style>
  <w:style w:type="character" w:customStyle="1" w:styleId="185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6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7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8">
    <w:name w:val="Верхний колонтитул Знак"/>
    <w:basedOn w:val="11"/>
    <w:link w:val="22"/>
    <w:qFormat/>
    <w:uiPriority w:val="99"/>
  </w:style>
  <w:style w:type="table" w:customStyle="1" w:styleId="189">
    <w:name w:val="Сетка таблицы1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2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1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2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2</TotalTime>
  <ScaleCrop>false</ScaleCrop>
  <LinksUpToDate>false</LinksUpToDate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2023-07-25T23:09:00Z</dcterms:created>
  <dc:creator>Киселев Виктор Вадимович</dc:creator>
  <cp:lastModifiedBy>merkulovaay</cp:lastModifiedBy>
  <dcterms:modified xsi:type="dcterms:W3CDTF">2024-12-25T12:51:58Z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  <property fmtid="{D5CDD505-2E9C-101B-9397-08002B2CF9AE}" pid="3" name="ICV">
    <vt:lpwstr>4252691D5FD847889DF6F9B466DF8D41_13</vt:lpwstr>
  </property>
</Properties>
</file>