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A4" w:rsidRDefault="000613F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892EA4" w:rsidRDefault="00892EA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92EA4" w:rsidRDefault="00892EA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92EA4" w:rsidRDefault="00892EA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92EA4" w:rsidRDefault="000613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</w:t>
      </w:r>
    </w:p>
    <w:p w:rsidR="00892EA4" w:rsidRDefault="000613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92EA4" w:rsidRDefault="00892EA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92EA4" w:rsidRDefault="000613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892EA4" w:rsidRDefault="00892E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2EA4" w:rsidRDefault="00892EA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92EA4">
        <w:trPr>
          <w:trHeight w:val="232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892EA4" w:rsidRDefault="000613F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92EA4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892EA4" w:rsidRDefault="000613F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92EA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92EA4" w:rsidRDefault="00892E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92EA4" w:rsidRDefault="00892E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92EA4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A4" w:rsidRDefault="000613F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приказ Министерства спорта Камчатского края от 19.05.2021 № 189 «Об  утверждении Порядка определения объема и условий предоставления субсидий на иные цели краевым государственным бюджетным и автономным учреждениям, подведомственным Министерству спорта Камчатского края» </w:t>
            </w:r>
          </w:p>
        </w:tc>
      </w:tr>
    </w:tbl>
    <w:p w:rsidR="00892EA4" w:rsidRDefault="00892E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4972" w:rsidRDefault="00B249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4972" w:rsidRDefault="00B249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08.07.2025 № 41/02-2070/25</w:t>
      </w:r>
    </w:p>
    <w:p w:rsidR="00892EA4" w:rsidRDefault="00892E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92EA4" w:rsidRDefault="000613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ПРИКАЗЫВАЮ:</w:t>
      </w:r>
    </w:p>
    <w:p w:rsidR="00892EA4" w:rsidRDefault="00892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728" w:rsidRPr="00E41728" w:rsidRDefault="00E41728">
      <w:pPr>
        <w:numPr>
          <w:ilvl w:val="0"/>
          <w:numId w:val="1"/>
        </w:numPr>
        <w:spacing w:after="0" w:line="240" w:lineRule="auto"/>
        <w:ind w:left="0" w:firstLine="5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приказу </w:t>
      </w:r>
      <w:r w:rsidRPr="00E41728">
        <w:rPr>
          <w:rFonts w:ascii="Times New Roman" w:hAnsi="Times New Roman"/>
          <w:sz w:val="28"/>
        </w:rPr>
        <w:t>Министерства спорта Камчатског</w:t>
      </w:r>
      <w:r w:rsidRPr="00E41728">
        <w:rPr>
          <w:rFonts w:ascii="Times New Roman" w:hAnsi="Times New Roman"/>
          <w:sz w:val="28"/>
        </w:rPr>
        <w:t xml:space="preserve">о края от 19.05.2021 № 189 «Об </w:t>
      </w:r>
      <w:r w:rsidRPr="00E41728">
        <w:rPr>
          <w:rFonts w:ascii="Times New Roman" w:hAnsi="Times New Roman"/>
          <w:sz w:val="28"/>
        </w:rPr>
        <w:t xml:space="preserve">утверждении Порядка определения объема и условий предоставления субсидий на иные цели краевым государственным бюджетным и автономным учреждениям, подведомственным Министерству спорта Камчатского края» </w:t>
      </w:r>
      <w:r w:rsidRPr="00E41728">
        <w:rPr>
          <w:rFonts w:ascii="Times New Roman" w:hAnsi="Times New Roman"/>
          <w:sz w:val="28"/>
        </w:rPr>
        <w:t>следующие изменения:</w:t>
      </w:r>
    </w:p>
    <w:p w:rsidR="00892EA4" w:rsidRDefault="00C1345C" w:rsidP="00C1345C">
      <w:pPr>
        <w:spacing w:after="0" w:line="240" w:lineRule="auto"/>
        <w:ind w:firstLine="5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</w:t>
      </w:r>
      <w:r w:rsidR="000613FA">
        <w:rPr>
          <w:rFonts w:ascii="Times New Roman" w:hAnsi="Times New Roman"/>
          <w:sz w:val="28"/>
        </w:rPr>
        <w:t>ункты 5.1-5.6 части 5</w:t>
      </w:r>
      <w:r>
        <w:rPr>
          <w:rFonts w:ascii="Times New Roman" w:hAnsi="Times New Roman"/>
          <w:sz w:val="28"/>
        </w:rPr>
        <w:t xml:space="preserve"> раздела 1 изложить в следующей редакции: </w:t>
      </w:r>
    </w:p>
    <w:p w:rsidR="00892EA4" w:rsidRDefault="000613FA">
      <w:pPr>
        <w:spacing w:after="0" w:line="240" w:lineRule="auto"/>
        <w:ind w:firstLine="5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«5.1. Государственной программы Камчатского края «Развитие физической культуры и спорта в Камчатском крае», утвержденной постановлением Правительства Камчатского края от 27.12.2023 № 695-П;</w:t>
      </w:r>
    </w:p>
    <w:p w:rsidR="00892EA4" w:rsidRDefault="000613FA">
      <w:pPr>
        <w:spacing w:after="0" w:line="240" w:lineRule="auto"/>
        <w:ind w:firstLine="5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38-П;</w:t>
      </w:r>
    </w:p>
    <w:p w:rsidR="00892EA4" w:rsidRDefault="000613FA">
      <w:pPr>
        <w:spacing w:after="0" w:line="240" w:lineRule="auto"/>
        <w:ind w:firstLine="5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Государственной программы Камчатского края «Безопасная Камчатка», утвержденной Постановлением Правительства Камчатского края от 28.12.2023 № 700-П;</w:t>
      </w:r>
    </w:p>
    <w:p w:rsidR="00892EA4" w:rsidRDefault="000613FA">
      <w:pPr>
        <w:spacing w:after="0" w:line="240" w:lineRule="auto"/>
        <w:ind w:firstLine="5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Государственной программы Камчатского края «Семья и дети Камчатки», утвержденной постановлением Правительства Камчатского края от 28.12.2023 № 698-П;</w:t>
      </w:r>
    </w:p>
    <w:p w:rsidR="00892EA4" w:rsidRDefault="000613FA">
      <w:pPr>
        <w:spacing w:after="0" w:line="240" w:lineRule="auto"/>
        <w:ind w:firstLine="5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5.5.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28.12.2023 № 697-П;</w:t>
      </w:r>
    </w:p>
    <w:p w:rsidR="00892EA4" w:rsidRDefault="000613FA">
      <w:pPr>
        <w:spacing w:after="0" w:line="240" w:lineRule="auto"/>
        <w:ind w:firstLine="5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Государственной программы Камчатског</w:t>
      </w:r>
      <w:r w:rsidR="00C1345C">
        <w:rPr>
          <w:rFonts w:ascii="Times New Roman" w:hAnsi="Times New Roman"/>
          <w:sz w:val="28"/>
        </w:rPr>
        <w:t xml:space="preserve">о края «Развитие образования в </w:t>
      </w:r>
      <w:r>
        <w:rPr>
          <w:rFonts w:ascii="Times New Roman" w:hAnsi="Times New Roman"/>
          <w:sz w:val="28"/>
        </w:rPr>
        <w:t>Камчатском крае», утвержденной постановлением Правите</w:t>
      </w:r>
      <w:r w:rsidR="00C1345C">
        <w:rPr>
          <w:rFonts w:ascii="Times New Roman" w:hAnsi="Times New Roman"/>
          <w:sz w:val="28"/>
        </w:rPr>
        <w:t>льства Камчатского края от 29.12.2023 № 714</w:t>
      </w:r>
      <w:r w:rsidR="007B4C07">
        <w:rPr>
          <w:rFonts w:ascii="Times New Roman" w:hAnsi="Times New Roman"/>
          <w:sz w:val="28"/>
        </w:rPr>
        <w:t>-П;»;</w:t>
      </w:r>
    </w:p>
    <w:p w:rsidR="007B4C07" w:rsidRDefault="007B4C07" w:rsidP="007B4C07">
      <w:pPr>
        <w:pStyle w:val="a3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5.8</w:t>
      </w:r>
      <w:r w:rsidRPr="007B4C07">
        <w:rPr>
          <w:rFonts w:ascii="Times New Roman" w:hAnsi="Times New Roman"/>
          <w:sz w:val="28"/>
        </w:rPr>
        <w:t xml:space="preserve"> части 5 раздела 1 изложить в следующей редакции</w:t>
      </w:r>
      <w:r>
        <w:rPr>
          <w:rFonts w:ascii="Times New Roman" w:hAnsi="Times New Roman"/>
          <w:sz w:val="28"/>
        </w:rPr>
        <w:t>:</w:t>
      </w:r>
      <w:r w:rsidRPr="007B4C07">
        <w:rPr>
          <w:rFonts w:ascii="Times New Roman" w:hAnsi="Times New Roman"/>
          <w:sz w:val="28"/>
        </w:rPr>
        <w:t xml:space="preserve"> </w:t>
      </w:r>
    </w:p>
    <w:p w:rsidR="00892EA4" w:rsidRDefault="007B4C07" w:rsidP="007B4C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0613FA">
        <w:rPr>
          <w:rFonts w:ascii="Times New Roman" w:hAnsi="Times New Roman"/>
          <w:sz w:val="28"/>
        </w:rPr>
        <w:t>«5.8. Государственной программы Камчатского края «</w:t>
      </w:r>
      <w:proofErr w:type="spellStart"/>
      <w:r w:rsidR="000613FA">
        <w:rPr>
          <w:rFonts w:ascii="Times New Roman" w:hAnsi="Times New Roman"/>
          <w:sz w:val="28"/>
        </w:rPr>
        <w:t>Энергоэффективность</w:t>
      </w:r>
      <w:proofErr w:type="spellEnd"/>
      <w:r w:rsidR="000613FA">
        <w:rPr>
          <w:rFonts w:ascii="Times New Roman" w:hAnsi="Times New Roman"/>
          <w:sz w:val="28"/>
        </w:rPr>
        <w:t xml:space="preserve">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 w:rsidR="00B24972">
        <w:rPr>
          <w:rFonts w:ascii="Times New Roman" w:hAnsi="Times New Roman"/>
          <w:sz w:val="28"/>
        </w:rPr>
        <w:t>от 23.01.2024 № 17-П;»;</w:t>
      </w:r>
      <w:bookmarkStart w:id="1" w:name="_GoBack"/>
      <w:bookmarkEnd w:id="1"/>
    </w:p>
    <w:p w:rsidR="00892EA4" w:rsidRPr="007B4C07" w:rsidRDefault="007B4C07" w:rsidP="007B4C07">
      <w:pPr>
        <w:pStyle w:val="a3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/>
          <w:sz w:val="28"/>
        </w:rPr>
      </w:pPr>
      <w:r w:rsidRPr="007B4C07">
        <w:rPr>
          <w:rFonts w:ascii="Times New Roman" w:hAnsi="Times New Roman"/>
          <w:sz w:val="28"/>
        </w:rPr>
        <w:t>раздел 4</w:t>
      </w:r>
      <w:r>
        <w:rPr>
          <w:rFonts w:ascii="Times New Roman" w:hAnsi="Times New Roman"/>
          <w:sz w:val="28"/>
        </w:rPr>
        <w:t xml:space="preserve"> д</w:t>
      </w:r>
      <w:r w:rsidR="000613FA" w:rsidRPr="007B4C07">
        <w:rPr>
          <w:rFonts w:ascii="Times New Roman" w:hAnsi="Times New Roman"/>
          <w:sz w:val="28"/>
        </w:rPr>
        <w:t>ополнить пунктом 31</w:t>
      </w:r>
      <w:r w:rsidR="000613FA" w:rsidRPr="007B4C07">
        <w:rPr>
          <w:rFonts w:ascii="Times New Roman" w:hAnsi="Times New Roman"/>
          <w:sz w:val="28"/>
          <w:vertAlign w:val="superscript"/>
        </w:rPr>
        <w:t>1</w:t>
      </w:r>
      <w:r w:rsidR="000613FA" w:rsidRPr="007B4C07">
        <w:rPr>
          <w:rFonts w:ascii="Times New Roman" w:hAnsi="Times New Roman"/>
          <w:sz w:val="28"/>
        </w:rPr>
        <w:t xml:space="preserve"> следующего содержания:</w:t>
      </w:r>
    </w:p>
    <w:p w:rsidR="00892EA4" w:rsidRPr="007B4C07" w:rsidRDefault="000613FA">
      <w:pPr>
        <w:spacing w:after="0" w:line="240" w:lineRule="auto"/>
        <w:ind w:firstLine="59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«31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Для осуществления контроля за достижением значений результатов </w:t>
      </w:r>
      <w:r w:rsidRPr="007B4C07">
        <w:rPr>
          <w:rFonts w:ascii="Times New Roman" w:hAnsi="Times New Roman"/>
          <w:color w:val="auto"/>
          <w:sz w:val="28"/>
          <w:szCs w:val="28"/>
        </w:rPr>
        <w:t>предоставления субсидии на иные цели Министерство проводит мониторинг достижения значений результатов предоставления субсидии</w:t>
      </w:r>
      <w:r w:rsidR="007B4C07" w:rsidRPr="007B4C07">
        <w:rPr>
          <w:rFonts w:ascii="Times New Roman" w:hAnsi="Times New Roman"/>
          <w:color w:val="auto"/>
          <w:sz w:val="28"/>
          <w:szCs w:val="28"/>
        </w:rPr>
        <w:t>,</w:t>
      </w:r>
      <w:r w:rsidR="007B4C07" w:rsidRPr="007B4C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7B4C07" w:rsidRPr="007B4C07">
        <w:rPr>
          <w:rStyle w:val="afe"/>
          <w:rFonts w:ascii="Times New Roman" w:eastAsia="Arial" w:hAnsi="Times New Roman"/>
          <w:i w:val="0"/>
          <w:iCs w:val="0"/>
          <w:color w:val="auto"/>
          <w:sz w:val="28"/>
          <w:szCs w:val="28"/>
          <w:shd w:val="clear" w:color="auto" w:fill="FFFFFF"/>
        </w:rPr>
        <w:t>определенных</w:t>
      </w:r>
      <w:r w:rsidR="007B4C07" w:rsidRPr="007B4C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 соглашением, </w:t>
      </w:r>
      <w:r w:rsidRPr="007B4C07">
        <w:rPr>
          <w:rFonts w:ascii="Times New Roman" w:hAnsi="Times New Roman"/>
          <w:color w:val="auto"/>
          <w:sz w:val="28"/>
          <w:szCs w:val="28"/>
        </w:rPr>
        <w:t>и событий,</w:t>
      </w:r>
      <w:r w:rsidR="007B4C07" w:rsidRPr="007B4C0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4C07">
        <w:rPr>
          <w:rFonts w:ascii="Times New Roman" w:hAnsi="Times New Roman"/>
          <w:color w:val="auto"/>
          <w:sz w:val="28"/>
          <w:szCs w:val="28"/>
        </w:rPr>
        <w:t>отражающих факт завершения соответствующего мероприятия по получению результат</w:t>
      </w:r>
      <w:r w:rsidR="007B4C07">
        <w:rPr>
          <w:rFonts w:ascii="Times New Roman" w:hAnsi="Times New Roman"/>
          <w:color w:val="auto"/>
          <w:sz w:val="28"/>
          <w:szCs w:val="28"/>
        </w:rPr>
        <w:t>а</w:t>
      </w:r>
      <w:r w:rsidRPr="007B4C07">
        <w:rPr>
          <w:rFonts w:ascii="Times New Roman" w:hAnsi="Times New Roman"/>
          <w:color w:val="auto"/>
          <w:sz w:val="28"/>
          <w:szCs w:val="28"/>
        </w:rPr>
        <w:t xml:space="preserve"> предоставления субсидии (контрольная точка), в</w:t>
      </w:r>
      <w:r w:rsidR="007B4C07">
        <w:rPr>
          <w:rFonts w:ascii="Times New Roman" w:hAnsi="Times New Roman"/>
          <w:color w:val="auto"/>
          <w:sz w:val="28"/>
          <w:szCs w:val="28"/>
        </w:rPr>
        <w:t xml:space="preserve"> соответствии с Порядком</w:t>
      </w:r>
      <w:r w:rsidR="007B4C07" w:rsidRPr="007B4C07">
        <w:rPr>
          <w:rFonts w:ascii="PT Serif" w:hAnsi="PT Serif"/>
          <w:color w:val="22272F"/>
          <w:sz w:val="43"/>
          <w:szCs w:val="43"/>
          <w:shd w:val="clear" w:color="auto" w:fill="FFFFFF"/>
        </w:rPr>
        <w:t xml:space="preserve"> </w:t>
      </w:r>
      <w:r w:rsidR="007B4C07" w:rsidRPr="007B4C0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Pr="007B4C07">
        <w:rPr>
          <w:rFonts w:ascii="Times New Roman" w:hAnsi="Times New Roman"/>
          <w:color w:val="auto"/>
          <w:sz w:val="28"/>
          <w:szCs w:val="28"/>
        </w:rPr>
        <w:t>, утвержденном приказом Министерства финансов Российско</w:t>
      </w:r>
      <w:r w:rsidR="007B4C07">
        <w:rPr>
          <w:rFonts w:ascii="Times New Roman" w:hAnsi="Times New Roman"/>
          <w:color w:val="auto"/>
          <w:sz w:val="28"/>
          <w:szCs w:val="28"/>
        </w:rPr>
        <w:t>й Федерации от 27.04.2024 № 53н</w:t>
      </w:r>
      <w:r w:rsidRPr="007B4C07">
        <w:rPr>
          <w:rFonts w:ascii="Times New Roman" w:hAnsi="Times New Roman"/>
          <w:color w:val="auto"/>
          <w:sz w:val="28"/>
          <w:szCs w:val="28"/>
        </w:rPr>
        <w:t>.</w:t>
      </w:r>
      <w:r w:rsidR="007B4C07">
        <w:rPr>
          <w:rFonts w:ascii="Times New Roman" w:hAnsi="Times New Roman"/>
          <w:color w:val="auto"/>
          <w:sz w:val="28"/>
          <w:szCs w:val="28"/>
        </w:rPr>
        <w:t>».</w:t>
      </w:r>
    </w:p>
    <w:p w:rsidR="00892EA4" w:rsidRPr="00B24972" w:rsidRDefault="00E41728" w:rsidP="00B2497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B24972">
        <w:rPr>
          <w:rFonts w:ascii="Times New Roman" w:hAnsi="Times New Roman"/>
          <w:color w:val="auto"/>
          <w:sz w:val="28"/>
          <w:szCs w:val="28"/>
        </w:rPr>
        <w:t>Настоящий приказ вступает в силу после дня его официального опубликования</w:t>
      </w:r>
      <w:r w:rsidR="000613FA" w:rsidRPr="00B24972">
        <w:rPr>
          <w:rFonts w:ascii="Times New Roman" w:hAnsi="Times New Roman"/>
          <w:color w:val="auto"/>
          <w:sz w:val="28"/>
          <w:szCs w:val="28"/>
        </w:rPr>
        <w:t>.</w:t>
      </w:r>
    </w:p>
    <w:p w:rsidR="00E41728" w:rsidRPr="00E41728" w:rsidRDefault="00E41728" w:rsidP="00B24972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93"/>
        <w:jc w:val="both"/>
      </w:pPr>
      <w:r w:rsidRPr="00E41728">
        <w:rPr>
          <w:rFonts w:ascii="Times New Roman" w:hAnsi="Times New Roman"/>
          <w:sz w:val="28"/>
        </w:rPr>
        <w:t xml:space="preserve">Части 1 и 2 настоящего приказа вступают в силу после дня его </w:t>
      </w:r>
    </w:p>
    <w:p w:rsidR="00E41728" w:rsidRDefault="00E41728" w:rsidP="00E4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</w:pPr>
      <w:r w:rsidRPr="00E41728">
        <w:rPr>
          <w:rFonts w:ascii="Times New Roman" w:hAnsi="Times New Roman"/>
          <w:sz w:val="28"/>
        </w:rPr>
        <w:t xml:space="preserve">официального опубликования и распространяются на правоотношения, возникшие с 1 января 2024 года. </w:t>
      </w:r>
    </w:p>
    <w:p w:rsidR="00E41728" w:rsidRDefault="00E41728" w:rsidP="00E4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1728" w:rsidRDefault="00E41728" w:rsidP="00E4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</w:rPr>
      </w:pPr>
    </w:p>
    <w:p w:rsidR="00892EA4" w:rsidRPr="00E41728" w:rsidRDefault="00E41728" w:rsidP="00E41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</w:rPr>
      </w:pPr>
      <w:r w:rsidRPr="00E41728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892EA4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892EA4" w:rsidRDefault="000613FA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892EA4" w:rsidRDefault="00892EA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892EA4" w:rsidRDefault="00061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892EA4" w:rsidRDefault="000613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</w:t>
            </w:r>
            <w:r w:rsidR="00E4172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Бондаренко</w:t>
            </w:r>
          </w:p>
        </w:tc>
      </w:tr>
    </w:tbl>
    <w:p w:rsidR="00892EA4" w:rsidRDefault="00892EA4"/>
    <w:sectPr w:rsidR="00892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D9" w:rsidRDefault="001174D9">
      <w:pPr>
        <w:spacing w:after="0" w:line="240" w:lineRule="auto"/>
      </w:pPr>
      <w:r>
        <w:separator/>
      </w:r>
    </w:p>
  </w:endnote>
  <w:endnote w:type="continuationSeparator" w:id="0">
    <w:p w:rsidR="001174D9" w:rsidRDefault="0011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84" w:rsidRDefault="00032D8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84" w:rsidRDefault="00032D84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84" w:rsidRDefault="00032D8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D9" w:rsidRDefault="001174D9">
      <w:pPr>
        <w:spacing w:after="0" w:line="240" w:lineRule="auto"/>
      </w:pPr>
      <w:r>
        <w:separator/>
      </w:r>
    </w:p>
  </w:footnote>
  <w:footnote w:type="continuationSeparator" w:id="0">
    <w:p w:rsidR="001174D9" w:rsidRDefault="0011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84" w:rsidRDefault="00032D8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A4" w:rsidRDefault="000613FA">
    <w:pPr>
      <w:pStyle w:val="af2"/>
      <w:jc w:val="center"/>
      <w:rPr>
        <w:rFonts w:ascii="Times New Roman" w:hAnsi="Times New Roman"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2EA4" w:rsidRPr="00032D84" w:rsidRDefault="000613FA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32D84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32D84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</w:instrText>
                          </w:r>
                          <w:r w:rsidRPr="00032D84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4972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032D84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12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" filled="f" stroked="f">
              <v:textbox style="mso-fit-shape-to-text:t" inset="0,0,0,0">
                <w:txbxContent>
                  <w:p w:rsidR="00892EA4" w:rsidRPr="00032D84" w:rsidRDefault="000613FA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32D84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032D84"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</w:instrText>
                    </w:r>
                    <w:r w:rsidRPr="00032D84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B24972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 w:rsidRPr="00032D84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84" w:rsidRDefault="00032D8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1870"/>
    <w:multiLevelType w:val="hybridMultilevel"/>
    <w:tmpl w:val="FBAEE932"/>
    <w:lvl w:ilvl="0" w:tplc="AFA25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E34EAE18">
      <w:start w:val="1"/>
      <w:numFmt w:val="lowerLetter"/>
      <w:lvlText w:val="%2."/>
      <w:lvlJc w:val="left"/>
      <w:pPr>
        <w:ind w:left="1440" w:hanging="360"/>
      </w:pPr>
    </w:lvl>
    <w:lvl w:ilvl="2" w:tplc="489ACB3C">
      <w:start w:val="1"/>
      <w:numFmt w:val="lowerRoman"/>
      <w:lvlText w:val="%3."/>
      <w:lvlJc w:val="right"/>
      <w:pPr>
        <w:ind w:left="2160" w:hanging="360"/>
      </w:pPr>
    </w:lvl>
    <w:lvl w:ilvl="3" w:tplc="6F42CB42">
      <w:start w:val="1"/>
      <w:numFmt w:val="decimal"/>
      <w:lvlText w:val="%4."/>
      <w:lvlJc w:val="left"/>
      <w:pPr>
        <w:ind w:left="2880" w:hanging="360"/>
      </w:pPr>
    </w:lvl>
    <w:lvl w:ilvl="4" w:tplc="53E04302">
      <w:start w:val="1"/>
      <w:numFmt w:val="lowerLetter"/>
      <w:lvlText w:val="%5."/>
      <w:lvlJc w:val="left"/>
      <w:pPr>
        <w:ind w:left="3600" w:hanging="360"/>
      </w:pPr>
    </w:lvl>
    <w:lvl w:ilvl="5" w:tplc="14A8EBCC">
      <w:start w:val="1"/>
      <w:numFmt w:val="lowerRoman"/>
      <w:lvlText w:val="%6."/>
      <w:lvlJc w:val="right"/>
      <w:pPr>
        <w:ind w:left="4320" w:hanging="360"/>
      </w:pPr>
    </w:lvl>
    <w:lvl w:ilvl="6" w:tplc="8CBC9902">
      <w:start w:val="1"/>
      <w:numFmt w:val="decimal"/>
      <w:lvlText w:val="%7."/>
      <w:lvlJc w:val="left"/>
      <w:pPr>
        <w:ind w:left="5040" w:hanging="360"/>
      </w:pPr>
    </w:lvl>
    <w:lvl w:ilvl="7" w:tplc="65BEAE18">
      <w:start w:val="1"/>
      <w:numFmt w:val="lowerLetter"/>
      <w:lvlText w:val="%8."/>
      <w:lvlJc w:val="left"/>
      <w:pPr>
        <w:ind w:left="5760" w:hanging="360"/>
      </w:pPr>
    </w:lvl>
    <w:lvl w:ilvl="8" w:tplc="6EE24716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2D3174A"/>
    <w:multiLevelType w:val="hybridMultilevel"/>
    <w:tmpl w:val="C7F224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A4"/>
    <w:rsid w:val="00032D84"/>
    <w:rsid w:val="000613FA"/>
    <w:rsid w:val="001174D9"/>
    <w:rsid w:val="007B4C07"/>
    <w:rsid w:val="00892EA4"/>
    <w:rsid w:val="00B24972"/>
    <w:rsid w:val="00C1345C"/>
    <w:rsid w:val="00E4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2895E"/>
  <w15:docId w15:val="{476C5F62-5CAC-4CF9-B9AB-D7996CD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b">
    <w:name w:val="Balloon Text"/>
    <w:basedOn w:val="a"/>
    <w:link w:val="afc"/>
    <w:pPr>
      <w:spacing w:after="0" w:line="240" w:lineRule="auto"/>
    </w:pPr>
    <w:rPr>
      <w:rFonts w:ascii="Segoe UI" w:hAnsi="Segoe UI"/>
      <w:sz w:val="18"/>
    </w:rPr>
  </w:style>
  <w:style w:type="character" w:customStyle="1" w:styleId="afc">
    <w:name w:val="Текст выноски Знак"/>
    <w:basedOn w:val="1"/>
    <w:link w:val="afb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Emphasis"/>
    <w:basedOn w:val="a0"/>
    <w:uiPriority w:val="20"/>
    <w:qFormat/>
    <w:rsid w:val="007B4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2025-07-23T04:12:00Z</dcterms:created>
  <dcterms:modified xsi:type="dcterms:W3CDTF">2025-07-23T04:12:00Z</dcterms:modified>
</cp:coreProperties>
</file>