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/>
      <w:bookmarkStart w:id="1" w:name="_GoBack"/>
      <w:r>
        <w:rPr>
          <w:rFonts w:ascii="Times New Roman" w:hAnsi="Times New Roman"/>
          <w:b/>
          <w:sz w:val="28"/>
        </w:rPr>
        <w:t xml:space="preserve">Об утверждении Порядка предоставления</w:t>
      </w:r>
      <w:r>
        <w:rPr>
          <w:rFonts w:ascii="Times New Roman" w:hAnsi="Times New Roman"/>
          <w:b/>
          <w:sz w:val="28"/>
        </w:rPr>
        <w:t xml:space="preserve"> иного межбюджетного трансферта бюджету </w:t>
      </w:r>
      <w:r>
        <w:rPr>
          <w:rFonts w:ascii="Times New Roman" w:hAnsi="Times New Roman"/>
          <w:b/>
          <w:sz w:val="28"/>
        </w:rPr>
        <w:t xml:space="preserve">Олюторского</w:t>
      </w:r>
      <w:r>
        <w:rPr>
          <w:rFonts w:ascii="Times New Roman" w:hAnsi="Times New Roman"/>
          <w:b/>
          <w:sz w:val="28"/>
        </w:rPr>
        <w:t xml:space="preserve"> муниципального района на проведение экстренных мероприятий по предупреждению чрезвычайных ситуаций и (или стихийных бедствий), а именно – на выполнение мероприятий по укреплению берега сельского поселения «село </w:t>
      </w:r>
      <w:r>
        <w:rPr>
          <w:rFonts w:ascii="Times New Roman" w:hAnsi="Times New Roman"/>
          <w:b/>
          <w:sz w:val="28"/>
        </w:rPr>
        <w:t xml:space="preserve">Апука</w:t>
      </w:r>
      <w:r>
        <w:rPr>
          <w:rFonts w:ascii="Times New Roman" w:hAnsi="Times New Roman"/>
          <w:b/>
          <w:sz w:val="28"/>
        </w:rPr>
        <w:t xml:space="preserve">» в целях предотвращения затопления в связи с переливами береговой линии</w:t>
      </w:r>
      <w:bookmarkEnd w:id="1"/>
      <w:r>
        <w:rPr>
          <w:rFonts w:ascii="Times New Roman" w:hAnsi="Times New Roman"/>
          <w:b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</w:t>
      </w:r>
      <w:r>
        <w:rPr>
          <w:rFonts w:ascii="Times New Roman" w:hAnsi="Times New Roman"/>
          <w:sz w:val="28"/>
        </w:rPr>
        <w:t xml:space="preserve"> частью 12</w:t>
      </w:r>
      <w:r>
        <w:t xml:space="preserve"> </w:t>
      </w:r>
      <w:r>
        <w:rPr>
          <w:rFonts w:ascii="Times New Roman" w:hAnsi="Times New Roman"/>
          <w:sz w:val="28"/>
        </w:rPr>
        <w:t xml:space="preserve">Порядка использования бюджетных ассигнований резервного фонда Правительства Камчатского края, утвержденного постановлением Правительства Камчатского края от 28.11.2022 № 607-П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определения объема и предоставления из краевого бюджета субсидии государственному казенному предприятию Камчатского</w:t>
      </w:r>
      <w:r>
        <w:rPr>
          <w:rFonts w:ascii="Times New Roman" w:hAnsi="Times New Roman"/>
          <w:sz w:val="28"/>
        </w:rPr>
        <w:t xml:space="preserve"> края «Единый ситуационно-мониторинговый центр» в целях финансового обеспечения затрат, связанных с оказанием услуг, выполнением работ по построению, развитию и эксплуатации систем мониторинга и обеспечения общественной (региональной) безопасности в Камчат</w:t>
      </w:r>
      <w:r>
        <w:rPr>
          <w:rFonts w:ascii="Times New Roman" w:hAnsi="Times New Roman"/>
          <w:sz w:val="28"/>
        </w:rPr>
        <w:t xml:space="preserve">ском крае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настоящему постановлению.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иного межбюджетного трансферта бюджету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Олюторского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проведение экстренных мероприятий по предупреждению чрезвычайных ситуаций и (или стихийных бедствий), а именно – на выполнение мероприятий по укреплению берега сельского поселения «село </w:t>
      </w:r>
      <w:r>
        <w:rPr>
          <w:rFonts w:ascii="Times New Roman" w:hAnsi="Times New Roman"/>
          <w:sz w:val="28"/>
          <w:szCs w:val="28"/>
        </w:rPr>
        <w:t xml:space="preserve">Апука</w:t>
      </w:r>
      <w:r>
        <w:rPr>
          <w:rFonts w:ascii="Times New Roman" w:hAnsi="Times New Roman"/>
          <w:sz w:val="28"/>
          <w:szCs w:val="28"/>
        </w:rPr>
        <w:t xml:space="preserve">» в целях предотвращения затопления в связи с переливами береговой линии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Настоящи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орядок разработан</w:t>
      </w:r>
      <w:r>
        <w:rPr>
          <w:sz w:val="28"/>
          <w:szCs w:val="28"/>
        </w:rPr>
        <w:t xml:space="preserve"> в соответствии со статьей 139.1 Бюджетного кодекса Российской Федерации и регулируют вопросы предоставления </w:t>
      </w:r>
      <w:r>
        <w:rPr>
          <w:sz w:val="28"/>
          <w:szCs w:val="28"/>
        </w:rPr>
        <w:t xml:space="preserve">иного межбюджетного трансферта</w:t>
      </w:r>
      <w:r>
        <w:rPr>
          <w:sz w:val="28"/>
          <w:szCs w:val="28"/>
        </w:rPr>
        <w:t xml:space="preserve"> из краевого бюджета </w:t>
      </w:r>
      <w:r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Олюторского</w:t>
      </w:r>
      <w:r>
        <w:rPr>
          <w:sz w:val="28"/>
          <w:szCs w:val="28"/>
        </w:rPr>
        <w:t xml:space="preserve"> муниципального района на проведение экстренных мероприятий по предупреждению чрезвычайных ситуаций и (или стихийных бедствий), а именно – на выполнение мероприятий по укреплению берега сельского поселения «село </w:t>
      </w:r>
      <w:r>
        <w:rPr>
          <w:sz w:val="28"/>
          <w:szCs w:val="28"/>
        </w:rPr>
        <w:t xml:space="preserve">Апука</w:t>
      </w:r>
      <w:r>
        <w:rPr>
          <w:sz w:val="28"/>
          <w:szCs w:val="28"/>
        </w:rPr>
        <w:t xml:space="preserve">» в целях предотвращения затопления в связи с переливами береговой линии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иной межбюджетный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Иной межбюджетный трансферт предоставляе</w:t>
      </w:r>
      <w:r>
        <w:rPr>
          <w:sz w:val="28"/>
          <w:szCs w:val="28"/>
        </w:rPr>
        <w:t xml:space="preserve">тся в пре</w:t>
      </w:r>
      <w:r>
        <w:rPr>
          <w:sz w:val="28"/>
          <w:szCs w:val="28"/>
        </w:rPr>
        <w:t xml:space="preserve">делах бюджетных ассигнований, предусмотренных в законе Камчатского края о краевом бюджете на соответствующий финансовый год и на плановый период, в том числе поступивших из федерального бюджета, и лимитов бюджетных обязательств, доведенных до Министерства </w:t>
      </w:r>
      <w:r>
        <w:rPr>
          <w:sz w:val="28"/>
          <w:szCs w:val="28"/>
        </w:rPr>
        <w:t xml:space="preserve">по чрезвычайным ситуациям </w:t>
      </w:r>
      <w:r>
        <w:rPr>
          <w:sz w:val="28"/>
          <w:szCs w:val="28"/>
        </w:rPr>
        <w:t xml:space="preserve">Камчатского края (далее - Министерство) как получателя средств краевого бюджета на цели, указанные в </w:t>
      </w:r>
      <w:hyperlink w:tooltip="1. Настоящие Правила разработаны в соответствии со статьей 139.1 Бюджетного кодекса Российской Федерации и регулируют вопросы предоставления и распределения иных межбюджетных трансфертов из краевого бюджета местным бюджетам на реализацию регионального проекта " w:anchor="P19" w:history="1">
        <w:r>
          <w:rPr>
            <w:sz w:val="28"/>
            <w:szCs w:val="28"/>
          </w:rPr>
          <w:t xml:space="preserve">части 1</w:t>
        </w:r>
      </w:hyperlink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Иные межбюджетные трансферты предоставляются из краевого бюджета местным бюджетам на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, в том числе в полном объеме, расходных обязательств муниципальных образований в Камчатском крае, </w:t>
      </w:r>
      <w:r>
        <w:rPr>
          <w:sz w:val="28"/>
          <w:szCs w:val="28"/>
        </w:rPr>
        <w:t xml:space="preserve">возникающих в связи с реализацией мероприятия </w:t>
      </w:r>
      <w:r>
        <w:rPr>
          <w:sz w:val="28"/>
          <w:szCs w:val="28"/>
        </w:rPr>
        <w:t xml:space="preserve">по укреплению берега сельского поселения «село </w:t>
      </w:r>
      <w:r>
        <w:rPr>
          <w:sz w:val="28"/>
          <w:szCs w:val="28"/>
        </w:rPr>
        <w:t xml:space="preserve">Апука</w:t>
      </w:r>
      <w:r>
        <w:rPr>
          <w:sz w:val="28"/>
          <w:szCs w:val="28"/>
        </w:rPr>
        <w:t xml:space="preserve">» в целях предотвращения затопления в связи с переливами береговой линии.</w:t>
      </w:r>
      <w:r>
        <w:rPr>
          <w:color w:val="ff0000"/>
          <w:sz w:val="28"/>
          <w:szCs w:val="28"/>
        </w:rPr>
      </w:r>
    </w:p>
    <w:p>
      <w:pPr>
        <w:pStyle w:val="732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Критерием отбора муниципальных образований в Камчатском крае для предоставления иного межбюджетного трансферта является </w:t>
      </w:r>
      <w:r>
        <w:rPr>
          <w:sz w:val="28"/>
          <w:szCs w:val="28"/>
        </w:rPr>
        <w:t xml:space="preserve">необходимость</w:t>
      </w:r>
      <w:r>
        <w:rPr>
          <w:sz w:val="28"/>
          <w:szCs w:val="28"/>
        </w:rPr>
        <w:t xml:space="preserve"> выпо</w:t>
      </w:r>
      <w:r>
        <w:rPr>
          <w:sz w:val="28"/>
          <w:szCs w:val="28"/>
        </w:rPr>
        <w:t xml:space="preserve">лнения</w:t>
      </w:r>
      <w:r>
        <w:rPr>
          <w:sz w:val="28"/>
          <w:szCs w:val="28"/>
        </w:rPr>
        <w:t xml:space="preserve"> мероприятий по укреплению берега сельского поселения «село </w:t>
      </w:r>
      <w:r>
        <w:rPr>
          <w:sz w:val="28"/>
          <w:szCs w:val="28"/>
        </w:rPr>
        <w:t xml:space="preserve">Апука</w:t>
      </w:r>
      <w:r>
        <w:rPr>
          <w:sz w:val="28"/>
          <w:szCs w:val="28"/>
        </w:rPr>
        <w:t xml:space="preserve">» в целях предотвращения затопления в связи с переливами береговой линии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Условием предоставления иного межбюджетного трансферта местным бюдж</w:t>
      </w:r>
      <w:r>
        <w:rPr>
          <w:sz w:val="28"/>
          <w:szCs w:val="28"/>
        </w:rPr>
        <w:t xml:space="preserve">етам из краевого бюджета является заключение соглашения о предоставлении иного межбюджетного трансферта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</w:t>
      </w:r>
      <w:r>
        <w:rPr>
          <w:sz w:val="28"/>
          <w:szCs w:val="28"/>
        </w:rPr>
        <w:t xml:space="preserve">предоставление иного межбюджетного трансферта, и органом местного самоуправления муниципального образования (далее - соглашение о предоставлении иного межбюджетного трансферта), преду</w:t>
      </w:r>
      <w:r>
        <w:rPr>
          <w:sz w:val="28"/>
          <w:szCs w:val="28"/>
        </w:rPr>
        <w:t xml:space="preserve">сматривающего обязательства муниципального образования по исполнению расходных обязательств, в целях софинансирования которых предоставляется иной межбюджетный трансферт, и ответственность за неисполнение предусмотренных указанным соглашением обязательств.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Соглашение о предоставлении иного межбюджетного трансферта и дополнительные соглашения к соглашению о предоставлении иного межбюджетного трансферта заключаются в соответствии с т</w:t>
      </w:r>
      <w:r>
        <w:rPr>
          <w:sz w:val="28"/>
          <w:szCs w:val="28"/>
        </w:rPr>
        <w:t xml:space="preserve">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 субсидии местному бюджету определяется по следующей формуле: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m:oMath>
        <m:sSub>
          <m:sSubPr>
            <m:ctrlPr>
              <w:rPr>
                <w:rFonts w:ascii="Cambria Math" w:hAnsi="Cambria Math" w:eastAsia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rPr>
                <m:sty m:val="p"/>
              </m:rPr>
              <m:t>C</m:t>
            </m:r>
          </m:e>
          <m:sub>
            <m:r>
              <w:rPr>
                <w:rFonts w:ascii="Cambria Math" w:hAnsi="Cambria Math" w:eastAsia="Cambria Math" w:cs="Cambria Math"/>
              </w:rPr>
              <m:rPr/>
              <m:t/>
            </m:r>
          </m:sub>
        </m:sSub>
        <m:r>
          <w:rPr>
            <w:rFonts w:ascii="Cambria Math" w:hAnsi="Cambria Math"/>
            <w:sz w:val="32"/>
            <w:szCs w:val="32"/>
          </w:rPr>
          <m:rPr>
            <m:sty m:val="p"/>
          </m:rPr>
          <m:t>=</m:t>
        </m:r>
        <m:sSub>
          <m:sSubPr>
            <m:ctrlPr>
              <w:rPr>
                <w:rFonts w:ascii="Cambria Math" w:hAnsi="Cambria Math" w:eastAsia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rPr>
                <m:sty m:val="p"/>
              </m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rPr>
                <m:sty m:val="p"/>
              </m:rPr>
              <m:t>0</m:t>
            </m:r>
          </m:sub>
        </m:sSub>
        <m:r>
          <w:rPr>
            <w:rFonts w:ascii="Cambria Math" w:hAnsi="Cambria Math"/>
            <w:sz w:val="32"/>
            <w:szCs w:val="32"/>
          </w:rPr>
          <m:rPr>
            <m:sty m:val="p"/>
          </m:rPr>
          <m:t>×</m:t>
        </m:r>
        <m:f>
          <m:fPr>
            <m:ctrlPr>
              <w:rPr>
                <w:rFonts w:ascii="Cambria Math" w:hAnsi="Cambria Math" w:eastAsia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eastAsia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rPr>
                    <m:sty m:val="p"/>
                  </m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rPr>
                    <m:sty m:val="p"/>
                  </m:rPr>
                  <m:t>j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rPr>
                <m:sty m:val="p"/>
              </m:rPr>
              <m:t>×</m:t>
            </m:r>
            <m:d>
              <m:dPr>
                <m:ctrlPr>
                  <w:rPr>
                    <w:rFonts w:ascii="Cambria Math" w:hAnsi="Cambria Math" w:eastAsia="Cambria Math"/>
                    <w:sz w:val="32"/>
                    <w:szCs w:val="32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eastAsia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rPr>
                        <m:sty m:val="p"/>
                      </m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rPr>
                        <m:sty m:val="p"/>
                      </m:rPr>
                      <m:t>100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rPr>
                <m:sty m:val="p"/>
              </m:rPr>
              <m:t>Ʃ</m:t>
            </m:r>
            <m:sSub>
              <m:sSubPr>
                <m:ctrlPr>
                  <w:rPr>
                    <w:rFonts w:ascii="Cambria Math" w:hAnsi="Cambria Math" w:eastAsia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rPr>
                    <m:sty m:val="p"/>
                  </m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rPr>
                    <m:sty m:val="p"/>
                  </m:rPr>
                  <m:t>j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rPr>
                <m:sty m:val="p"/>
              </m:rPr>
              <m:t>×</m:t>
            </m:r>
            <m:d>
              <m:dPr>
                <m:ctrlPr>
                  <w:rPr>
                    <w:rFonts w:ascii="Cambria Math" w:hAnsi="Cambria Math" w:eastAsia="Cambria Math"/>
                    <w:sz w:val="32"/>
                    <w:szCs w:val="32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eastAsia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rPr>
                        <m:sty m:val="p"/>
                      </m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rPr>
                        <m:sty m:val="p"/>
                      </m:rPr>
                      <m:t>100</m:t>
                    </m:r>
                  </m:den>
                </m:f>
              </m:e>
            </m:d>
          </m:den>
        </m:f>
      </m:oMath>
      <w:r>
        <w:rPr>
          <w:rFonts w:ascii="Times New Roman" w:hAnsi="Times New Roman"/>
          <w:sz w:val="28"/>
          <w:szCs w:val="28"/>
        </w:rPr>
        <w:t xml:space="preserve">, где: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</w:t>
      </w:r>
      <w:r>
        <w:rPr>
          <w:rFonts w:ascii="Times New Roman" w:hAnsi="Times New Roman"/>
          <w:sz w:val="28"/>
          <w:szCs w:val="28"/>
          <w:vertAlign w:val="subscript"/>
        </w:rPr>
        <w:t xml:space="preserve">o</w:t>
      </w:r>
      <w:r>
        <w:rPr>
          <w:rFonts w:ascii="Times New Roman" w:hAnsi="Times New Roman"/>
          <w:sz w:val="28"/>
          <w:szCs w:val="28"/>
        </w:rPr>
        <w:t xml:space="preserve"> – общий объем средств, предусмотренный на реализацию мероприятия, подлежащий распределению между муниципальными образованиями;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 – количество муниципальных образований, соответствующих критерию отбора муниципальных образований и условию предоставления субсидий, установленным </w:t>
      </w:r>
      <w:hyperlink w:tooltip="4. Критерием отбора муниципальных образований является наличие в соответствующих муниципальных образованиях потребности в осуществлении мероприятий, обеспечивающих антитеррористическую защищенность объектов (территорий) образования." w:anchor="Par14" w:history="1">
        <w:r>
          <w:rPr>
            <w:rStyle w:val="705"/>
            <w:rFonts w:ascii="Times New Roman" w:hAnsi="Times New Roman"/>
            <w:color w:val="auto"/>
            <w:sz w:val="28"/>
            <w:szCs w:val="28"/>
            <w:u w:val="none"/>
          </w:rPr>
          <w:t xml:space="preserve">частями 4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w:tooltip="5.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" w:anchor="Par15" w:history="1">
        <w:r>
          <w:rPr>
            <w:rStyle w:val="705"/>
            <w:rFonts w:ascii="Times New Roman" w:hAnsi="Times New Roman"/>
            <w:color w:val="auto"/>
            <w:sz w:val="28"/>
            <w:szCs w:val="28"/>
            <w:u w:val="none"/>
          </w:rPr>
          <w:t xml:space="preserve">5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</w:t>
      </w:r>
      <w:r>
        <w:rPr>
          <w:rFonts w:ascii="Times New Roman" w:hAnsi="Times New Roman"/>
          <w:sz w:val="28"/>
          <w:szCs w:val="28"/>
          <w:vertAlign w:val="subscript"/>
        </w:rPr>
        <w:t xml:space="preserve">j</w:t>
      </w:r>
      <w:r>
        <w:rPr>
          <w:rFonts w:ascii="Times New Roman" w:hAnsi="Times New Roman"/>
          <w:sz w:val="28"/>
          <w:szCs w:val="28"/>
        </w:rPr>
        <w:t xml:space="preserve"> – заявленная потребность j-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реализацию мероприятия за счет средств краевого бюджета;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m:oMath>
        <m:r>
          <w:rPr>
            <w:rFonts w:ascii="Cambria Math" w:hAnsi="Cambria Math"/>
            <w:sz w:val="28"/>
            <w:szCs w:val="28"/>
          </w:rPr>
          <m:rPr/>
          <m:t>Ʃ</m:t>
        </m:r>
        <m:sSub>
          <m:sSubPr>
            <m:ctrlPr>
              <w:rPr>
                <w:rFonts w:ascii="Cambria Math" w:hAnsi="Cambria Math" w:eastAsia="Cambria Math" w:cs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rPr/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rPr/>
              <m:t>j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сумма потребности </w:t>
      </w:r>
      <w:r>
        <w:rPr>
          <w:rFonts w:ascii="Times New Roman" w:hAnsi="Times New Roman"/>
          <w:sz w:val="28"/>
          <w:szCs w:val="28"/>
        </w:rPr>
        <w:t xml:space="preserve">всех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заявившихся на реализацию мероприятия, за счет средств краевого бюджета;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– уровень софинансирования расходного обязательства муниципального образования из краевого бюджета (в процентах).</w:t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цели, не предусмотренные наст</w:t>
      </w:r>
      <w:r>
        <w:rPr>
          <w:sz w:val="28"/>
          <w:szCs w:val="28"/>
        </w:rPr>
        <w:t xml:space="preserve">оящим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Результатом предоставления иных межбюджетных трансфертов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количество приобретенных и доставленных мешков типа «Биг-</w:t>
      </w:r>
      <w:r>
        <w:rPr>
          <w:sz w:val="28"/>
          <w:szCs w:val="28"/>
        </w:rPr>
        <w:t xml:space="preserve">бэг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</w:t>
      </w:r>
      <w:r>
        <w:rPr>
          <w:rFonts w:eastAsia="Times New Roman"/>
          <w:sz w:val="28"/>
          <w:szCs w:val="28"/>
        </w:rPr>
        <w:t xml:space="preserve">ротяженность установленных мешков типа «Биг-</w:t>
      </w:r>
      <w:r>
        <w:rPr>
          <w:rFonts w:eastAsia="Times New Roman"/>
          <w:sz w:val="28"/>
          <w:szCs w:val="28"/>
        </w:rPr>
        <w:t xml:space="preserve">бэг</w:t>
      </w:r>
      <w:r>
        <w:rPr>
          <w:rFonts w:eastAsia="Times New Roman"/>
          <w:sz w:val="28"/>
          <w:szCs w:val="28"/>
        </w:rPr>
        <w:t xml:space="preserve">» вдоль береговой линии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Значения результатов предоставления иных межбюджетных трансфертов устанавливаются соглашением о предоставлении иного </w:t>
      </w:r>
      <w:r>
        <w:rPr>
          <w:sz w:val="28"/>
          <w:szCs w:val="28"/>
        </w:rPr>
        <w:t xml:space="preserve">межбюджетного трансферта.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установленные соглашением о предоставлении иного межбюджетного трансферта.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Оценка эффективности использования иного межбюджетного </w:t>
      </w:r>
      <w:r>
        <w:rPr>
          <w:sz w:val="28"/>
          <w:szCs w:val="28"/>
        </w:rPr>
        <w:t xml:space="preserve">трансферта осуществляется путем </w:t>
      </w:r>
      <w:r>
        <w:rPr>
          <w:sz w:val="28"/>
          <w:szCs w:val="28"/>
        </w:rPr>
        <w:t xml:space="preserve">сравнения,</w:t>
      </w:r>
      <w:r>
        <w:rPr>
          <w:sz w:val="28"/>
          <w:szCs w:val="28"/>
        </w:rPr>
        <w:t xml:space="preserve"> фактически достигнутого и установленного соглашением о предоставлении иного межбюджетного трансферта значения показателя результата использования иного межбюджетного трансферта.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случае, если муниципальным образованием по состоянию на 31 декабря года текущего финансового года доп</w:t>
      </w:r>
      <w:r>
        <w:rPr>
          <w:sz w:val="28"/>
          <w:szCs w:val="28"/>
        </w:rPr>
        <w:t xml:space="preserve">ущены нарушения, связанные с выполнением обязательств по обеспечению достижения значений результатов предоставления иного межбюджетного трансферта, предусмотренных соглашением о предоставлении иного межбюджетного трансферта, и до 1 апреля года, следующего </w:t>
      </w:r>
      <w:r>
        <w:rPr>
          <w:sz w:val="28"/>
          <w:szCs w:val="28"/>
        </w:rPr>
        <w:t xml:space="preserve">за годом предоставления иного межбюджетного трансферта, указанные нарушения не устранены, размер средств, подлежащих возврату из местного бюджета в краевой бюджет в срок до 20 апреля года, следующего за годом предоставления иного межбюджетного трансферта (</w:t>
      </w:r>
      <w:r>
        <w:rPr>
          <w:sz w:val="28"/>
          <w:szCs w:val="28"/>
        </w:rPr>
        <w:t xml:space="preserve">Увозврат</w:t>
      </w:r>
      <w:r>
        <w:rPr>
          <w:sz w:val="28"/>
          <w:szCs w:val="28"/>
        </w:rPr>
        <w:t xml:space="preserve">), рассчитывается по следующей формуле: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возврат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имбт</w:t>
      </w:r>
      <w:r>
        <w:rPr>
          <w:sz w:val="28"/>
          <w:szCs w:val="28"/>
        </w:rPr>
        <w:t xml:space="preserve"> - х </w:t>
      </w:r>
      <w:r>
        <w:rPr>
          <w:sz w:val="28"/>
          <w:szCs w:val="28"/>
        </w:rPr>
        <w:t xml:space="preserve">D</w:t>
      </w:r>
      <w:r>
        <w:rPr>
          <w:sz w:val="28"/>
          <w:szCs w:val="28"/>
          <w:vertAlign w:val="subscript"/>
        </w:rPr>
        <w:t xml:space="preserve">j</w:t>
      </w:r>
      <w:r>
        <w:rPr>
          <w:sz w:val="28"/>
          <w:szCs w:val="28"/>
        </w:rPr>
        <w:t xml:space="preserve">, где: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vertAlign w:val="subscript"/>
        </w:rPr>
        <w:t xml:space="preserve">имбт</w:t>
      </w:r>
      <w:r>
        <w:rPr>
          <w:sz w:val="28"/>
          <w:szCs w:val="28"/>
        </w:rPr>
        <w:t xml:space="preserve"> - размер иного межбюджетного трансферта, предоставленного местному бюджету, без учета остатка иного межбюджетного трансферта, не использованного по состоянию на 1 января текущего финансового года;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Индекс, отражающий уровень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j-того результата предоставления иного межбюджетного трансферта (</w:t>
      </w:r>
      <w:r>
        <w:rPr>
          <w:sz w:val="28"/>
          <w:szCs w:val="28"/>
        </w:rPr>
        <w:t xml:space="preserve">D</w:t>
      </w:r>
      <w:r>
        <w:rPr>
          <w:sz w:val="28"/>
          <w:szCs w:val="28"/>
          <w:vertAlign w:val="subscript"/>
        </w:rPr>
        <w:t xml:space="preserve">j</w:t>
      </w:r>
      <w:r>
        <w:rPr>
          <w:sz w:val="28"/>
          <w:szCs w:val="28"/>
        </w:rPr>
        <w:t xml:space="preserve">), рассчитывается по следующей формуле: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0090" cy="56007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009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6.70pt;height:44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t xml:space="preserve">, где: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</w:t>
      </w:r>
      <w:r>
        <w:rPr>
          <w:sz w:val="28"/>
          <w:szCs w:val="28"/>
          <w:vertAlign w:val="subscript"/>
        </w:rPr>
        <w:t xml:space="preserve">j</w:t>
      </w:r>
      <w:r>
        <w:rPr>
          <w:sz w:val="28"/>
          <w:szCs w:val="28"/>
        </w:rPr>
        <w:t xml:space="preserve"> - фактически достигнутое значение j-того результата предоставления иного межбюджетного трансферта на отчетную дату;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</w:t>
      </w:r>
      <w:r>
        <w:rPr>
          <w:sz w:val="28"/>
          <w:szCs w:val="28"/>
          <w:vertAlign w:val="subscript"/>
        </w:rPr>
        <w:t xml:space="preserve">j</w:t>
      </w:r>
      <w:r>
        <w:rPr>
          <w:sz w:val="28"/>
          <w:szCs w:val="28"/>
        </w:rPr>
        <w:t xml:space="preserve"> - плановое значение j-того результата предоставления иного межбюджетного трансферта, установленное соглашением о предоставлении иного межбюджетного трансферта.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случае нецелевого использования средств иного межбюджетного трансферта муниципальным образованием, иной межбюджетный трансферт подлежит возврату в краевой бюджет в течение 30 календарных дней со дня получения уведомления от Министерства.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направляет указанное уведомление в муниципальное образование в течение 30 календарных дней со дня установления факта </w:t>
      </w:r>
      <w:r>
        <w:rPr>
          <w:sz w:val="28"/>
          <w:szCs w:val="28"/>
        </w:rPr>
        <w:t xml:space="preserve">нецелевого использования иного межбюджетного трансферта.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средства иного межбюджетн</w:t>
      </w:r>
      <w:r>
        <w:rPr>
          <w:sz w:val="28"/>
          <w:szCs w:val="28"/>
        </w:rPr>
        <w:t xml:space="preserve">ого трансферта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Контроль за соблюдением муниципальными образованиями в Камчат</w:t>
      </w:r>
      <w:r>
        <w:rPr>
          <w:sz w:val="28"/>
          <w:szCs w:val="28"/>
        </w:rPr>
        <w:t xml:space="preserve">ском крае целей, порядка, условий предоставления и расходования иных межбюджетных трансфертов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Неиспользованные по состоянию на 1 января текущего финансового года иные межбюджетные трансферты, за исключе</w:t>
      </w:r>
      <w:r>
        <w:rPr>
          <w:sz w:val="28"/>
          <w:szCs w:val="28"/>
        </w:rPr>
        <w:t xml:space="preserve">нием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  <w:r>
        <w:rPr>
          <w:sz w:val="28"/>
          <w:szCs w:val="28"/>
        </w:rPr>
      </w:r>
    </w:p>
    <w:p>
      <w:pPr>
        <w:pStyle w:val="7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случае, если неиспользованный межбюджетный трансф</w:t>
      </w:r>
      <w:r>
        <w:rPr>
          <w:sz w:val="28"/>
          <w:szCs w:val="28"/>
        </w:rPr>
        <w:t xml:space="preserve">ерт не перечислен в доход краевого бюджета в срок, установленный пунктом 5 статьи 242 Бюджетного кодекса Российской Федерации, указанные средства подлежат взысканию в доход краевого бюджета в соответствии с бюджетным законодательством Российской Федерации.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707" w:bottom="1134" w:left="1560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8623885"/>
      <w:docPartObj>
        <w:docPartGallery w:val="Page Numbers (Top of Page)"/>
        <w:docPartUnique w:val="true"/>
      </w:docPartObj>
      <w:rPr/>
    </w:sdtPr>
    <w:sdtContent>
      <w:p>
        <w:pPr>
          <w:pStyle w:val="691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5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</w:p>
    </w:sdtContent>
  </w:sdt>
  <w:p>
    <w:pPr>
      <w:pStyle w:val="6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3"/>
    <w:link w:val="723"/>
    <w:uiPriority w:val="10"/>
    <w:rPr>
      <w:sz w:val="48"/>
      <w:szCs w:val="48"/>
    </w:rPr>
  </w:style>
  <w:style w:type="character" w:styleId="37">
    <w:name w:val="Subtitle Char"/>
    <w:basedOn w:val="683"/>
    <w:link w:val="719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1"/>
    <w:uiPriority w:val="99"/>
  </w:style>
  <w:style w:type="character" w:styleId="45">
    <w:name w:val="Footer Char"/>
    <w:basedOn w:val="683"/>
    <w:link w:val="721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link w:val="686"/>
    <w:qFormat/>
  </w:style>
  <w:style w:type="paragraph" w:styleId="678">
    <w:name w:val="Heading 1"/>
    <w:next w:val="677"/>
    <w:link w:val="70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79">
    <w:name w:val="Heading 2"/>
    <w:next w:val="677"/>
    <w:link w:val="72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80">
    <w:name w:val="Heading 3"/>
    <w:next w:val="677"/>
    <w:link w:val="69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81">
    <w:name w:val="Heading 4"/>
    <w:next w:val="677"/>
    <w:link w:val="72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82">
    <w:name w:val="Heading 5"/>
    <w:next w:val="677"/>
    <w:link w:val="702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Обычный1"/>
  </w:style>
  <w:style w:type="paragraph" w:styleId="687">
    <w:name w:val="toc 2"/>
    <w:next w:val="677"/>
    <w:link w:val="688"/>
    <w:uiPriority w:val="39"/>
    <w:pPr>
      <w:ind w:left="200"/>
    </w:pPr>
    <w:rPr>
      <w:rFonts w:ascii="XO Thames" w:hAnsi="XO Thames"/>
      <w:sz w:val="28"/>
    </w:rPr>
  </w:style>
  <w:style w:type="character" w:styleId="688" w:customStyle="1">
    <w:name w:val="Оглавление 2 Знак"/>
    <w:link w:val="687"/>
    <w:rPr>
      <w:rFonts w:ascii="XO Thames" w:hAnsi="XO Thames"/>
      <w:sz w:val="28"/>
    </w:rPr>
  </w:style>
  <w:style w:type="paragraph" w:styleId="689">
    <w:name w:val="toc 4"/>
    <w:next w:val="677"/>
    <w:link w:val="690"/>
    <w:uiPriority w:val="39"/>
    <w:pPr>
      <w:ind w:left="600"/>
    </w:pPr>
    <w:rPr>
      <w:rFonts w:ascii="XO Thames" w:hAnsi="XO Thames"/>
      <w:sz w:val="28"/>
    </w:rPr>
  </w:style>
  <w:style w:type="character" w:styleId="690" w:customStyle="1">
    <w:name w:val="Оглавление 4 Знак"/>
    <w:link w:val="689"/>
    <w:rPr>
      <w:rFonts w:ascii="XO Thames" w:hAnsi="XO Thames"/>
      <w:sz w:val="28"/>
    </w:rPr>
  </w:style>
  <w:style w:type="paragraph" w:styleId="691">
    <w:name w:val="Header"/>
    <w:basedOn w:val="677"/>
    <w:link w:val="692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6"/>
    <w:link w:val="691"/>
    <w:uiPriority w:val="99"/>
  </w:style>
  <w:style w:type="paragraph" w:styleId="693">
    <w:name w:val="toc 6"/>
    <w:next w:val="677"/>
    <w:link w:val="694"/>
    <w:uiPriority w:val="39"/>
    <w:pPr>
      <w:ind w:left="1000"/>
    </w:pPr>
    <w:rPr>
      <w:rFonts w:ascii="XO Thames" w:hAnsi="XO Thames"/>
      <w:sz w:val="28"/>
    </w:rPr>
  </w:style>
  <w:style w:type="character" w:styleId="694" w:customStyle="1">
    <w:name w:val="Оглавление 6 Знак"/>
    <w:link w:val="693"/>
    <w:rPr>
      <w:rFonts w:ascii="XO Thames" w:hAnsi="XO Thames"/>
      <w:sz w:val="28"/>
    </w:rPr>
  </w:style>
  <w:style w:type="paragraph" w:styleId="695">
    <w:name w:val="toc 7"/>
    <w:next w:val="677"/>
    <w:link w:val="696"/>
    <w:uiPriority w:val="39"/>
    <w:pPr>
      <w:ind w:left="1200"/>
    </w:pPr>
    <w:rPr>
      <w:rFonts w:ascii="XO Thames" w:hAnsi="XO Thames"/>
      <w:sz w:val="28"/>
    </w:rPr>
  </w:style>
  <w:style w:type="character" w:styleId="696" w:customStyle="1">
    <w:name w:val="Оглавление 7 Знак"/>
    <w:link w:val="695"/>
    <w:rPr>
      <w:rFonts w:ascii="XO Thames" w:hAnsi="XO Thames"/>
      <w:sz w:val="28"/>
    </w:rPr>
  </w:style>
  <w:style w:type="character" w:styleId="697" w:customStyle="1">
    <w:name w:val="Заголовок 3 Знак"/>
    <w:link w:val="680"/>
    <w:rPr>
      <w:rFonts w:ascii="XO Thames" w:hAnsi="XO Thames"/>
      <w:b/>
      <w:sz w:val="26"/>
    </w:rPr>
  </w:style>
  <w:style w:type="paragraph" w:styleId="698">
    <w:name w:val="Plain Text"/>
    <w:basedOn w:val="677"/>
    <w:link w:val="699"/>
    <w:pPr>
      <w:spacing w:after="0" w:line="240" w:lineRule="auto"/>
    </w:pPr>
    <w:rPr>
      <w:rFonts w:ascii="Calibri" w:hAnsi="Calibri"/>
    </w:rPr>
  </w:style>
  <w:style w:type="character" w:styleId="699" w:customStyle="1">
    <w:name w:val="Текст Знак"/>
    <w:basedOn w:val="686"/>
    <w:link w:val="698"/>
    <w:rPr>
      <w:rFonts w:ascii="Calibri" w:hAnsi="Calibri"/>
    </w:rPr>
  </w:style>
  <w:style w:type="paragraph" w:styleId="700">
    <w:name w:val="toc 3"/>
    <w:next w:val="677"/>
    <w:link w:val="701"/>
    <w:uiPriority w:val="39"/>
    <w:pPr>
      <w:ind w:left="400"/>
    </w:pPr>
    <w:rPr>
      <w:rFonts w:ascii="XO Thames" w:hAnsi="XO Thames"/>
      <w:sz w:val="28"/>
    </w:rPr>
  </w:style>
  <w:style w:type="character" w:styleId="701" w:customStyle="1">
    <w:name w:val="Оглавление 3 Знак"/>
    <w:link w:val="700"/>
    <w:rPr>
      <w:rFonts w:ascii="XO Thames" w:hAnsi="XO Thames"/>
      <w:sz w:val="28"/>
    </w:rPr>
  </w:style>
  <w:style w:type="character" w:styleId="702" w:customStyle="1">
    <w:name w:val="Заголовок 5 Знак"/>
    <w:link w:val="682"/>
    <w:rPr>
      <w:rFonts w:ascii="XO Thames" w:hAnsi="XO Thames"/>
      <w:b/>
      <w:sz w:val="22"/>
    </w:rPr>
  </w:style>
  <w:style w:type="character" w:styleId="703" w:customStyle="1">
    <w:name w:val="Заголовок 1 Знак"/>
    <w:link w:val="678"/>
    <w:rPr>
      <w:rFonts w:ascii="XO Thames" w:hAnsi="XO Thames"/>
      <w:b/>
      <w:sz w:val="32"/>
    </w:rPr>
  </w:style>
  <w:style w:type="paragraph" w:styleId="704" w:customStyle="1">
    <w:name w:val="Гиперссылка1"/>
    <w:basedOn w:val="712"/>
    <w:link w:val="705"/>
    <w:rPr>
      <w:color w:val="0563c1" w:themeColor="hyperlink"/>
      <w:u w:val="single"/>
    </w:rPr>
  </w:style>
  <w:style w:type="character" w:styleId="705">
    <w:name w:val="Hyperlink"/>
    <w:basedOn w:val="683"/>
    <w:link w:val="704"/>
    <w:rPr>
      <w:color w:val="0563c1" w:themeColor="hyperlink"/>
      <w:u w:val="single"/>
    </w:rPr>
  </w:style>
  <w:style w:type="paragraph" w:styleId="706" w:customStyle="1">
    <w:name w:val="Footnote"/>
    <w:link w:val="707"/>
    <w:pPr>
      <w:ind w:firstLine="851"/>
      <w:jc w:val="both"/>
    </w:pPr>
    <w:rPr>
      <w:rFonts w:ascii="XO Thames" w:hAnsi="XO Thames"/>
    </w:rPr>
  </w:style>
  <w:style w:type="character" w:styleId="707" w:customStyle="1">
    <w:name w:val="Footnote"/>
    <w:link w:val="706"/>
    <w:rPr>
      <w:rFonts w:ascii="XO Thames" w:hAnsi="XO Thames"/>
      <w:sz w:val="22"/>
    </w:rPr>
  </w:style>
  <w:style w:type="paragraph" w:styleId="708">
    <w:name w:val="toc 1"/>
    <w:next w:val="677"/>
    <w:link w:val="709"/>
    <w:uiPriority w:val="39"/>
    <w:rPr>
      <w:rFonts w:ascii="XO Thames" w:hAnsi="XO Thames"/>
      <w:b/>
      <w:sz w:val="28"/>
    </w:rPr>
  </w:style>
  <w:style w:type="character" w:styleId="709" w:customStyle="1">
    <w:name w:val="Оглавление 1 Знак"/>
    <w:link w:val="708"/>
    <w:rPr>
      <w:rFonts w:ascii="XO Thames" w:hAnsi="XO Thames"/>
      <w:b/>
      <w:sz w:val="28"/>
    </w:rPr>
  </w:style>
  <w:style w:type="paragraph" w:styleId="710" w:customStyle="1">
    <w:name w:val="Header and Footer"/>
    <w:link w:val="711"/>
    <w:pPr>
      <w:jc w:val="both"/>
      <w:spacing w:line="240" w:lineRule="auto"/>
    </w:pPr>
    <w:rPr>
      <w:rFonts w:ascii="XO Thames" w:hAnsi="XO Thames"/>
      <w:sz w:val="20"/>
    </w:rPr>
  </w:style>
  <w:style w:type="character" w:styleId="711" w:customStyle="1">
    <w:name w:val="Header and Footer"/>
    <w:link w:val="710"/>
    <w:rPr>
      <w:rFonts w:ascii="XO Thames" w:hAnsi="XO Thames"/>
      <w:sz w:val="20"/>
    </w:rPr>
  </w:style>
  <w:style w:type="paragraph" w:styleId="712" w:customStyle="1">
    <w:name w:val="Основной шрифт абзаца1"/>
  </w:style>
  <w:style w:type="paragraph" w:styleId="713">
    <w:name w:val="toc 9"/>
    <w:next w:val="677"/>
    <w:link w:val="714"/>
    <w:uiPriority w:val="39"/>
    <w:pPr>
      <w:ind w:left="1600"/>
    </w:pPr>
    <w:rPr>
      <w:rFonts w:ascii="XO Thames" w:hAnsi="XO Thames"/>
      <w:sz w:val="28"/>
    </w:rPr>
  </w:style>
  <w:style w:type="character" w:styleId="714" w:customStyle="1">
    <w:name w:val="Оглавление 9 Знак"/>
    <w:link w:val="713"/>
    <w:rPr>
      <w:rFonts w:ascii="XO Thames" w:hAnsi="XO Thames"/>
      <w:sz w:val="28"/>
    </w:rPr>
  </w:style>
  <w:style w:type="paragraph" w:styleId="715">
    <w:name w:val="toc 8"/>
    <w:next w:val="677"/>
    <w:link w:val="716"/>
    <w:uiPriority w:val="39"/>
    <w:pPr>
      <w:ind w:left="1400"/>
    </w:pPr>
    <w:rPr>
      <w:rFonts w:ascii="XO Thames" w:hAnsi="XO Thames"/>
      <w:sz w:val="28"/>
    </w:rPr>
  </w:style>
  <w:style w:type="character" w:styleId="716" w:customStyle="1">
    <w:name w:val="Оглавление 8 Знак"/>
    <w:link w:val="715"/>
    <w:rPr>
      <w:rFonts w:ascii="XO Thames" w:hAnsi="XO Thames"/>
      <w:sz w:val="28"/>
    </w:rPr>
  </w:style>
  <w:style w:type="paragraph" w:styleId="717">
    <w:name w:val="toc 5"/>
    <w:next w:val="677"/>
    <w:link w:val="718"/>
    <w:uiPriority w:val="39"/>
    <w:pPr>
      <w:ind w:left="800"/>
    </w:pPr>
    <w:rPr>
      <w:rFonts w:ascii="XO Thames" w:hAnsi="XO Thames"/>
      <w:sz w:val="28"/>
    </w:rPr>
  </w:style>
  <w:style w:type="character" w:styleId="718" w:customStyle="1">
    <w:name w:val="Оглавление 5 Знак"/>
    <w:link w:val="717"/>
    <w:rPr>
      <w:rFonts w:ascii="XO Thames" w:hAnsi="XO Thames"/>
      <w:sz w:val="28"/>
    </w:rPr>
  </w:style>
  <w:style w:type="paragraph" w:styleId="719">
    <w:name w:val="Subtitle"/>
    <w:next w:val="677"/>
    <w:link w:val="72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20" w:customStyle="1">
    <w:name w:val="Подзаголовок Знак"/>
    <w:link w:val="719"/>
    <w:rPr>
      <w:rFonts w:ascii="XO Thames" w:hAnsi="XO Thames"/>
      <w:i/>
      <w:sz w:val="24"/>
    </w:rPr>
  </w:style>
  <w:style w:type="paragraph" w:styleId="721">
    <w:name w:val="Footer"/>
    <w:basedOn w:val="677"/>
    <w:link w:val="72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22" w:customStyle="1">
    <w:name w:val="Нижний колонтитул Знак"/>
    <w:basedOn w:val="686"/>
    <w:link w:val="721"/>
    <w:rPr>
      <w:rFonts w:ascii="Times New Roman" w:hAnsi="Times New Roman"/>
      <w:sz w:val="28"/>
    </w:rPr>
  </w:style>
  <w:style w:type="paragraph" w:styleId="723">
    <w:name w:val="Title"/>
    <w:next w:val="677"/>
    <w:link w:val="72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24" w:customStyle="1">
    <w:name w:val="Название Знак"/>
    <w:link w:val="723"/>
    <w:rPr>
      <w:rFonts w:ascii="XO Thames" w:hAnsi="XO Thames"/>
      <w:b/>
      <w:caps/>
      <w:sz w:val="40"/>
    </w:rPr>
  </w:style>
  <w:style w:type="paragraph" w:styleId="725">
    <w:name w:val="Balloon Text"/>
    <w:basedOn w:val="677"/>
    <w:link w:val="726"/>
    <w:pPr>
      <w:spacing w:after="0" w:line="240" w:lineRule="auto"/>
    </w:pPr>
    <w:rPr>
      <w:rFonts w:ascii="Segoe UI" w:hAnsi="Segoe UI"/>
      <w:sz w:val="18"/>
    </w:rPr>
  </w:style>
  <w:style w:type="character" w:styleId="726" w:customStyle="1">
    <w:name w:val="Текст выноски Знак"/>
    <w:basedOn w:val="686"/>
    <w:link w:val="725"/>
    <w:rPr>
      <w:rFonts w:ascii="Segoe UI" w:hAnsi="Segoe UI"/>
      <w:sz w:val="18"/>
    </w:rPr>
  </w:style>
  <w:style w:type="character" w:styleId="727" w:customStyle="1">
    <w:name w:val="Заголовок 4 Знак"/>
    <w:link w:val="681"/>
    <w:rPr>
      <w:rFonts w:ascii="XO Thames" w:hAnsi="XO Thames"/>
      <w:b/>
      <w:sz w:val="24"/>
    </w:rPr>
  </w:style>
  <w:style w:type="character" w:styleId="728" w:customStyle="1">
    <w:name w:val="Заголовок 2 Знак"/>
    <w:link w:val="679"/>
    <w:rPr>
      <w:rFonts w:ascii="XO Thames" w:hAnsi="XO Thames"/>
      <w:b/>
      <w:sz w:val="28"/>
    </w:rPr>
  </w:style>
  <w:style w:type="table" w:styleId="729">
    <w:name w:val="Table Grid"/>
    <w:basedOn w:val="68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Сетка таблицы1"/>
    <w:basedOn w:val="68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Сетка таблицы2"/>
    <w:basedOn w:val="68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 w:customStyle="1">
    <w:name w:val="ConsPlusNormal"/>
    <w:pPr>
      <w:spacing w:after="0" w:line="240" w:lineRule="auto"/>
      <w:widowControl w:val="off"/>
    </w:pPr>
    <w:rPr>
      <w:rFonts w:ascii="Times New Roman" w:hAnsi="Times New Roman" w:eastAsiaTheme="minorEastAsia"/>
      <w:color w:val="auto"/>
      <w:sz w:val="24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image" Target="media/image2.wmf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Чернявский Максим Викторович</cp:lastModifiedBy>
  <cp:revision>6</cp:revision>
  <dcterms:created xsi:type="dcterms:W3CDTF">2025-06-24T02:53:00Z</dcterms:created>
  <dcterms:modified xsi:type="dcterms:W3CDTF">2025-06-24T03:34:38Z</dcterms:modified>
</cp:coreProperties>
</file>