
<file path=[Content_Types].xml><?xml version="1.0" encoding="utf-8"?>
<Types xmlns="http://schemas.openxmlformats.org/package/2006/content-types">
  <Default ContentType="image/jpeg" Extension="jpeg"/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4000000">
      <w:pPr>
        <w:spacing w:after="0" w:line="276" w:lineRule="auto"/>
        <w:ind/>
        <w:rPr>
          <w:rFonts w:ascii="Times New Roman" w:hAnsi="Times New Roman"/>
          <w:sz w:val="28"/>
        </w:rPr>
      </w:pPr>
      <w:r>
        <w:drawing>
          <wp:anchor allowOverlap="true" behindDoc="false" distL="114300" distR="114300" layoutInCell="true" locked="false" relativeHeight="251658240" simplePos="false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47700" cy="807720"/>
            <wp:effectExtent b="0" l="0" r="0" t="0"/>
            <wp:wrapTight distL="114300" distR="114300" wrapText="bothSides">
              <wp:wrapPolygon>
                <wp:start x="-318" y="0"/>
                <wp:lineTo x="-318" y="21346"/>
                <wp:lineTo x="21600" y="21346"/>
                <wp:lineTo x="21600" y="0"/>
                <wp:lineTo x="-318" y="0"/>
              </wp:wrapPolygon>
            </wp:wrapTight>
            <wp:docPr hidden="false" id="3" name="Picture 3"/>
            <a:graphic>
              <a:graphicData uri="http://schemas.openxmlformats.org/drawingml/2006/picture">
                <pic:pic>
                  <pic:nvPicPr>
                    <pic:cNvPr hidden="false" id="2" name="Picture 2"/>
                    <pic:cNvPicPr preferRelativeResize="true"/>
                  </pic:nvPicPr>
                  <pic:blipFill>
                    <a:blip r:embed="rId3"/>
                    <a:srcRect b="0" l="0" r="0" t="0"/>
                    <a:stretch/>
                  </pic:blipFill>
                  <pic:spPr>
                    <a:xfrm flipH="false" flipV="false" rot="0">
                      <a:ext cx="647700" cy="807720"/>
                    </a:xfrm>
                    <a:prstGeom prst="rect"/>
                  </pic:spPr>
                </pic:pic>
              </a:graphicData>
            </a:graphic>
          </wp:anchor>
        </w:drawing>
      </w:r>
    </w:p>
    <w:p w14:paraId="05000000">
      <w:pPr>
        <w:spacing w:after="0" w:line="360" w:lineRule="auto"/>
        <w:ind/>
        <w:jc w:val="center"/>
        <w:rPr>
          <w:rFonts w:ascii="Times New Roman" w:hAnsi="Times New Roman"/>
          <w:sz w:val="32"/>
        </w:rPr>
      </w:pPr>
    </w:p>
    <w:p w14:paraId="06000000">
      <w:pPr>
        <w:spacing w:after="0" w:line="240" w:lineRule="auto"/>
        <w:ind/>
        <w:jc w:val="center"/>
        <w:rPr>
          <w:rFonts w:ascii="Times New Roman" w:hAnsi="Times New Roman"/>
          <w:b w:val="1"/>
          <w:sz w:val="32"/>
        </w:rPr>
      </w:pPr>
    </w:p>
    <w:p w14:paraId="07000000">
      <w:pPr>
        <w:spacing w:after="0" w:line="240" w:lineRule="auto"/>
        <w:ind/>
        <w:rPr>
          <w:rFonts w:ascii="Times New Roman" w:hAnsi="Times New Roman"/>
          <w:b w:val="1"/>
          <w:sz w:val="32"/>
        </w:rPr>
      </w:pPr>
    </w:p>
    <w:p w14:paraId="08000000">
      <w:pPr>
        <w:spacing w:after="0" w:line="240" w:lineRule="auto"/>
        <w:ind/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>П О С Т А Н О В Л Е Н И Е</w:t>
      </w:r>
    </w:p>
    <w:p w14:paraId="0900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</w:p>
    <w:p w14:paraId="0A00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ПРАВИТЕЛЬСТВА</w:t>
      </w:r>
    </w:p>
    <w:p w14:paraId="0B00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КАМЧАТСКОГО КРАЯ</w:t>
      </w:r>
    </w:p>
    <w:p w14:paraId="0C000000">
      <w:pPr>
        <w:spacing w:after="0" w:line="240" w:lineRule="auto"/>
        <w:ind w:firstLine="709" w:left="0"/>
        <w:jc w:val="center"/>
        <w:rPr>
          <w:rFonts w:ascii="Times New Roman" w:hAnsi="Times New Roman"/>
          <w:sz w:val="28"/>
        </w:rPr>
      </w:pPr>
    </w:p>
    <w:tbl>
      <w:tblPr>
        <w:tblStyle w:val="Style_2"/>
        <w:tblW w:type="auto" w:w="0"/>
        <w:tblLayout w:type="fixed"/>
        <w:tblCellMar>
          <w:left w:type="dxa" w:w="0"/>
          <w:right w:type="dxa" w:w="0"/>
        </w:tblCellMar>
      </w:tblPr>
      <w:tblGrid>
        <w:gridCol w:w="4253"/>
      </w:tblGrid>
      <w:tr>
        <w:trPr>
          <w:trHeight w:hRule="atLeast" w:val="234"/>
        </w:trPr>
        <w:tc>
          <w:tcPr>
            <w:tcW w:type="dxa" w:w="4253"/>
            <w:tcBorders>
              <w:top w:sz="4" w:val="nil"/>
              <w:left w:sz="4" w:val="nil"/>
              <w:right w:sz="4" w:val="nil"/>
            </w:tcBorders>
            <w:tcMar>
              <w:left w:type="dxa" w:w="0"/>
              <w:right w:type="dxa" w:w="0"/>
            </w:tcMar>
          </w:tcPr>
          <w:p w14:paraId="0D000000">
            <w:pPr>
              <w:spacing w:after="0" w:line="240" w:lineRule="auto"/>
              <w:ind w:hanging="142" w:left="142"/>
              <w:rPr>
                <w:rFonts w:ascii="Times New Roman" w:hAnsi="Times New Roman"/>
                <w:sz w:val="24"/>
              </w:rPr>
            </w:pPr>
            <w:bookmarkStart w:id="1" w:name="REGNUMDATESTAMP"/>
            <w:r>
              <w:rPr>
                <w:rFonts w:ascii="Times New Roman" w:hAnsi="Times New Roman"/>
                <w:color w:val="FFFFFF"/>
                <w:sz w:val="24"/>
              </w:rPr>
              <w:t>[Дата регистрации] № [Номер</w:t>
            </w:r>
            <w:r>
              <w:rPr>
                <w:rFonts w:ascii="Times New Roman" w:hAnsi="Times New Roman"/>
                <w:color w:val="FFFFFF"/>
                <w:sz w:val="20"/>
              </w:rPr>
              <w:t xml:space="preserve"> документа</w:t>
            </w:r>
            <w:r>
              <w:rPr>
                <w:rFonts w:ascii="Times New Roman" w:hAnsi="Times New Roman"/>
                <w:color w:val="FFFFFF"/>
                <w:sz w:val="24"/>
              </w:rPr>
              <w:t>]</w:t>
            </w:r>
            <w:bookmarkEnd w:id="1"/>
          </w:p>
        </w:tc>
      </w:tr>
      <w:tr>
        <w:trPr>
          <w:trHeight w:hRule="atLeast" w:val="247"/>
        </w:trPr>
        <w:tc>
          <w:tcPr>
            <w:tcW w:type="dxa" w:w="4253"/>
            <w:tcBorders>
              <w:left w:sz="4" w:val="nil"/>
              <w:bottom w:sz="4" w:val="nil"/>
              <w:right w:sz="4" w:val="nil"/>
            </w:tcBorders>
            <w:tcMar>
              <w:left w:type="dxa" w:w="0"/>
              <w:right w:type="dxa" w:w="0"/>
            </w:tcMar>
          </w:tcPr>
          <w:p w14:paraId="0E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</w:rPr>
              <w:t>г. Петропавловск-Камчатский</w:t>
            </w:r>
          </w:p>
        </w:tc>
      </w:tr>
      <w:tr>
        <w:trPr>
          <w:trHeight w:hRule="atLeast" w:val="80"/>
        </w:trPr>
        <w:tc>
          <w:tcPr>
            <w:tcW w:type="dxa" w:w="4253"/>
            <w:tcMar>
              <w:left w:type="dxa" w:w="0"/>
              <w:right w:type="dxa" w:w="0"/>
            </w:tcMar>
          </w:tcPr>
          <w:p w14:paraId="0F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0"/>
              </w:rPr>
            </w:pPr>
          </w:p>
        </w:tc>
      </w:tr>
    </w:tbl>
    <w:p w14:paraId="10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11000000">
      <w:pPr>
        <w:spacing w:after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О внесении изменений в постановление Правительства Камчатского края от 20.06.2013 № 266-П «Об утверждении Правил использования на территории Камчатского края объектов животного мира, не отнесенных к охотничьим ресурсам, за исключением объектов животного мира, находящихся на особо охраняемых природных территориях федерального значения, а также объектов животного мира, занесенных в Красную книгу Российской Федерации</w:t>
      </w:r>
    </w:p>
    <w:p w14:paraId="12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13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14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ПРАВИТЕЛЬСТВО ПОСТАНОВЛЯЕТ:</w:t>
      </w:r>
    </w:p>
    <w:p w14:paraId="15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16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 Внести в постановление Правительства Камчатского края от 20.06.2013 № 266-П «Об утверждении Правил использования на территории Камчатского края объектов животного мира, не отнесенных к охотничьим ресурсам, за исключением объектов животного мира, находящихся на особо охраняемых природных территориях федерального значения, а также объектов животного мира, занесенных в Красную книгу Российской Федерации» следующие изменения:</w:t>
      </w:r>
    </w:p>
    <w:p w14:paraId="17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 наименование изложить в следующей редакции: </w:t>
      </w:r>
    </w:p>
    <w:p w14:paraId="18000000">
      <w:pPr>
        <w:spacing w:after="0" w:line="240" w:lineRule="auto"/>
        <w:ind w:firstLine="709" w:lef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«Об утверждении Правил использования объектов животного мира, не отнесенных к охотничьим ресурсам, на территории Камчатского края»</w:t>
      </w:r>
      <w:r>
        <w:rPr>
          <w:rFonts w:ascii="Times New Roman" w:hAnsi="Times New Roman"/>
          <w:sz w:val="28"/>
        </w:rPr>
        <w:t>;</w:t>
      </w:r>
    </w:p>
    <w:p w14:paraId="19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 преамбулу изложить в следующей редакции:</w:t>
      </w:r>
    </w:p>
    <w:p w14:paraId="1A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«В соответствии с ч</w:t>
      </w:r>
      <w:r>
        <w:rPr>
          <w:rFonts w:ascii="Times New Roman" w:hAnsi="Times New Roman"/>
          <w:color w:val="000000"/>
          <w:sz w:val="28"/>
        </w:rPr>
        <w:t>астью</w:t>
      </w:r>
      <w:r>
        <w:rPr>
          <w:rFonts w:ascii="Times New Roman" w:hAnsi="Times New Roman"/>
          <w:sz w:val="28"/>
        </w:rPr>
        <w:t xml:space="preserve"> 4 статьи 40, статьей 43 Федерального закона от 24.04.1995 № 52-ФЗ «О животном мире»;</w:t>
      </w:r>
    </w:p>
    <w:p w14:paraId="1B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 часть 1 изложить в следующей редакции:</w:t>
      </w:r>
    </w:p>
    <w:p w14:paraId="1C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«1. Утвердить Правила использования объектов животного мира, не отнесенных к охотничьим ресурсам, на территории Камчатского края согласно приложению к настоящему постановлению.»;</w:t>
      </w:r>
    </w:p>
    <w:p w14:paraId="1D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 приложение изложить в редакции согласно приложению к настоящему постановлению.</w:t>
      </w:r>
    </w:p>
    <w:p w14:paraId="1E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 Настоящее постановление вступает в силу после дня его официального опубликования.</w:t>
      </w:r>
    </w:p>
    <w:p w14:paraId="1F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20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21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tbl>
      <w:tblPr>
        <w:tblStyle w:val="Style_2"/>
        <w:tblW w:type="auto" w:w="0"/>
        <w:tblInd w:type="dxa" w:w="-34"/>
        <w:tblLayout w:type="fixed"/>
        <w:tblCellMar>
          <w:left w:type="dxa" w:w="0"/>
          <w:right w:type="dxa" w:w="0"/>
        </w:tblCellMar>
      </w:tblPr>
      <w:tblGrid>
        <w:gridCol w:w="3578"/>
        <w:gridCol w:w="3544"/>
        <w:gridCol w:w="2551"/>
      </w:tblGrid>
      <w:tr>
        <w:trPr>
          <w:trHeight w:hRule="atLeast" w:val="2220"/>
        </w:trPr>
        <w:tc>
          <w:tcPr>
            <w:tcW w:type="dxa" w:w="3578"/>
            <w:tcMar>
              <w:left w:type="dxa" w:w="0"/>
              <w:right w:type="dxa" w:w="0"/>
            </w:tcMar>
          </w:tcPr>
          <w:p w14:paraId="22000000">
            <w:pPr>
              <w:spacing w:after="0" w:line="240" w:lineRule="auto"/>
              <w:ind w:firstLine="0" w:left="30" w:right="27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Временно исполняющий обязанности Председателя Правительства </w:t>
            </w:r>
          </w:p>
          <w:p w14:paraId="23000000">
            <w:pPr>
              <w:spacing w:after="0" w:line="240" w:lineRule="auto"/>
              <w:ind w:firstLine="0" w:left="30" w:right="27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Камчатского края</w:t>
            </w:r>
          </w:p>
        </w:tc>
        <w:tc>
          <w:tcPr>
            <w:tcW w:type="dxa" w:w="3544"/>
            <w:tcMar>
              <w:left w:type="dxa" w:w="0"/>
              <w:right w:type="dxa" w:w="0"/>
            </w:tcMar>
          </w:tcPr>
          <w:p w14:paraId="24000000">
            <w:pPr>
              <w:spacing w:after="0" w:line="240" w:lineRule="auto"/>
              <w:ind w:hanging="3" w:left="3"/>
              <w:rPr>
                <w:rFonts w:ascii="Times New Roman" w:hAnsi="Times New Roman"/>
                <w:sz w:val="24"/>
              </w:rPr>
            </w:pPr>
          </w:p>
          <w:p w14:paraId="25000000">
            <w:pPr>
              <w:spacing w:after="0" w:line="240" w:lineRule="auto"/>
              <w:ind w:hanging="3" w:left="3"/>
              <w:rPr>
                <w:rFonts w:ascii="Times New Roman" w:hAnsi="Times New Roman"/>
                <w:sz w:val="24"/>
              </w:rPr>
            </w:pPr>
          </w:p>
          <w:p w14:paraId="26000000">
            <w:pPr>
              <w:spacing w:after="0" w:line="240" w:lineRule="auto"/>
              <w:ind w:firstLine="0" w:left="-1130"/>
              <w:rPr>
                <w:rFonts w:ascii="Times New Roman" w:hAnsi="Times New Roman"/>
                <w:sz w:val="24"/>
              </w:rPr>
            </w:pPr>
            <w:bookmarkStart w:id="2" w:name="SIGNERSTAMP1"/>
            <w:r>
              <w:rPr>
                <w:rFonts w:ascii="Times New Roman" w:hAnsi="Times New Roman"/>
                <w:color w:val="FFFFFF"/>
                <w:sz w:val="24"/>
              </w:rPr>
              <w:t>[г</w:t>
            </w:r>
            <w:bookmarkStart w:id="3" w:name="_GoBack"/>
            <w:bookmarkEnd w:id="3"/>
            <w:r>
              <w:rPr>
                <w:rFonts w:ascii="Times New Roman" w:hAnsi="Times New Roman"/>
                <w:color w:val="FFFFFF"/>
                <w:sz w:val="24"/>
              </w:rPr>
              <w:t>оризонтальный штамп подписи 1]</w:t>
            </w:r>
            <w:bookmarkEnd w:id="2"/>
          </w:p>
        </w:tc>
        <w:tc>
          <w:tcPr>
            <w:tcW w:type="dxa" w:w="2551"/>
            <w:tcMar>
              <w:left w:type="dxa" w:w="0"/>
              <w:right w:type="dxa" w:w="0"/>
            </w:tcMar>
          </w:tcPr>
          <w:p w14:paraId="27000000">
            <w:pPr>
              <w:spacing w:after="0" w:line="240" w:lineRule="auto"/>
              <w:ind w:right="135"/>
              <w:jc w:val="right"/>
              <w:rPr>
                <w:rFonts w:ascii="Times New Roman" w:hAnsi="Times New Roman"/>
                <w:sz w:val="28"/>
              </w:rPr>
            </w:pPr>
          </w:p>
          <w:p w14:paraId="28000000">
            <w:pPr>
              <w:spacing w:after="0" w:line="240" w:lineRule="auto"/>
              <w:ind w:right="135"/>
              <w:jc w:val="right"/>
              <w:rPr>
                <w:rFonts w:ascii="Times New Roman" w:hAnsi="Times New Roman"/>
                <w:sz w:val="28"/>
              </w:rPr>
            </w:pPr>
          </w:p>
          <w:p w14:paraId="29000000">
            <w:pPr>
              <w:spacing w:after="0" w:line="240" w:lineRule="auto"/>
              <w:ind w:right="135"/>
              <w:jc w:val="right"/>
              <w:rPr>
                <w:rFonts w:ascii="Times New Roman" w:hAnsi="Times New Roman"/>
                <w:sz w:val="28"/>
              </w:rPr>
            </w:pPr>
          </w:p>
          <w:p w14:paraId="2A000000">
            <w:pPr>
              <w:spacing w:after="0" w:line="240" w:lineRule="auto"/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8"/>
              </w:rPr>
              <w:t>Ю.С. Морозова</w:t>
            </w:r>
          </w:p>
        </w:tc>
      </w:tr>
    </w:tbl>
    <w:p w14:paraId="2B000000">
      <w:pPr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br w:type="page"/>
      </w:r>
    </w:p>
    <w:tbl>
      <w:tblPr>
        <w:tblStyle w:val="Style_2"/>
        <w:tblW w:type="auto" w:w="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480"/>
        <w:gridCol w:w="480"/>
        <w:gridCol w:w="480"/>
        <w:gridCol w:w="3661"/>
        <w:gridCol w:w="480"/>
        <w:gridCol w:w="1869"/>
        <w:gridCol w:w="486"/>
        <w:gridCol w:w="1701"/>
      </w:tblGrid>
      <w:tr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2C000000">
            <w:pPr>
              <w:widowControl w:val="0"/>
              <w:spacing w:after="0" w:line="240" w:lineRule="auto"/>
              <w:ind w:hanging="8079" w:left="8079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2D000000">
            <w:pPr>
              <w:widowControl w:val="0"/>
              <w:spacing w:after="0" w:line="240" w:lineRule="auto"/>
              <w:ind w:hanging="8079" w:left="8079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2E000000">
            <w:pPr>
              <w:widowControl w:val="0"/>
              <w:spacing w:after="0" w:line="240" w:lineRule="auto"/>
              <w:ind w:hanging="8079" w:left="8079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661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2F000000">
            <w:pPr>
              <w:widowControl w:val="0"/>
              <w:spacing w:after="0" w:line="240" w:lineRule="auto"/>
              <w:ind w:hanging="8079" w:left="8079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536"/>
            <w:gridSpan w:val="4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30000000">
            <w:pPr>
              <w:widowControl w:val="0"/>
              <w:spacing w:after="0" w:line="240" w:lineRule="auto"/>
              <w:ind w:hanging="8079" w:left="807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Приложение к постановлению</w:t>
            </w:r>
          </w:p>
        </w:tc>
      </w:tr>
      <w:tr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31000000">
            <w:pPr>
              <w:widowControl w:val="0"/>
              <w:spacing w:after="0" w:line="240" w:lineRule="auto"/>
              <w:ind w:hanging="8079" w:left="8079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32000000">
            <w:pPr>
              <w:widowControl w:val="0"/>
              <w:spacing w:after="0" w:line="240" w:lineRule="auto"/>
              <w:ind w:hanging="8079" w:left="8079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33000000">
            <w:pPr>
              <w:widowControl w:val="0"/>
              <w:spacing w:after="0" w:line="240" w:lineRule="auto"/>
              <w:ind w:hanging="8079" w:left="8079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661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34000000">
            <w:pPr>
              <w:widowControl w:val="0"/>
              <w:spacing w:after="0" w:line="240" w:lineRule="auto"/>
              <w:ind w:hanging="8079" w:left="8079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536"/>
            <w:gridSpan w:val="4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35000000">
            <w:pPr>
              <w:widowControl w:val="0"/>
              <w:spacing w:after="0" w:line="240" w:lineRule="auto"/>
              <w:ind w:hanging="8079" w:left="807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Правительства Камчатского края</w:t>
            </w:r>
          </w:p>
        </w:tc>
      </w:tr>
      <w:tr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36000000">
            <w:pPr>
              <w:spacing w:after="60" w:line="240" w:lineRule="auto"/>
              <w:ind w:hanging="8079" w:left="8079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37000000">
            <w:pPr>
              <w:spacing w:after="60" w:line="240" w:lineRule="auto"/>
              <w:ind w:hanging="8079" w:left="8079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38000000">
            <w:pPr>
              <w:spacing w:after="60" w:line="240" w:lineRule="auto"/>
              <w:ind w:hanging="8079" w:left="8079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661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39000000">
            <w:pPr>
              <w:spacing w:after="60" w:line="240" w:lineRule="auto"/>
              <w:ind w:hanging="8079" w:left="8079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3A000000">
            <w:pPr>
              <w:spacing w:after="60" w:line="240" w:lineRule="auto"/>
              <w:ind w:hanging="8079" w:left="807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от</w:t>
            </w:r>
          </w:p>
        </w:tc>
        <w:tc>
          <w:tcPr>
            <w:tcW w:type="dxa" w:w="1869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3B000000">
            <w:pPr>
              <w:spacing w:after="60" w:line="240" w:lineRule="auto"/>
              <w:ind w:hanging="8079" w:left="8079"/>
              <w:jc w:val="right"/>
              <w:rPr>
                <w:rFonts w:ascii="Times New Roman" w:hAnsi="Times New Roman"/>
                <w:color w:val="FFFFFF"/>
                <w:sz w:val="28"/>
              </w:rPr>
            </w:pPr>
            <w:r>
              <w:rPr>
                <w:rFonts w:ascii="Times New Roman" w:hAnsi="Times New Roman"/>
                <w:color w:val="FFFFFF"/>
                <w:sz w:val="28"/>
              </w:rPr>
              <w:t>[R</w:t>
            </w:r>
            <w:r>
              <w:rPr>
                <w:rFonts w:ascii="Times New Roman" w:hAnsi="Times New Roman"/>
                <w:color w:val="FFFFFF"/>
                <w:sz w:val="16"/>
              </w:rPr>
              <w:t>EGDATESTAMP]</w:t>
            </w:r>
          </w:p>
        </w:tc>
        <w:tc>
          <w:tcPr>
            <w:tcW w:type="dxa" w:w="486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3C000000">
            <w:pPr>
              <w:spacing w:after="60" w:line="240" w:lineRule="auto"/>
              <w:ind w:hanging="8079" w:left="807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№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</w:tcPr>
          <w:p w14:paraId="3D000000">
            <w:pPr>
              <w:spacing w:after="60" w:line="240" w:lineRule="auto"/>
              <w:ind w:hanging="8079" w:left="8079"/>
              <w:jc w:val="right"/>
              <w:rPr>
                <w:rFonts w:ascii="Times New Roman" w:hAnsi="Times New Roman"/>
                <w:color w:val="FFFFFF"/>
                <w:sz w:val="28"/>
              </w:rPr>
            </w:pPr>
            <w:r>
              <w:rPr>
                <w:rFonts w:ascii="Times New Roman" w:hAnsi="Times New Roman"/>
                <w:color w:val="FFFFFF"/>
                <w:sz w:val="28"/>
              </w:rPr>
              <w:t>[R</w:t>
            </w:r>
            <w:r>
              <w:rPr>
                <w:rFonts w:ascii="Times New Roman" w:hAnsi="Times New Roman"/>
                <w:color w:val="FFFFFF"/>
                <w:sz w:val="16"/>
              </w:rPr>
              <w:t>EGNUMSTAMP]</w:t>
            </w:r>
          </w:p>
        </w:tc>
      </w:tr>
    </w:tbl>
    <w:p w14:paraId="3E00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3F00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40000000">
      <w:pPr>
        <w:spacing w:after="0" w:line="240" w:lineRule="auto"/>
        <w:ind w:firstLine="4961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«Приложение к постановлению</w:t>
      </w:r>
    </w:p>
    <w:p w14:paraId="41000000">
      <w:pPr>
        <w:spacing w:after="0" w:line="240" w:lineRule="auto"/>
        <w:ind w:firstLine="4961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Правительства Камчатского края</w:t>
      </w:r>
    </w:p>
    <w:p w14:paraId="42000000">
      <w:pPr>
        <w:spacing w:after="0" w:line="240" w:lineRule="auto"/>
        <w:ind w:firstLine="4961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от 20.06.2013 № 266-П</w:t>
      </w:r>
    </w:p>
    <w:p w14:paraId="43000000">
      <w:pPr>
        <w:spacing w:after="0" w:line="240" w:lineRule="auto"/>
        <w:ind w:firstLine="4961" w:left="0"/>
        <w:jc w:val="both"/>
        <w:rPr>
          <w:rFonts w:ascii="Times New Roman" w:hAnsi="Times New Roman"/>
          <w:sz w:val="28"/>
        </w:rPr>
      </w:pPr>
    </w:p>
    <w:p w14:paraId="44000000">
      <w:pPr>
        <w:spacing w:after="0" w:line="240" w:lineRule="auto"/>
        <w:ind w:firstLine="4961" w:left="0"/>
        <w:jc w:val="both"/>
        <w:rPr>
          <w:rFonts w:ascii="Times New Roman" w:hAnsi="Times New Roman"/>
          <w:sz w:val="28"/>
        </w:rPr>
      </w:pPr>
    </w:p>
    <w:p w14:paraId="45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Правила</w:t>
      </w:r>
    </w:p>
    <w:p w14:paraId="46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использования объектов животного мира, не отнесенных к охотничьим ресурсам, на территории Камчатского края </w:t>
      </w:r>
    </w:p>
    <w:p w14:paraId="47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48000000">
      <w:pPr>
        <w:spacing w:after="0" w:line="240" w:lineRule="auto"/>
        <w:ind w:firstLine="709" w:lef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 Общие положения</w:t>
      </w:r>
    </w:p>
    <w:p w14:paraId="49000000">
      <w:pPr>
        <w:spacing w:after="0" w:line="240" w:lineRule="auto"/>
        <w:ind w:firstLine="709" w:left="0"/>
        <w:jc w:val="center"/>
        <w:rPr>
          <w:rFonts w:ascii="Times New Roman" w:hAnsi="Times New Roman"/>
          <w:sz w:val="28"/>
        </w:rPr>
      </w:pPr>
    </w:p>
    <w:p w14:paraId="4A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 Настоящие Правила разработаны в соответствии с Федеральным законом от 24.04.1995 № 52-ФЗ «О животном мире» и регламентируют порядок использования на территории Камчатского края объектов животного мира, не отнесенных к охотничьим ресурсам, в том числе порядок добычи объектов животного мира.</w:t>
      </w:r>
    </w:p>
    <w:p w14:paraId="4B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 Настоящие Правила не распространяются на случаи использования объектов животного мира:</w:t>
      </w:r>
    </w:p>
    <w:p w14:paraId="4C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 отнесенных в установленном порядке к охотничьим ресурсам и водным биологическим ресурсам;</w:t>
      </w:r>
    </w:p>
    <w:p w14:paraId="4D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 включенных в Красную книгу Российской Федерации и (или) охраняемых международными договорами Российской Федерации;</w:t>
      </w:r>
    </w:p>
    <w:p w14:paraId="4E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 занесенных в Красную книгу Камчатского края;</w:t>
      </w:r>
    </w:p>
    <w:p w14:paraId="4F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 обитающих на особо охраняемых природных территориях федерального значения;</w:t>
      </w:r>
    </w:p>
    <w:p w14:paraId="50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5) содержащихся в полувольных условиях и искусственно созданной среде обитания и находящихся в собственности физических или юридических лиц;</w:t>
      </w:r>
    </w:p>
    <w:p w14:paraId="51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6) представляющих угрозу для здоровья и жизни людей, сельскохозяйственных и других домашних животных, а также наносящих ущерб сельскому, лесному и охотничьему хозяйствам.</w:t>
      </w:r>
    </w:p>
    <w:p w14:paraId="52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 Для целей настоящих Правил используются следующие основные понятия:</w:t>
      </w:r>
    </w:p>
    <w:p w14:paraId="53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u w:color="000000"/>
        </w:rPr>
        <w:t>1) объект животного мира</w:t>
      </w:r>
      <w:r>
        <w:rPr>
          <w:rFonts w:ascii="Times New Roman" w:hAnsi="Times New Roman"/>
          <w:sz w:val="28"/>
        </w:rPr>
        <w:t xml:space="preserve"> – организм животного происхождения (дикое животное);</w:t>
      </w:r>
    </w:p>
    <w:p w14:paraId="54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u w:color="000000"/>
        </w:rPr>
        <w:t>2) пользование животным миром</w:t>
      </w:r>
      <w:r>
        <w:rPr>
          <w:rFonts w:ascii="Times New Roman" w:hAnsi="Times New Roman"/>
          <w:sz w:val="28"/>
        </w:rPr>
        <w:t xml:space="preserve"> – юридически обусловленная деятельность граждан, индивидуальных предпринимателей и юридических лиц по использованию объектов животного мира;</w:t>
      </w:r>
    </w:p>
    <w:p w14:paraId="55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u w:color="000000"/>
        </w:rPr>
        <w:t>3) использование объектов животного мира</w:t>
      </w:r>
      <w:r>
        <w:rPr>
          <w:rFonts w:ascii="Times New Roman" w:hAnsi="Times New Roman"/>
          <w:sz w:val="28"/>
        </w:rPr>
        <w:t xml:space="preserve"> – изучение, добыча объектов животного мира или получение иными способами пользы от указанных объектов для удовлетворения материальных или духовных потребностей;</w:t>
      </w:r>
    </w:p>
    <w:p w14:paraId="56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 добыча объектов животного мира – разрешенные виды деятельности, направленные на изъятие объектов животного мира из среды их обитания, в том числе: отстрел, отлов с использованием специальных средств или приспособлений либо без них, сбор яиц, кладок, икры, личинок, коконов;</w:t>
      </w:r>
    </w:p>
    <w:p w14:paraId="57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5) орудия добычи объектов животного мира – охотничье огнестрельное, пневматическое и холодное оружие, а также самоловы и другие устройства, приборы, оборудование, используемые при осуществлении добычи;</w:t>
      </w:r>
    </w:p>
    <w:p w14:paraId="58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6) способы добычи объектов животного мира – методы и приемы, применяемые при осуществлении добычи объектов животного мира, в том числе с использованием ловчих птиц;</w:t>
      </w:r>
    </w:p>
    <w:p w14:paraId="59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7) продукция добычи объектов животного мира – добытые объекты животного мира, а также полученные от них мясо, шкуры (шкурки), пух, перо, внутренние органы и иные части их тел, а также яйца птиц, рептилий, амфибий;</w:t>
      </w:r>
    </w:p>
    <w:p w14:paraId="5A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8) срок добычи объектов животного мира – установленный период времени, в течение которого может производиться добыча определенных видов объектов животного мира;</w:t>
      </w:r>
    </w:p>
    <w:p w14:paraId="5B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9) полувольные условия – огороженные участки территорий и (или) акваторий, имеющие основные признаки естественной среды обитания, на которых объекты животного мира ведут в основном естественный образ жизни, но при этом ограничена возможность их контакта с объектами животного мира, находящимися в состоянии естественной свободы, обитающими на прилегающих к указанным участкам территории и акватории;</w:t>
      </w:r>
    </w:p>
    <w:p w14:paraId="5C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10) искусственно созданная среда обитания – среда обитания, созданная собственником объектов животного мира в целях их дальнейшего содержания и разведения, полностью изолированная от естественной среды обитания и обеспечивающая жизненные потребности животных.</w:t>
      </w:r>
    </w:p>
    <w:p w14:paraId="5D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 Пользование объектами животного мира на территории Камчатского края может осуществляться следующими видами и способами:</w:t>
      </w:r>
    </w:p>
    <w:p w14:paraId="5E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 добыча объектов животного мира; </w:t>
      </w:r>
    </w:p>
    <w:p w14:paraId="5F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 изучение, исследование и иное использование объектов животного мира в научных, культурно-просветительных, воспитательных, рекреационных, образовательных, эстетических целях без изъятия их из среды обитания;</w:t>
      </w:r>
    </w:p>
    <w:p w14:paraId="60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3) использование полезных свойств жизнедеятельности объектов животного мира; </w:t>
      </w:r>
    </w:p>
    <w:p w14:paraId="61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 получение продуктов жизнедеятельности объектов животного мира.</w:t>
      </w:r>
    </w:p>
    <w:p w14:paraId="62000000">
      <w:pPr>
        <w:spacing w:after="0" w:line="240" w:lineRule="auto"/>
        <w:ind w:firstLine="709" w:left="0"/>
        <w:jc w:val="both"/>
        <w:rPr>
          <w:rFonts w:ascii="Times New Roman" w:hAnsi="Times New Roman"/>
          <w:strike w:val="1"/>
          <w:color w:val="FF0000"/>
          <w:sz w:val="28"/>
        </w:rPr>
      </w:pPr>
      <w:r>
        <w:rPr>
          <w:rFonts w:ascii="Times New Roman" w:hAnsi="Times New Roman"/>
          <w:sz w:val="28"/>
        </w:rPr>
        <w:t xml:space="preserve">5. Право пользования объектами животного мира на территории Камчатского края имеют российские юридические лица вне зависимости от форм собственности и граждане Российской Федерации. </w:t>
      </w:r>
    </w:p>
    <w:p w14:paraId="63000000">
      <w:pPr>
        <w:spacing w:after="0" w:line="240" w:lineRule="auto"/>
        <w:ind w:firstLine="709" w:left="0"/>
        <w:jc w:val="both"/>
        <w:rPr>
          <w:rFonts w:ascii="Times New Roman" w:hAnsi="Times New Roman"/>
          <w:strike w:val="1"/>
          <w:color w:val="FF0000"/>
          <w:sz w:val="28"/>
        </w:rPr>
      </w:pPr>
      <w:r>
        <w:rPr>
          <w:rFonts w:ascii="Times New Roman" w:hAnsi="Times New Roman"/>
          <w:sz w:val="28"/>
        </w:rPr>
        <w:t xml:space="preserve">6. Лица, относящиеся к коренным малочисленным народам Российской Федерации, представители других этнических общностей, самобытная культура и образ жизни которых включают традиционные методы охраны и использования объектов животного мира, и их объединения </w:t>
      </w:r>
      <w:r>
        <w:rPr>
          <w:rFonts w:ascii="Times New Roman" w:hAnsi="Times New Roman"/>
          <w:sz w:val="28"/>
          <w:u w:color="000000"/>
        </w:rPr>
        <w:t>имеют право на приоритетное пользование животным миром на территориях традиционного расселения в местах традиционного проживания и традиционной хозяйственной деятельности коренных малочисленных народов Российской Федерации в Камчатском крае</w:t>
      </w:r>
      <w:r>
        <w:rPr>
          <w:rFonts w:ascii="Times New Roman" w:hAnsi="Times New Roman"/>
          <w:sz w:val="28"/>
        </w:rPr>
        <w:t>.</w:t>
      </w:r>
    </w:p>
    <w:p w14:paraId="64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 Пользование животным миром осуществляется посредством изъятия объектов животного мира из среды их обитания либо без такового.</w:t>
      </w:r>
    </w:p>
    <w:p w14:paraId="65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8. Пользование объектами животного мира, за исключением видов (способов) пользования, осуществляемых без их изъятия из среды обитания, допускается по разрешениям, выдаваемым Министерством лесного и охотничьего хозяйства Камчатского края в соответствии с Административным регламентом Министерства лесного и охотничьего хозяйства Камчатского края по предоставлению государственной услуги в сфере переданных полномочий Российской Федерации «Выдача разрешения на использование объектов животного мира, за исключением объектов, находящихся на особо охраняемых природных территориях федерального значения, а также объектов животного мира, занесенных в Красную книгу Российской Федерации», утвержденным постановлением Губернатора Камчатского края от 22.08.2012 № 168 (далее – разрешение на использование объектов животного мира).</w:t>
      </w:r>
    </w:p>
    <w:p w14:paraId="66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67000000">
      <w:pPr>
        <w:spacing w:after="0" w:line="240" w:lineRule="auto"/>
        <w:ind w:firstLine="709" w:lef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 Добыча объектов животного мира</w:t>
      </w:r>
    </w:p>
    <w:p w14:paraId="68000000">
      <w:pPr>
        <w:widowControl w:val="0"/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69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9. Добыча объектов животного мира, за исключением объектов животного мира, занесенных в Красную книгу Камчатского края, допускается по разрешениям на использование объектов животного мира, выдаваемым в соответствии с частью 8 настоящих Правил. </w:t>
      </w:r>
    </w:p>
    <w:p w14:paraId="6A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10. Добыча объектов животного мира, занесенных в Красную книгу Камчатского края, допускается в исключительных случаях и регламентируется Порядком добычи (вылова, сбора) объектов животного и растительного мира, занесенных в Красную книгу Камчатского края, утвержденным постановлением Правительства Камчатского края от 02.03.2018 № 93-П.</w:t>
      </w:r>
    </w:p>
    <w:p w14:paraId="6B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11. Добыча объектов животного мира, указанных в Перечне разрешенных для добычи на территории Камчатского края объектов животного мира, не отнесенных к охотничьим ресурсам и не принадлежащих к видам, занесенным в Красную книгу Российской Федерации и Красную книгу Камчатского края</w:t>
      </w:r>
      <w:r>
        <w:rPr>
          <w:rFonts w:ascii="Times New Roman" w:hAnsi="Times New Roman"/>
          <w:color w:val="FF0000"/>
          <w:sz w:val="28"/>
        </w:rPr>
        <w:t xml:space="preserve"> </w:t>
      </w:r>
      <w:r>
        <w:rPr>
          <w:rFonts w:ascii="Times New Roman" w:hAnsi="Times New Roman"/>
          <w:sz w:val="28"/>
        </w:rPr>
        <w:t>согласно приложению к настоящим Правилам (далее – Перечень), допускается в целях:</w:t>
      </w:r>
    </w:p>
    <w:p w14:paraId="6C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 осуществления государственного мониторинга объектов животного мира;</w:t>
      </w:r>
    </w:p>
    <w:p w14:paraId="6D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 осуществления научной, культурно-просветительной, воспитательной, рекреационной, образовательной, эстетической деятельности;</w:t>
      </w:r>
    </w:p>
    <w:p w14:paraId="6E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trike w:val="1"/>
          <w:color w:val="FF0000"/>
          <w:sz w:val="28"/>
        </w:rPr>
      </w:pPr>
      <w:r>
        <w:rPr>
          <w:rFonts w:ascii="Times New Roman" w:hAnsi="Times New Roman"/>
          <w:sz w:val="28"/>
        </w:rPr>
        <w:t xml:space="preserve">3) создания и пополнения зоологических коллекций; </w:t>
      </w:r>
    </w:p>
    <w:p w14:paraId="6F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trike w:val="1"/>
          <w:color w:val="FF0000"/>
          <w:sz w:val="28"/>
        </w:rPr>
      </w:pPr>
      <w:r>
        <w:rPr>
          <w:rFonts w:ascii="Times New Roman" w:hAnsi="Times New Roman"/>
          <w:sz w:val="28"/>
        </w:rPr>
        <w:t xml:space="preserve">4) регулирования численности объектов животного мира; </w:t>
      </w:r>
    </w:p>
    <w:p w14:paraId="70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trike w:val="1"/>
          <w:color w:val="FF0000"/>
          <w:sz w:val="28"/>
        </w:rPr>
      </w:pPr>
      <w:r>
        <w:rPr>
          <w:rFonts w:ascii="Times New Roman" w:hAnsi="Times New Roman"/>
          <w:sz w:val="28"/>
        </w:rPr>
        <w:t>5) содержания и разведения объектов животного мира в полувольных условиях и искусственно созданной среде обитания;</w:t>
      </w:r>
    </w:p>
    <w:p w14:paraId="71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6) акклиматизации, переселения и гибридизации;</w:t>
      </w:r>
    </w:p>
    <w:p w14:paraId="72000000">
      <w:pPr>
        <w:spacing w:after="0" w:line="240" w:lineRule="auto"/>
        <w:ind w:firstLine="709" w:left="0"/>
        <w:jc w:val="both"/>
        <w:rPr>
          <w:rFonts w:ascii="Times New Roman" w:hAnsi="Times New Roman"/>
          <w:strike w:val="1"/>
          <w:color w:val="FF0000"/>
          <w:sz w:val="28"/>
        </w:rPr>
      </w:pPr>
      <w:r>
        <w:rPr>
          <w:rFonts w:ascii="Times New Roman" w:hAnsi="Times New Roman"/>
          <w:sz w:val="28"/>
        </w:rPr>
        <w:t xml:space="preserve">7) предотвращения гибели охотничьих ресурсов (изъятие хищных животных, за исключением объектов животного мира, отнесенных к охотничьим ресурсам, а также млекопитающих и птиц, занесенных в Красную книгу Российской Федерации и (или) в Красную книгу Камчатского края, влияющих на сокращение численности охотничьих ресурсов); </w:t>
      </w:r>
    </w:p>
    <w:p w14:paraId="73000000">
      <w:pPr>
        <w:spacing w:after="0" w:line="240" w:lineRule="auto"/>
        <w:ind w:firstLine="709" w:left="0"/>
        <w:jc w:val="both"/>
        <w:rPr>
          <w:rFonts w:ascii="Times New Roman" w:hAnsi="Times New Roman"/>
          <w:strike w:val="1"/>
          <w:color w:val="FF0000"/>
          <w:sz w:val="28"/>
        </w:rPr>
      </w:pPr>
      <w:r>
        <w:rPr>
          <w:rFonts w:ascii="Times New Roman" w:hAnsi="Times New Roman"/>
          <w:sz w:val="28"/>
        </w:rPr>
        <w:t>8) обеспечения традиционного образа жизни и осуществления традиционной хозяйственной</w:t>
      </w:r>
      <w:r>
        <w:rPr>
          <w:rFonts w:ascii="Times New Roman" w:hAnsi="Times New Roman"/>
          <w:sz w:val="28"/>
          <w:u w:color="000000"/>
        </w:rPr>
        <w:t xml:space="preserve"> </w:t>
      </w:r>
      <w:r>
        <w:rPr>
          <w:rFonts w:ascii="Times New Roman" w:hAnsi="Times New Roman"/>
          <w:sz w:val="28"/>
          <w:u w:color="000000"/>
        </w:rPr>
        <w:fldChar w:fldCharType="begin"/>
      </w:r>
      <w:r>
        <w:rPr>
          <w:rFonts w:ascii="Times New Roman" w:hAnsi="Times New Roman"/>
          <w:sz w:val="28"/>
          <w:u w:color="000000"/>
        </w:rPr>
        <w:instrText>HYPERLINK "https://www.consultant.ru/document/cons_doc_LAW_476035/ef7ab57e4366593a82495aa9a261f9a71e475e7e/#dst100211"</w:instrText>
      </w:r>
      <w:r>
        <w:rPr>
          <w:rFonts w:ascii="Times New Roman" w:hAnsi="Times New Roman"/>
          <w:sz w:val="28"/>
          <w:u w:color="000000"/>
        </w:rPr>
        <w:fldChar w:fldCharType="separate"/>
      </w:r>
      <w:r>
        <w:rPr>
          <w:rFonts w:ascii="Times New Roman" w:hAnsi="Times New Roman"/>
          <w:sz w:val="28"/>
          <w:u w:color="000000"/>
        </w:rPr>
        <w:t>деятельности</w:t>
      </w:r>
      <w:r>
        <w:rPr>
          <w:rFonts w:ascii="Times New Roman" w:hAnsi="Times New Roman"/>
          <w:sz w:val="28"/>
          <w:u w:color="000000"/>
        </w:rPr>
        <w:fldChar w:fldCharType="end"/>
      </w:r>
      <w:r>
        <w:rPr>
          <w:rFonts w:ascii="Times New Roman" w:hAnsi="Times New Roman"/>
          <w:sz w:val="28"/>
        </w:rPr>
        <w:t xml:space="preserve"> лицами, включенными на законных основаниях в одну из групп населения, указанных в части 1 статьи 49 Федерального закона от 24.04.1995 № 52-ФЗ «О животном мире» (далее – обеспечение традиционного образа жизни и осуществление традиционной хозяйственной</w:t>
      </w:r>
      <w:r>
        <w:rPr>
          <w:rFonts w:ascii="Times New Roman" w:hAnsi="Times New Roman"/>
          <w:sz w:val="28"/>
          <w:u w:color="000000"/>
        </w:rPr>
        <w:t xml:space="preserve"> </w:t>
      </w:r>
      <w:r>
        <w:rPr>
          <w:rFonts w:ascii="Times New Roman" w:hAnsi="Times New Roman"/>
          <w:sz w:val="28"/>
          <w:u w:color="000000"/>
        </w:rPr>
        <w:fldChar w:fldCharType="begin"/>
      </w:r>
      <w:r>
        <w:rPr>
          <w:rFonts w:ascii="Times New Roman" w:hAnsi="Times New Roman"/>
          <w:sz w:val="28"/>
          <w:u w:color="000000"/>
        </w:rPr>
        <w:instrText>HYPERLINK "https://www.consultant.ru/document/cons_doc_LAW_476035/ef7ab57e4366593a82495aa9a261f9a71e475e7e/#dst100211"</w:instrText>
      </w:r>
      <w:r>
        <w:rPr>
          <w:rFonts w:ascii="Times New Roman" w:hAnsi="Times New Roman"/>
          <w:sz w:val="28"/>
          <w:u w:color="000000"/>
        </w:rPr>
        <w:fldChar w:fldCharType="separate"/>
      </w:r>
      <w:r>
        <w:rPr>
          <w:rFonts w:ascii="Times New Roman" w:hAnsi="Times New Roman"/>
          <w:sz w:val="28"/>
          <w:u w:color="000000"/>
        </w:rPr>
        <w:t>деятельности)</w:t>
      </w:r>
      <w:r>
        <w:rPr>
          <w:rFonts w:ascii="Times New Roman" w:hAnsi="Times New Roman"/>
          <w:sz w:val="28"/>
          <w:u w:color="000000"/>
        </w:rPr>
        <w:fldChar w:fldCharType="end"/>
      </w:r>
      <w:r>
        <w:rPr>
          <w:rFonts w:ascii="Times New Roman" w:hAnsi="Times New Roman"/>
          <w:sz w:val="28"/>
        </w:rPr>
        <w:t>;</w:t>
      </w:r>
    </w:p>
    <w:p w14:paraId="74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12. Добыча объектов животного мира может быть произведена посредством их отлова или отстрела.</w:t>
      </w:r>
    </w:p>
    <w:p w14:paraId="75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13. Добыча объектов животного мира, осуществляемая в соответствии с частью 11 настоящих Правил, производится:</w:t>
      </w:r>
    </w:p>
    <w:p w14:paraId="76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 посредством отлова или отстрела, в целях:</w:t>
      </w:r>
    </w:p>
    <w:p w14:paraId="77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а) осуществления государственного мониторинга объектов животного мира;</w:t>
      </w:r>
    </w:p>
    <w:p w14:paraId="78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б) осуществления научной, культурно-просветительной, воспитательной, рекреационной, образовательной, эстетической деятельности;</w:t>
      </w:r>
    </w:p>
    <w:p w14:paraId="79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в) создания и пополнения зоологических коллекций;</w:t>
      </w:r>
    </w:p>
    <w:p w14:paraId="7A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г) обеспечения традиционного образа жизни и осуществления традиционной хозяйственной деятельности;</w:t>
      </w:r>
    </w:p>
    <w:p w14:paraId="7B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 посредством отлова, в целях:</w:t>
      </w:r>
    </w:p>
    <w:p w14:paraId="7C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а) содержания и разведения объектов животного мира в полувольных условиях и искусственно созданной среде обитания;</w:t>
      </w:r>
    </w:p>
    <w:p w14:paraId="7D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б) акклиматизации, переселения и гибридизации;</w:t>
      </w:r>
    </w:p>
    <w:p w14:paraId="7E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 в порядке, установленном федеральными органами исполнительной власти, осуществляющими функции по выработке государственной политики и нормативно-правовому регулированию в сфере охраны и использования объектов животного мира и среды их обитания, в целях:</w:t>
      </w:r>
    </w:p>
    <w:p w14:paraId="7F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а) регулирования численности объектов животного мира;</w:t>
      </w:r>
    </w:p>
    <w:p w14:paraId="80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trike w:val="1"/>
          <w:color w:val="FF0000"/>
          <w:sz w:val="28"/>
        </w:rPr>
      </w:pPr>
      <w:r>
        <w:rPr>
          <w:rFonts w:ascii="Times New Roman" w:hAnsi="Times New Roman"/>
          <w:sz w:val="28"/>
        </w:rPr>
        <w:t xml:space="preserve">б) предотвращения гибели охотничьих ресурсов. </w:t>
      </w:r>
    </w:p>
    <w:p w14:paraId="81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14. Добыча объектов животного мира должна производиться в объемах и способами, не наносящими ущерба их воспроизводству и исключающими причинение вреда другим объектам животного мира и среде их обитания и осуществляться с применением орудий и способов, отвечающих международным стандартам на гуманный отлов диких животных, в комплексе с системой мер по охране и воспроизводству объектов животного мира, сохранению среды их обитания. </w:t>
      </w:r>
    </w:p>
    <w:p w14:paraId="82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15. При добыче объектов животного мира запрещается:</w:t>
      </w:r>
    </w:p>
    <w:p w14:paraId="83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 применение:</w:t>
      </w:r>
    </w:p>
    <w:p w14:paraId="84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а) огнестрельного длинноствольного оружия с нарезным стволом и охотничьего огнестрельного комбинированного оружия (нарезного и гладкоствольного), в том числе со сменными и вкладными нарезными стволами;</w:t>
      </w:r>
    </w:p>
    <w:p w14:paraId="85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б) охотничьего огнестрельного гладкоствольного длинноствольного оружия и охотничьего пневматического оружия лицами, не имеющими разрешений (лицензий) федерального органа исполнительной власти, уполномоченного в сфере оборота оружия, на хранение и ношение охотничьего оружия (далее – разрешение на хранение и ношение охотничьего оружия);</w:t>
      </w:r>
    </w:p>
    <w:p w14:paraId="86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в) охотничьего огнестрельного гладкоствольного длинноствольного оружия и охотничьего пневматического оружия ближе 200 метров от жилья;</w:t>
      </w:r>
    </w:p>
    <w:p w14:paraId="87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г) луков, арбалетов, ловчих ям, настороженных ружей, крючьев и других опасных для человека самоловов;</w:t>
      </w:r>
    </w:p>
    <w:p w14:paraId="88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д) больших стационарных ловушек, паутинных сетей, клея, электронных устройств, воспроизводящих звук мелких хищников и сов для ловли «на тревогу» (при добыче птиц);</w:t>
      </w:r>
    </w:p>
    <w:p w14:paraId="89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е) дневных хищных птиц и сов, а также их чучел для ловли «на тревогу» (при отлове птиц);</w:t>
      </w:r>
    </w:p>
    <w:p w14:paraId="8A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ж) орудий массовой добычи животных;</w:t>
      </w:r>
    </w:p>
    <w:p w14:paraId="8B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з) давящих и ущемляющих самоловов (за исключением случаев добычи млекопитающих в целях осуществления государственного мониторинга объектов животного мира, научной деятельности, регулирования численности объектов животного мира);</w:t>
      </w:r>
    </w:p>
    <w:p w14:paraId="8C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и) отравляющих, взрывчатых и иных химических веществ (за исключением пахучих приманок и иммобилизующих препаратов);</w:t>
      </w:r>
    </w:p>
    <w:p w14:paraId="8D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к) световых устройств для добычи птиц, за исключением добычи в целях осуществления государственного мониторинга объектов животного мира, научной деятельности, содержания и разведения объектов животного мира в полувольных условиях или искусственно созданной среде обитания, регулирования численности объектов животного мира;</w:t>
      </w:r>
    </w:p>
    <w:p w14:paraId="8E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л) ядов и ядохимикатов (за исключением добычи объектов животного мира в целях регулирования их численности);</w:t>
      </w:r>
    </w:p>
    <w:p w14:paraId="8F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 использование собак;</w:t>
      </w:r>
    </w:p>
    <w:p w14:paraId="90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 отлов и (или) отстрел птиц в гнездовой период и у гнезд (за исключением добычи птенцов дневных хищных птиц для их использования в качестве ловчих);</w:t>
      </w:r>
    </w:p>
    <w:p w14:paraId="91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 сбор яиц и кладок амфибий, рептилий и птиц, кроме случаев их изъятия в целях осуществления государственного мониторинга объектов животного мира, научной и культурно-просветительной деятельности;</w:t>
      </w:r>
    </w:p>
    <w:p w14:paraId="92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5) отлов взрослых особей земноводных и пресмыкающихся в периоды размножения и зимовки;</w:t>
      </w:r>
    </w:p>
    <w:p w14:paraId="93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6) разрушение (уничтожение) обитаемых либо регулярно используемых гнезд, нор, логовищ, убежищ, жилищ и других сооружений животных, используемых для размножения;</w:t>
      </w:r>
    </w:p>
    <w:p w14:paraId="94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7) добыча объектов животного мира, которые находятся в бедственном положении и беспомощном состоянии (спасающихся от бури, пожара, снегопада, разлива, бескормицы, в гололед и т.п.), а также добыча нелетного молодняка и нелетных взрослых линяющих птиц; </w:t>
      </w:r>
    </w:p>
    <w:p w14:paraId="95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8) стрельба:</w:t>
      </w:r>
    </w:p>
    <w:p w14:paraId="96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а) по стаям; </w:t>
      </w:r>
    </w:p>
    <w:p w14:paraId="97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б) «на шум», «на шорох», по неясно видимой цели;</w:t>
      </w:r>
    </w:p>
    <w:p w14:paraId="98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в) по птицам, сидящим на проводах и опорах (столбах) линий электропередач;</w:t>
      </w:r>
    </w:p>
    <w:p w14:paraId="99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г) при нахождении в (на) механическом транспортном средстве, летательном аппарате, за исключением стрельбы при нахождении в плавательном средстве с выключенным мотором и прекратившим движение по инерции после выключения мотора.</w:t>
      </w:r>
    </w:p>
    <w:p w14:paraId="9A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16. Граждане Российской Федерации, чье существование и доходы полностью или частично основаны на традиционных системах жизнеобеспечения их предков, включая охоту и собирательство, </w:t>
      </w:r>
      <w:r>
        <w:rPr>
          <w:rFonts w:ascii="Times New Roman" w:hAnsi="Times New Roman"/>
          <w:sz w:val="28"/>
          <w:u w:color="000000"/>
        </w:rPr>
        <w:t>имеют право на применение традиционных методов добычи объектов животного мира и продуктов их жизнедеятельности</w:t>
      </w:r>
      <w:r>
        <w:rPr>
          <w:rFonts w:ascii="Times New Roman" w:hAnsi="Times New Roman"/>
          <w:sz w:val="28"/>
        </w:rPr>
        <w:t>, если такие методы прямо или косвенно не ведут к снижению биологического разнообразия, не сокращают численность и устойчивое воспроизводство объектов животного мира, не нарушают среду их обитания и не представляют опасности для человека.</w:t>
      </w:r>
    </w:p>
    <w:p w14:paraId="9B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17. Сроки и способы добычи объектов животного мира определяются в соответствии с целями добычи и не должны наносить ущерб естественным популяциям этих видов объектов животного мира и местам их обитания.</w:t>
      </w:r>
    </w:p>
    <w:p w14:paraId="9C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18. Сроки добычи объектов животного мира, указанных в Перечне,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в случаях: </w:t>
      </w:r>
    </w:p>
    <w:p w14:paraId="9D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 добычи в целях осуществления государственного мониторинга объектов животного мира, научной деятельности, регулирования численности объектов животного мира, – в течение всего года; </w:t>
      </w:r>
    </w:p>
    <w:p w14:paraId="9E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 добычи млекопитающих в иных целях, – в течение всего года; </w:t>
      </w:r>
    </w:p>
    <w:p w14:paraId="9F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3) добычи птиц в иных целях, – в период с 15 августа по 15 мая; </w:t>
      </w:r>
    </w:p>
    <w:p w14:paraId="A0000000">
      <w:pPr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4) добычи земноводных в иных целях, – в период с 1 апреля по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15 сентября. </w:t>
      </w:r>
    </w:p>
    <w:p w14:paraId="A1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19. Лицо, ответственное за осуществление добычи объектов животного мира (должностное лицо юридического лица, физическое лицо), обязано:</w:t>
      </w:r>
    </w:p>
    <w:p w14:paraId="A2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 соблюдать настоящие Правила;</w:t>
      </w:r>
    </w:p>
    <w:p w14:paraId="A3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 иметь при себе:</w:t>
      </w:r>
    </w:p>
    <w:p w14:paraId="A4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а) в случае осуществления добычи объектов животного мира с использованием охотничьего огнестрельного гладкоствольного длинноствольного оружия или охотничьего пневматического оружия, – охотничий билет и разрешение на хранение и ношение охотничьего оружия; </w:t>
      </w:r>
    </w:p>
    <w:p w14:paraId="A5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б) разрешение на использование объектов животного мира;</w:t>
      </w:r>
    </w:p>
    <w:p w14:paraId="A6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 предъявлять по требованию должностных лиц, осуществляющих полномочия в сфере охраны, федерального государственного контроля (надзора) и регулирования использования объектов животного мира и среды их обитания, в том числе в области охоты и сохранения охотничьих ресурсов на территории Камчатского края, и других должностных лиц, уполномоченных в соответствии с законодательством Российской Федерации, документы, указанные в пункте 2 настоящей части, а также орудия добычи, продукцию добычи;</w:t>
      </w:r>
    </w:p>
    <w:p w14:paraId="A7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 предъявлять по требованию работника юридического лица или индивидуального предпринимателя, заключившего охотхозяйственное соглашение, а также лица, осуществляющего долгосрочное пользование объектами животного мира, отнесенными к охотничьим ресурсам, на основании долгосрочной лицензии в границах предоставленного охотничьего угодья, уполномоченных осуществлять производственный охотничий контроль, документы, указанные в пункте 2 настоящей части, орудия добычи, продукцию добычи;</w:t>
      </w:r>
    </w:p>
    <w:p w14:paraId="A8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5) осуществлять добычу объектов животного мира в установленных объемах, в сроки и на территории, указанные в разрешении на использование объектов животного мира;</w:t>
      </w:r>
    </w:p>
    <w:p w14:paraId="A9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6) привести в ненастороженное состояние приспособления, устройства и (или) сооружения для ограничения свободы и (или) добычи объектов животного мира не позднее последнего дня срока действия разрешения на использование объектов животного мира;</w:t>
      </w:r>
    </w:p>
    <w:p w14:paraId="AA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7) при добыче объектов животного мира делать запись в разрешении на использование объектов животного мира о количестве добытых животных в день добычи на месте пребывания или до начала ее транспортирования с территории осуществления добычи, если такая запись предусмотрена условиями такого разрешения.</w:t>
      </w:r>
    </w:p>
    <w:p w14:paraId="AB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20. Добыча объектов животного мира на особо охраняемых природных территориях регионального значения Камчатского края осуществляется в соответствии с установленным режимом их особой охраны и настоящими Правилами.</w:t>
      </w:r>
    </w:p>
    <w:p w14:paraId="AC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21. Право добычи объектов животного мира в целях акклиматизации, переселения и гибридизации предоставляется при наличии разрешения на проведение мероприятий по акклиматизации, переселению и гибридизации объектов животного мира, выданного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охраны и использования объектов животного мира и среды их обитания.</w:t>
      </w:r>
    </w:p>
    <w:p w14:paraId="AD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22. Транспортировка продукции добычи объектов животного мира осуществляется при наличии разрешения на использование объектов животного мира.</w:t>
      </w:r>
    </w:p>
    <w:p w14:paraId="AE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AF000000">
      <w:pPr>
        <w:widowControl w:val="0"/>
        <w:spacing w:after="0" w:line="240" w:lineRule="auto"/>
        <w:ind w:firstLine="709" w:left="0"/>
        <w:jc w:val="center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 Пользование объектами животного мира в научных, культурно-просветительных, воспитательных, рекреационных, образовательных и эстетических целях без изъятия их из среды обитания</w:t>
      </w:r>
    </w:p>
    <w:p w14:paraId="B0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B1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23. Пользование животным миром в научных, культурно-просветительных, воспитательных, рекреационных, образовательных и эстетических целях, осуществляемое посредством разных форм наблюдения, фотографирования и иных методов исследования без изъятия объектов животного мира из среды обитания, допускается без разрешения и бесплатно, если эти методы не наносят вреда животному миру или среде его обитания и не нарушают прав пользователей животным миром, а также прав собственников земель, землевладельцев, землепользователей, за исключением случаев, когда такое пользование запрещено.</w:t>
      </w:r>
    </w:p>
    <w:p w14:paraId="B2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B3000000">
      <w:pPr>
        <w:widowControl w:val="0"/>
        <w:spacing w:after="0" w:line="240" w:lineRule="auto"/>
        <w:ind w:firstLine="709" w:left="0"/>
        <w:jc w:val="center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 Использование полезных свойств жизнедеятельности </w:t>
      </w:r>
    </w:p>
    <w:p w14:paraId="B4000000">
      <w:pPr>
        <w:widowControl w:val="0"/>
        <w:spacing w:after="0" w:line="240" w:lineRule="auto"/>
        <w:ind w:firstLine="709" w:left="0"/>
        <w:jc w:val="center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объектов животного мира</w:t>
      </w:r>
    </w:p>
    <w:p w14:paraId="B5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B6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24. Использование полезных свойств жизнедеятельности объектов животного мира (почвообразователей, естественных санитаров среды, опылителей растений, биофильтраторов и других) допускается без изъятия их из среды обитания, за исключением случаев, определяемых законами и иными нормативными правовыми актами Российской Федерации, а также законами и иными нормативными правовыми актами Камчатского края.</w:t>
      </w:r>
    </w:p>
    <w:p w14:paraId="B7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B8000000">
      <w:pPr>
        <w:widowControl w:val="0"/>
        <w:spacing w:after="0" w:line="240" w:lineRule="auto"/>
        <w:ind w:firstLine="709" w:left="0"/>
        <w:jc w:val="center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 Получение продуктов жизнедеятельности </w:t>
      </w:r>
    </w:p>
    <w:p w14:paraId="B9000000">
      <w:pPr>
        <w:widowControl w:val="0"/>
        <w:spacing w:after="0" w:line="240" w:lineRule="auto"/>
        <w:ind w:firstLine="709" w:left="0"/>
        <w:jc w:val="center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объектов животного мира</w:t>
      </w:r>
    </w:p>
    <w:p w14:paraId="BA000000">
      <w:pPr>
        <w:widowControl w:val="0"/>
        <w:spacing w:after="0" w:line="240" w:lineRule="auto"/>
        <w:ind w:firstLine="709" w:left="0"/>
        <w:jc w:val="center"/>
        <w:outlineLvl w:val="1"/>
        <w:rPr>
          <w:rFonts w:ascii="Times New Roman" w:hAnsi="Times New Roman"/>
          <w:sz w:val="28"/>
        </w:rPr>
      </w:pPr>
    </w:p>
    <w:p w14:paraId="BB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25. Получение продуктов жизнедеятельности объектов животного мира допускается без изъятия объектов животного мира из среды обитания и их уничтожения, а также без нарушения среды их обитания.</w:t>
      </w:r>
    </w:p>
    <w:p w14:paraId="BC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BD000000">
      <w:pPr>
        <w:widowControl w:val="0"/>
        <w:spacing w:after="0" w:line="240" w:lineRule="auto"/>
        <w:ind w:firstLine="709" w:left="0"/>
        <w:jc w:val="center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 Прекращение права пользования объектами животного мира</w:t>
      </w:r>
    </w:p>
    <w:p w14:paraId="BE000000">
      <w:pPr>
        <w:widowControl w:val="0"/>
        <w:spacing w:after="0" w:line="240" w:lineRule="auto"/>
        <w:ind w:firstLine="709" w:left="0"/>
        <w:jc w:val="center"/>
        <w:outlineLvl w:val="1"/>
        <w:rPr>
          <w:rFonts w:ascii="Times New Roman" w:hAnsi="Times New Roman"/>
          <w:sz w:val="28"/>
        </w:rPr>
      </w:pPr>
    </w:p>
    <w:p w14:paraId="BF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26. Право пользования объектами животного мира прекращается в случаях:</w:t>
      </w:r>
    </w:p>
    <w:p w14:paraId="C0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 отказа от пользования;</w:t>
      </w:r>
    </w:p>
    <w:p w14:paraId="C1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 истечения установленного срока пользования;</w:t>
      </w:r>
    </w:p>
    <w:p w14:paraId="C2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 нарушения законодательства Российской Федерации об охране окружающей среды и условий, указанных в документах, на основании которых осуществляется пользование объектами животного мира;</w:t>
      </w:r>
    </w:p>
    <w:p w14:paraId="C3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 возникновения необходимости в изъятии из пользования объектов животного мира в целях их охраны;</w:t>
      </w:r>
    </w:p>
    <w:p w14:paraId="C4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5) использования территории, акватории для государственных нужд, исключающих пользование объектами животного мира;</w:t>
      </w:r>
    </w:p>
    <w:p w14:paraId="C5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6) ликвидации юридического лица – пользователя объектами животного мира.</w:t>
      </w:r>
    </w:p>
    <w:p w14:paraId="C6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27. Принудительное прекращение права пользования объектами животного мира осуществляется в судебном порядке.</w:t>
      </w:r>
    </w:p>
    <w:p w14:paraId="C7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C8000000">
      <w:pPr>
        <w:widowControl w:val="0"/>
        <w:spacing w:after="0" w:line="240" w:lineRule="auto"/>
        <w:ind w:firstLine="709" w:left="0"/>
        <w:jc w:val="center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 Ответственность за нарушение настоящих Правил</w:t>
      </w:r>
    </w:p>
    <w:p w14:paraId="C9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CA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28. Лица, допустившие нарушение настоящих Правил, несут имущественную, административную и уголовную ответственность в соответствии с законодательством Российской Федерации.</w:t>
      </w:r>
    </w:p>
    <w:p w14:paraId="CB000000">
      <w:pPr>
        <w:widowControl w:val="0"/>
        <w:spacing w:after="0" w:line="240" w:lineRule="auto"/>
        <w:ind/>
        <w:jc w:val="both"/>
        <w:rPr>
          <w:rFonts w:ascii="Times New Roman" w:hAnsi="Times New Roman"/>
          <w:sz w:val="28"/>
        </w:rPr>
      </w:pPr>
    </w:p>
    <w:p w14:paraId="CC000000">
      <w:pPr>
        <w:widowControl w:val="0"/>
        <w:spacing w:after="0" w:line="240" w:lineRule="auto"/>
        <w:ind w:firstLine="709" w:lef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8. Контроль за соблюдением настоящих Правил</w:t>
      </w:r>
    </w:p>
    <w:p w14:paraId="CD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CE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29. Контроль за соблюдением требований, установленных настоящими Правилами, возлагается на должностных лиц Министерства лесного и охотничьего хозяйства Камчатского края и подведомственного ему краевого государственного бюджетного учреждения «Служба по охране животного мира и государственных природных заказников Камчатского края».</w:t>
      </w:r>
    </w:p>
    <w:p w14:paraId="CF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br w:type="page"/>
      </w:r>
    </w:p>
    <w:p w14:paraId="D0000000">
      <w:pPr>
        <w:widowControl w:val="0"/>
        <w:spacing w:after="0" w:line="240" w:lineRule="auto"/>
        <w:ind w:firstLine="709" w:left="496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Приложение </w:t>
      </w:r>
    </w:p>
    <w:p w14:paraId="D1000000">
      <w:pPr>
        <w:spacing w:after="0" w:line="240" w:lineRule="auto"/>
        <w:ind w:firstLine="0" w:left="566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Правилам использования объектов животного мира, не отнесенных к охотничьим ресурсам, на территории Камчатского края</w:t>
      </w:r>
    </w:p>
    <w:p w14:paraId="D2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D300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p w14:paraId="D4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Перечень </w:t>
      </w:r>
    </w:p>
    <w:p w14:paraId="D5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разрешенных для добычи на территории Камчатского края объектов животного мира, не отнесенных к охотничьим ресурсам и не принадлежащих к видам, занесенным в Красную книгу Российской Федерации и Красную книгу Камчатского края</w:t>
      </w:r>
    </w:p>
    <w:p w14:paraId="D6000000">
      <w:pPr>
        <w:spacing w:after="0" w:line="240" w:lineRule="auto"/>
        <w:ind/>
        <w:rPr>
          <w:rFonts w:ascii="Times New Roman" w:hAnsi="Times New Roman"/>
          <w:sz w:val="28"/>
        </w:rPr>
      </w:pPr>
    </w:p>
    <w:tbl>
      <w:tblPr>
        <w:tblStyle w:val="Style_2"/>
        <w:tblW w:type="auto" w:w="0"/>
        <w:tblLayout w:type="fixed"/>
      </w:tblPr>
      <w:tblGrid>
        <w:gridCol w:w="988"/>
        <w:gridCol w:w="4536"/>
        <w:gridCol w:w="4252"/>
      </w:tblGrid>
      <w:t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7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№ п/п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8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Русское название вида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9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Латинское название вида</w:t>
            </w:r>
          </w:p>
        </w:tc>
      </w:tr>
    </w:tbl>
    <w:p w14:paraId="DA000000">
      <w:pPr>
        <w:spacing w:after="0" w:line="240" w:lineRule="auto"/>
        <w:ind/>
        <w:rPr>
          <w:rFonts w:ascii="Times New Roman" w:hAnsi="Times New Roman"/>
          <w:sz w:val="2"/>
        </w:rPr>
      </w:pPr>
    </w:p>
    <w:tbl>
      <w:tblPr>
        <w:tblStyle w:val="Style_2"/>
        <w:tblW w:type="auto" w:w="0"/>
        <w:tblLayout w:type="fixed"/>
      </w:tblPr>
      <w:tblGrid>
        <w:gridCol w:w="988"/>
        <w:gridCol w:w="4536"/>
        <w:gridCol w:w="4252"/>
      </w:tblGrid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B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C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E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</w:t>
            </w:r>
          </w:p>
        </w:tc>
        <w:tc>
          <w:tcPr>
            <w:tcW w:type="dxa" w:w="878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F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Млекопитающие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0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1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Полевка Миддендорфа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Microtus middendorffii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3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4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Полевка-экономка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5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Microtus oeconomus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6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1.3.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7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Лемминговидная полевка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Alticola lemminus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1.4.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A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Красная полевка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B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Clethrionomys rutilus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C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1.5.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D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Красно-серая полевка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E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Clethrionomys rufocanus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F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1.6.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0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Лесной лемминг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1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Myopus schisticolor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2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1.7.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3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Пищуха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4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Ochotona hyperborea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1.8.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6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Камчатская бурозубка 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7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Sorex camtchaticus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8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1.9.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9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Крошечная бурозубка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A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Sorex minutissimus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B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1.10.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C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Крупнозубая бурозубка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D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Sorex daphaenodon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E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1.11.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F00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Северная тундряная бурозубка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0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Sorex tundrensis borealis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1.12.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Равнозубая бурозубка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3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Sorex isodon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4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1.13.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5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Средняя бурозубка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6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Sorex caecutiens 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7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</w:t>
            </w:r>
          </w:p>
        </w:tc>
        <w:tc>
          <w:tcPr>
            <w:tcW w:type="dxa" w:w="878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8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Птицы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9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A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Ястреб-перепелятник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B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Accipiter nisus pallens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2.2.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D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Обыкновенная пустельга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E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Falco tinnunculus perpallidus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F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2.3.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0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Дербник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1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Falco columbarius pacificus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2.4.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3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Чеглок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4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Falco subbuteo subbuteo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5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2.5.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6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Мохноногий канюк 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7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Buteo lagopus kamtschatkensis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8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2.6.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9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Ястребиная сова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Surnia ulula ulula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B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2.7.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C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Мохноногий сыч 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D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Aegolius funereus magnus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E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2.8.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F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Болотная сова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0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Asio flammeus flammeus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1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2.9.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2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Грязовик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3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Limicola falcinellus sibirica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4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2.10.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5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Песчанка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6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Calidris alba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7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2.11.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8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Дутыш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9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Calidris melanotos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A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B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D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2.12.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E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Острохвостый песочник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F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Calidris acuminata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0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2.13.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1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Белохвостый песочник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2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Calidris temminckii</w:t>
            </w:r>
          </w:p>
        </w:tc>
      </w:tr>
      <w:tr>
        <w:trPr>
          <w:trHeight w:hRule="atLeast" w:val="453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3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2.14.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4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Длиннопалый песочник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Calidris subminuta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2.15.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7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Песочник-красношейка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8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Calidris ruficollis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9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2.16.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A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Круглоносый плавунчик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B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Phalaropus lobatus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2.17.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D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Плосконосый плавунчик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E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Phalaropus fulicarius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F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2.18.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0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Кулик-воробей 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Calidris minuta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2.19.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Короткоклювый зуек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Charadrius mongolus stegmanni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2.20.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Галстучник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7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Charadrius hiaticula tundrae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8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2.21.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9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Серощекая поганка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A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Podiceps grisegena holboellii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2.22.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C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Глупыш 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D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Fulmarus glacialis rodgersii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E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2.23.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F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Ворон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Corvus corax kamtschaticus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2.24.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2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Черная ворона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3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Corvus corone orientalis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4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2.25.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5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Кедровка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6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Nucifraga caryocatactes kamchatkensis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7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2.26.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Сорока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9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Pica pica camtschatica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A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2.27.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B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Кукша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C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Perisoreus infaustus sibericus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D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2.28.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E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Берингова пуночка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F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Plectrophenax nivalis townsendi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0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2.29.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1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Пуночка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2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Plectrophenax nivalis nivalis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3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2.30.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4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Лапландский подорожник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5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Calcarius lapponicus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6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2.31.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7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Овсянка-крошка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8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Emberiza pusilla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2.32.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A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Полярная овсянка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B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Emberiza pallasi minor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2.33.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D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Тростниковая овсянка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E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Emberiza schoeniclus pyrrhulina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F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2.34.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0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Сизая овсянка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1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Emberiza variabilis musica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2.35.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3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Дубонос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4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Coccothraustes coccothraustes japonicus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5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2.36.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6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Снегирь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7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Pyrrhula pyrrhula cassinii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8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2.37.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9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Щур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A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Pinicola enucleator kamtschatkensis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B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2.38.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C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Обыкновенная чечевица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D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Carpodacus erythrinus grebnitskii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E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2.39.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F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Горный вьюрок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0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Leucosticte arctoa brunneonucha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1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2.40.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2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Тундровая чечетка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3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Acanthis hornemanni exilipes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4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2.41.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5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Обыкновенная чечетка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6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Acanthis flammea flammea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7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2.42.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8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Чиж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9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Spinus spinus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A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2.43.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B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Китайская зеленушка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C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Chloris sinica kawarahiba 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D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2.44.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E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Вьюрок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F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Fringilla montifringilla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0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2.45.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1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Полевой воробей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2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Passer montanus montanus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3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2.46.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4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Домовой воробей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5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Passer domesticus domesticus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6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2.47.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7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Поползень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8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Sitta europaea albifrons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9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A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B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2.48.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D010000">
            <w:pPr>
              <w:spacing w:after="0" w:line="240" w:lineRule="auto"/>
              <w:ind/>
              <w:jc w:val="lef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Восточная синица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E010000">
            <w:pPr>
              <w:spacing w:after="0" w:line="240" w:lineRule="auto"/>
              <w:ind/>
              <w:jc w:val="lef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Parus minor minor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9F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2.49.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0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Московка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1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Parus ater ater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2.50.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3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Пухляк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4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Parus montanus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5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2.51.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6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Длиннохвостая синица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7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Aegithalos caudatus kamtschaticus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8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2.52.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9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Темный дрозд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A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Turdus eunomus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B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2.53.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C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Оливковый дрозд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D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Turdus obscurus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E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2.54.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AF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Малый дрозд 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0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Catharus minimus minimus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1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2.55.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2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Синехвостка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3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Tarsiger cyanurus pacificus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4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2.56.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5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Соловей-свистун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6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Luscinia sibilans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7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2.57.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8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Варакушка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9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Luscinia svecica svecica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A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2.58.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B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Cоловей-красношейка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C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Luscinia calliope calliope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D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2.59.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E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Сибирская горихвостка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BF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Phoenicurus auroreus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0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2.60.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Обыкновенная каменка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2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Oenanthe oenanthe oenanthe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3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2.61.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4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Черноголовый чекан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5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Saxicola torquata stejnegeri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6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2.62.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7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Пестрогрудая мухоловка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8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Muscicapa griseisticta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9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2.63.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A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Сибирская мухоловка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B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Muscicapa sibirica sibirica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2.64.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D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Малая мухоловка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E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Ficedula parva albicilla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F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2.65.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0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Бурая пеночка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1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Phylloscopus fuscatus homeyeri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2.66.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3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Камчатская пеночка-таловка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4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Phylloscopus borealis xanthodryas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5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2.67.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6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Пятнистый сверчок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7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Locustella lanceolata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8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2.68.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9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Охотский сверчок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A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Locustella ochotensis subcerthiola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B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2.69.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C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Сибирская завирушка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D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Prunella montanella badia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E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2.70.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DF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Бурая оляпка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0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Cinclus pallasii pallasii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1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2.71.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2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Свиристель 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3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Bombycilla garrulus garrulus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4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2.72.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5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Серый сорокопут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6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Lanius excubitor sibiricus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7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2.73.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Сибирский жулан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Lanius cristatus сristatus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A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2.74.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B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Камчатская трясогузка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C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Motacilla lugens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D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2.75.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E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Белая трясогузка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F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Motacilla alba ocularis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0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2.76.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1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Дальневосточная горная трясогузка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2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Motacilla cinerea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3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2.77.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4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Камчатская желтая трясогузка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5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Motacilla flava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6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2.78.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7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Островной американский конек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8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Anthus rubescens japonicus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9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2.79.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A010000">
            <w:pPr>
              <w:spacing w:after="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</w:rPr>
              <w:t>Материковый американский конек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B010000">
            <w:pPr>
              <w:spacing w:after="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</w:rPr>
              <w:t>Anthus rubescens haermsi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2.80.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D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Краснозобый конек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E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Anthus cervinus cervinus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F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2.81.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0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Сибирский конек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Anthus gustavi gustavi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2.82.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3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Пятнистый конек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4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Anthus hodgsoni yunnanensis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5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2.83.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6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Полевой жаворонок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7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Alauda arvensis pekinensis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8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2.84.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9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Городская ласточка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A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Delichon urbica lagopoda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B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2.85.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C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Береговая ласточка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D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Riparia riparia riparia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E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2.86.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F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Трехпалый дятел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0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Picoides tridactylus albidior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1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2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3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4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2.87.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5020000">
            <w:pPr>
              <w:spacing w:after="0" w:line="240" w:lineRule="auto"/>
              <w:ind/>
              <w:jc w:val="lef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Малый пестрый дятел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6020000">
            <w:pPr>
              <w:spacing w:after="0" w:line="240" w:lineRule="auto"/>
              <w:ind/>
              <w:jc w:val="lef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Dendrocopos minor immaculatus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7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2.88.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8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Большой пестрый дятел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9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Dendrocopos major kamtschaticus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A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2.89.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B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Белопоясный стриж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C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Apus pacificus pacificus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D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2.90.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E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Глухая кукушка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F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Cuculus saturatus horsfieldi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0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2.91.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1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Обыкновенная кукушка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2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Cuculus canorus canorus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3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2.92.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4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Сизый голубь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5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Columba livia livia</w:t>
            </w:r>
          </w:p>
        </w:tc>
      </w:tr>
      <w:tr>
        <w:trPr>
          <w:trHeight w:hRule="atLeast" w:val="458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6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2.93.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7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Чернохвостая чайка</w:t>
            </w:r>
          </w:p>
        </w:tc>
        <w:tc>
          <w:tcPr>
            <w:tcW w:type="dxa" w:w="4252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8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Larus crassirostris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9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2.94.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A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Сизая чайка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B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Larus canus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C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2.95.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D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Бургомистр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E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Larus hyperboreus pallidissimus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2F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2.96.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0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Тихоокеанская чайка</w:t>
            </w:r>
          </w:p>
        </w:tc>
        <w:tc>
          <w:tcPr>
            <w:tcW w:type="dxa" w:w="4252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1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Larus schistisagus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2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2.97.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3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Серебристая чайка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4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Larus heuglini vegae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5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2.98.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6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Озерная чайка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7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Larus ridibundus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8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2.99.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9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Длиннохвостый поморник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A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Stercorarius longicaudus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B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2.100.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C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Короткохвостый поморник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D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Stercorarius parasiticus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E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2.101.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F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Средний поморник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0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Stercorarius pomarinus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2.102.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Полярная крачка</w:t>
            </w:r>
          </w:p>
        </w:tc>
        <w:tc>
          <w:tcPr>
            <w:tcW w:type="dxa" w:w="4252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Sterna paradisaea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2.103.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Речная крачка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Sterna hirundo longipennis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7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2.104.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8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Моевка</w:t>
            </w:r>
          </w:p>
        </w:tc>
        <w:tc>
          <w:tcPr>
            <w:tcW w:type="dxa" w:w="4252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9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Rissa tridactyla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A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2.105.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B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Белошейная гагара</w:t>
            </w:r>
          </w:p>
        </w:tc>
        <w:tc>
          <w:tcPr>
            <w:tcW w:type="dxa" w:w="4252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C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Gavia pacifica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D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2.106.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E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Чернозобая гагара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F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Gavia arctica viridigularis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0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2.107.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1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Краснозобая гагара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2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Gavia stellata stellata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3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2.108.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4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Берингов баклан</w:t>
            </w:r>
          </w:p>
        </w:tc>
        <w:tc>
          <w:tcPr>
            <w:tcW w:type="dxa" w:w="4252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5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Phalacrocorax pelagicus pelagicus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6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2.109.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7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Топорок</w:t>
            </w:r>
          </w:p>
        </w:tc>
        <w:tc>
          <w:tcPr>
            <w:tcW w:type="dxa" w:w="4252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8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Lunda cirrhata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9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2.110.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A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Ипатка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B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Fratercula corniculata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C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2.111.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D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Большая конюга</w:t>
            </w:r>
          </w:p>
        </w:tc>
        <w:tc>
          <w:tcPr>
            <w:tcW w:type="dxa" w:w="4252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E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Aethia cristatella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5F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2.112.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0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Алеутский пыжик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1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Ptychoramphus aleuticus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2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2.113.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3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Очковый чистик</w:t>
            </w:r>
          </w:p>
        </w:tc>
        <w:tc>
          <w:tcPr>
            <w:tcW w:type="dxa" w:w="4252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4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Cepphus carbo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5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2.114.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6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Тихоокеанский чистик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7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Cepphus columba columba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8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2.115.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Толстоклювая кайра</w:t>
            </w:r>
          </w:p>
        </w:tc>
        <w:tc>
          <w:tcPr>
            <w:tcW w:type="dxa" w:w="4252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A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Uria lomvia arra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B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2.116.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C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Тонкоклювая кайра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D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Uria aalge inornata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E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2.117.</w:t>
            </w:r>
          </w:p>
        </w:tc>
        <w:tc>
          <w:tcPr>
            <w:tcW w:type="dxa" w:w="4536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F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Люрик</w:t>
            </w:r>
          </w:p>
        </w:tc>
        <w:tc>
          <w:tcPr>
            <w:tcW w:type="dxa" w:w="4252"/>
            <w:tcBorders>
              <w:top w:sz="4" w:val="nil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0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Alle alle alle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1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3.</w:t>
            </w:r>
          </w:p>
        </w:tc>
        <w:tc>
          <w:tcPr>
            <w:tcW w:type="dxa" w:w="878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2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Земноводные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3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3.1.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4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Озерная лягушка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5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Rana ridibunda</w:t>
            </w:r>
          </w:p>
        </w:tc>
      </w:tr>
      <w:tr>
        <w:trPr>
          <w:trHeight w:hRule="atLeast" w:val="360"/>
        </w:trPr>
        <w:tc>
          <w:tcPr>
            <w:tcW w:type="dxa" w:w="9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6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3.2.</w:t>
            </w:r>
          </w:p>
        </w:tc>
        <w:tc>
          <w:tcPr>
            <w:tcW w:type="dxa" w:w="45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7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Сибирский углозуб </w:t>
            </w:r>
          </w:p>
        </w:tc>
        <w:tc>
          <w:tcPr>
            <w:tcW w:type="dxa" w:w="42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7802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Salamandrella keyserlingii</w:t>
            </w:r>
          </w:p>
        </w:tc>
      </w:tr>
    </w:tbl>
    <w:p w14:paraId="79020000">
      <w:pPr>
        <w:spacing w:after="0" w:line="24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                                                                                 ».</w:t>
      </w:r>
    </w:p>
    <w:p w14:paraId="7A020000">
      <w:pPr>
        <w:widowControl w:val="0"/>
        <w:spacing w:after="0" w:line="240" w:lineRule="auto"/>
        <w:ind w:firstLine="709" w:left="0"/>
        <w:jc w:val="both"/>
        <w:rPr>
          <w:rFonts w:ascii="Times New Roman" w:hAnsi="Times New Roman"/>
          <w:sz w:val="28"/>
        </w:rPr>
      </w:pPr>
    </w:p>
    <w:sectPr>
      <w:headerReference r:id="rId2" w:type="default"/>
      <w:headerReference r:id="rId1" w:type="first"/>
      <w:pgSz w:h="16848" w:orient="portrait" w:w="11908"/>
      <w:pgMar w:bottom="1134" w:footer="709" w:gutter="0" w:header="567" w:left="1417" w:right="850" w:top="1134"/>
      <w:pgNumType w:fmt="decimal" w:start="1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/>
      <w:jc w:val="center"/>
    </w:pPr>
  </w:p>
</w:hdr>
</file>

<file path=word/header2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1"/>
      <w:ind/>
      <w:jc w:val="center"/>
    </w:pPr>
    <w:r>
      <mc:AlternateContent>
        <mc:Choice Requires="wps">
          <w:draw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>
            <wp:anchor allowOverlap="true" behindDoc="false" layoutInCell="true" locked="false" relativeHeight="251658240" simplePos="false">
              <wp:simplePos x="0" y="0"/>
              <wp:positionH relativeFrom="column">
                <wp:posOffset>3010467</wp:posOffset>
              </wp:positionH>
              <wp:positionV relativeFrom="page">
                <wp:posOffset>325855</wp:posOffset>
              </wp:positionV>
              <wp:extent cx="0" cy="0"/>
              <wp:wrapSquare wrapText="bothSides"/>
              <wp:docPr hidden="false" id="1" name="Picture 1"/>
              <a:graphic>
                <a:graphicData uri="http://schemas.microsoft.com/office/word/2010/wordprocessingShape">
                  <wps:wsp>
                    <wps:cNvSpPr txBox="true"/>
                    <wps:spPr>
                      <a:xfrm flipH="false" flipV="false" rot="0">
                        <a:off x="0" y="0"/>
                        <a:ext cx="0" cy="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3000000">
                          <w:pPr>
                            <w:rPr>
                              <w:rFonts w:ascii="Times New Roman" w:hAnsi="Times New Roman"/>
                              <w:sz w:val="28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instrText>PAGE \* Arabic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fldChar w:fldCharType="end"/>
                          </w:r>
                        </w:p>
                      </w:txbxContent>
                    </wps:txbx>
                    <wps:bodyPr anchor="ctr" anchorCtr="true" vert="horz" wrap="square">
                      <a:spAutoFit/>
                    </wps:bodyPr>
                  </wps:wsp>
                </a:graphicData>
              </a:graphic>
            </wp:anchor>
          </w:drawing>
        </mc:Choice>
        <mc:Fallback>
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/>
        </mc:Fallback>
      </mc:AlternateContent>
    </w: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2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pPr>
      <w:spacing w:after="160" w:line="264" w:lineRule="auto"/>
      <w:ind/>
    </w:pPr>
    <w:rPr>
      <w:color w:val="000000"/>
    </w:rPr>
  </w:style>
  <w:style w:default="1" w:styleId="Style_3_ch" w:type="character">
    <w:name w:val="Normal"/>
    <w:link w:val="Style_3"/>
    <w:rPr>
      <w:color w:val="000000"/>
    </w:rPr>
  </w:style>
  <w:style w:styleId="Style_4" w:type="paragraph">
    <w:name w:val="Normal12"/>
    <w:link w:val="Style_4_ch"/>
    <w:rPr>
      <w:color w:val="000000"/>
    </w:rPr>
  </w:style>
  <w:style w:styleId="Style_4_ch" w:type="character">
    <w:name w:val="Normal12"/>
    <w:link w:val="Style_4"/>
    <w:rPr>
      <w:color w:val="000000"/>
    </w:rPr>
  </w:style>
  <w:style w:styleId="Style_5" w:type="paragraph">
    <w:name w:val="toc 2"/>
    <w:basedOn w:val="Style_3"/>
    <w:next w:val="Style_3"/>
    <w:link w:val="Style_5_ch"/>
    <w:uiPriority w:val="39"/>
    <w:pPr>
      <w:spacing w:after="0" w:line="240" w:lineRule="auto"/>
      <w:ind w:firstLine="0" w:left="200"/>
    </w:pPr>
    <w:rPr>
      <w:rFonts w:ascii="XO Thames" w:hAnsi="XO Thames"/>
      <w:sz w:val="28"/>
    </w:rPr>
  </w:style>
  <w:style w:styleId="Style_5_ch" w:type="character">
    <w:name w:val="toc 2"/>
    <w:basedOn w:val="Style_3_ch"/>
    <w:link w:val="Style_5"/>
    <w:rPr>
      <w:rFonts w:ascii="XO Thames" w:hAnsi="XO Thames"/>
      <w:sz w:val="28"/>
    </w:rPr>
  </w:style>
  <w:style w:styleId="Style_6" w:type="paragraph">
    <w:name w:val="toc 4"/>
    <w:basedOn w:val="Style_3"/>
    <w:next w:val="Style_3"/>
    <w:link w:val="Style_6_ch"/>
    <w:uiPriority w:val="39"/>
    <w:pPr>
      <w:spacing w:after="0" w:line="240" w:lineRule="auto"/>
      <w:ind w:firstLine="0" w:left="600"/>
    </w:pPr>
    <w:rPr>
      <w:rFonts w:ascii="XO Thames" w:hAnsi="XO Thames"/>
      <w:sz w:val="28"/>
    </w:rPr>
  </w:style>
  <w:style w:styleId="Style_6_ch" w:type="character">
    <w:name w:val="toc 4"/>
    <w:basedOn w:val="Style_3_ch"/>
    <w:link w:val="Style_6"/>
    <w:rPr>
      <w:rFonts w:ascii="XO Thames" w:hAnsi="XO Thames"/>
      <w:sz w:val="28"/>
    </w:rPr>
  </w:style>
  <w:style w:styleId="Style_7" w:type="paragraph">
    <w:name w:val="toc 6"/>
    <w:basedOn w:val="Style_3"/>
    <w:next w:val="Style_3"/>
    <w:link w:val="Style_7_ch"/>
    <w:uiPriority w:val="39"/>
    <w:pPr>
      <w:spacing w:after="0" w:line="240" w:lineRule="auto"/>
      <w:ind w:firstLine="0" w:left="1000"/>
    </w:pPr>
    <w:rPr>
      <w:rFonts w:ascii="XO Thames" w:hAnsi="XO Thames"/>
      <w:sz w:val="28"/>
    </w:rPr>
  </w:style>
  <w:style w:styleId="Style_7_ch" w:type="character">
    <w:name w:val="toc 6"/>
    <w:basedOn w:val="Style_3_ch"/>
    <w:link w:val="Style_7"/>
    <w:rPr>
      <w:rFonts w:ascii="XO Thames" w:hAnsi="XO Thames"/>
      <w:sz w:val="28"/>
    </w:rPr>
  </w:style>
  <w:style w:styleId="Style_8" w:type="paragraph">
    <w:name w:val="toc 7"/>
    <w:basedOn w:val="Style_3"/>
    <w:next w:val="Style_3"/>
    <w:link w:val="Style_8_ch"/>
    <w:uiPriority w:val="39"/>
    <w:pPr>
      <w:spacing w:after="0" w:line="240" w:lineRule="auto"/>
      <w:ind w:firstLine="0" w:left="1200"/>
    </w:pPr>
    <w:rPr>
      <w:rFonts w:ascii="XO Thames" w:hAnsi="XO Thames"/>
      <w:sz w:val="28"/>
    </w:rPr>
  </w:style>
  <w:style w:styleId="Style_8_ch" w:type="character">
    <w:name w:val="toc 7"/>
    <w:basedOn w:val="Style_3_ch"/>
    <w:link w:val="Style_8"/>
    <w:rPr>
      <w:rFonts w:ascii="XO Thames" w:hAnsi="XO Thames"/>
      <w:sz w:val="28"/>
    </w:rPr>
  </w:style>
  <w:style w:styleId="Style_9" w:type="paragraph">
    <w:name w:val="Endnote"/>
    <w:link w:val="Style_9_ch"/>
    <w:pPr>
      <w:ind w:firstLine="851" w:left="0"/>
      <w:jc w:val="both"/>
    </w:pPr>
    <w:rPr>
      <w:rFonts w:ascii="XO Thames" w:hAnsi="XO Thames"/>
      <w:color w:val="000000"/>
    </w:rPr>
  </w:style>
  <w:style w:styleId="Style_9_ch" w:type="character">
    <w:name w:val="Endnote"/>
    <w:link w:val="Style_9"/>
    <w:rPr>
      <w:rFonts w:ascii="XO Thames" w:hAnsi="XO Thames"/>
      <w:color w:val="000000"/>
    </w:rPr>
  </w:style>
  <w:style w:styleId="Style_10" w:type="paragraph">
    <w:name w:val="heading 3"/>
    <w:basedOn w:val="Style_3"/>
    <w:next w:val="Style_3"/>
    <w:link w:val="Style_10_ch"/>
    <w:uiPriority w:val="9"/>
    <w:qFormat/>
    <w:pPr>
      <w:spacing w:after="120" w:before="120" w:line="240" w:lineRule="auto"/>
      <w:ind/>
      <w:jc w:val="both"/>
      <w:outlineLvl w:val="2"/>
    </w:pPr>
    <w:rPr>
      <w:rFonts w:ascii="XO Thames" w:hAnsi="XO Thames"/>
      <w:b w:val="1"/>
      <w:sz w:val="26"/>
    </w:rPr>
  </w:style>
  <w:style w:styleId="Style_10_ch" w:type="character">
    <w:name w:val="heading 3"/>
    <w:basedOn w:val="Style_3_ch"/>
    <w:link w:val="Style_10"/>
    <w:rPr>
      <w:rFonts w:ascii="XO Thames" w:hAnsi="XO Thames"/>
      <w:b w:val="1"/>
      <w:sz w:val="26"/>
    </w:rPr>
  </w:style>
  <w:style w:styleId="Style_11" w:type="paragraph">
    <w:name w:val="Обычный1"/>
    <w:link w:val="Style_11_ch"/>
    <w:pPr>
      <w:spacing w:after="160" w:line="264" w:lineRule="auto"/>
      <w:ind/>
    </w:pPr>
    <w:rPr>
      <w:color w:val="000000"/>
    </w:rPr>
  </w:style>
  <w:style w:styleId="Style_11_ch" w:type="character">
    <w:name w:val="Обычный1"/>
    <w:link w:val="Style_11"/>
    <w:rPr>
      <w:color w:val="000000"/>
    </w:rPr>
  </w:style>
  <w:style w:styleId="Style_12" w:type="paragraph">
    <w:name w:val="Hyperlink1"/>
    <w:link w:val="Style_12_ch"/>
    <w:pPr>
      <w:spacing w:after="160" w:line="264" w:lineRule="auto"/>
      <w:ind/>
    </w:pPr>
    <w:rPr>
      <w:color w:val="0000FF"/>
      <w:u w:val="single"/>
    </w:rPr>
  </w:style>
  <w:style w:styleId="Style_12_ch" w:type="character">
    <w:name w:val="Hyperlink1"/>
    <w:link w:val="Style_12"/>
    <w:rPr>
      <w:color w:val="0000FF"/>
      <w:u w:val="single"/>
    </w:rPr>
  </w:style>
  <w:style w:styleId="Style_13" w:type="paragraph">
    <w:name w:val="Default Paragraph Font2"/>
    <w:link w:val="Style_13_ch"/>
    <w:rPr>
      <w:color w:val="000000"/>
    </w:rPr>
  </w:style>
  <w:style w:styleId="Style_13_ch" w:type="character">
    <w:name w:val="Default Paragraph Font2"/>
    <w:link w:val="Style_13"/>
    <w:rPr>
      <w:color w:val="000000"/>
    </w:rPr>
  </w:style>
  <w:style w:styleId="Style_14" w:type="paragraph">
    <w:name w:val="Основной шрифт абзаца1"/>
    <w:link w:val="Style_14_ch"/>
    <w:pPr>
      <w:spacing w:after="160" w:line="264" w:lineRule="auto"/>
      <w:ind/>
    </w:pPr>
    <w:rPr>
      <w:color w:val="000000"/>
    </w:rPr>
  </w:style>
  <w:style w:styleId="Style_14_ch" w:type="character">
    <w:name w:val="Основной шрифт абзаца1"/>
    <w:link w:val="Style_14"/>
    <w:rPr>
      <w:color w:val="000000"/>
    </w:rPr>
  </w:style>
  <w:style w:styleId="Style_15" w:type="paragraph">
    <w:name w:val="toc 3"/>
    <w:basedOn w:val="Style_3"/>
    <w:next w:val="Style_3"/>
    <w:link w:val="Style_15_ch"/>
    <w:uiPriority w:val="39"/>
    <w:pPr>
      <w:spacing w:after="0" w:line="240" w:lineRule="auto"/>
      <w:ind w:firstLine="0" w:left="400"/>
    </w:pPr>
    <w:rPr>
      <w:rFonts w:ascii="XO Thames" w:hAnsi="XO Thames"/>
      <w:sz w:val="28"/>
    </w:rPr>
  </w:style>
  <w:style w:styleId="Style_15_ch" w:type="character">
    <w:name w:val="toc 3"/>
    <w:basedOn w:val="Style_3_ch"/>
    <w:link w:val="Style_15"/>
    <w:rPr>
      <w:rFonts w:ascii="XO Thames" w:hAnsi="XO Thames"/>
      <w:sz w:val="28"/>
    </w:rPr>
  </w:style>
  <w:style w:styleId="Style_16" w:type="paragraph">
    <w:name w:val="Default Paragraph Font1"/>
    <w:link w:val="Style_16_ch"/>
    <w:pPr>
      <w:spacing w:after="160" w:line="264" w:lineRule="auto"/>
      <w:ind/>
    </w:pPr>
    <w:rPr>
      <w:color w:val="000000"/>
    </w:rPr>
  </w:style>
  <w:style w:styleId="Style_16_ch" w:type="character">
    <w:name w:val="Default Paragraph Font1"/>
    <w:link w:val="Style_16"/>
    <w:rPr>
      <w:color w:val="000000"/>
    </w:rPr>
  </w:style>
  <w:style w:styleId="Style_17" w:type="paragraph">
    <w:name w:val="Balloon Text"/>
    <w:basedOn w:val="Style_3"/>
    <w:link w:val="Style_17_ch"/>
    <w:pPr>
      <w:spacing w:after="0" w:line="240" w:lineRule="auto"/>
      <w:ind/>
    </w:pPr>
    <w:rPr>
      <w:rFonts w:ascii="Segoe UI" w:hAnsi="Segoe UI"/>
      <w:sz w:val="18"/>
    </w:rPr>
  </w:style>
  <w:style w:styleId="Style_17_ch" w:type="character">
    <w:name w:val="Balloon Text"/>
    <w:basedOn w:val="Style_3_ch"/>
    <w:link w:val="Style_17"/>
    <w:rPr>
      <w:rFonts w:ascii="Segoe UI" w:hAnsi="Segoe UI"/>
      <w:sz w:val="18"/>
    </w:rPr>
  </w:style>
  <w:style w:styleId="Style_18" w:type="paragraph">
    <w:name w:val="Plain Text"/>
    <w:basedOn w:val="Style_3"/>
    <w:link w:val="Style_18_ch"/>
    <w:pPr>
      <w:spacing w:after="0" w:line="240" w:lineRule="auto"/>
      <w:ind/>
    </w:pPr>
  </w:style>
  <w:style w:styleId="Style_18_ch" w:type="character">
    <w:name w:val="Plain Text"/>
    <w:basedOn w:val="Style_3_ch"/>
    <w:link w:val="Style_18"/>
  </w:style>
  <w:style w:styleId="Style_19" w:type="paragraph">
    <w:name w:val="heading 5"/>
    <w:basedOn w:val="Style_3"/>
    <w:next w:val="Style_3"/>
    <w:link w:val="Style_19_ch"/>
    <w:uiPriority w:val="9"/>
    <w:qFormat/>
    <w:pPr>
      <w:spacing w:after="120" w:before="120" w:line="240" w:lineRule="auto"/>
      <w:ind/>
      <w:jc w:val="both"/>
      <w:outlineLvl w:val="4"/>
    </w:pPr>
    <w:rPr>
      <w:rFonts w:ascii="XO Thames" w:hAnsi="XO Thames"/>
      <w:b w:val="1"/>
    </w:rPr>
  </w:style>
  <w:style w:styleId="Style_19_ch" w:type="character">
    <w:name w:val="heading 5"/>
    <w:basedOn w:val="Style_3_ch"/>
    <w:link w:val="Style_19"/>
    <w:rPr>
      <w:rFonts w:ascii="XO Thames" w:hAnsi="XO Thames"/>
      <w:b w:val="1"/>
    </w:rPr>
  </w:style>
  <w:style w:styleId="Style_20" w:type="paragraph">
    <w:name w:val="heading 1"/>
    <w:basedOn w:val="Style_3"/>
    <w:next w:val="Style_3"/>
    <w:link w:val="Style_20_ch"/>
    <w:uiPriority w:val="9"/>
    <w:qFormat/>
    <w:pPr>
      <w:spacing w:after="120" w:before="120" w:line="240" w:lineRule="auto"/>
      <w:ind/>
      <w:jc w:val="both"/>
      <w:outlineLvl w:val="0"/>
    </w:pPr>
    <w:rPr>
      <w:rFonts w:ascii="XO Thames" w:hAnsi="XO Thames"/>
      <w:b w:val="1"/>
      <w:sz w:val="32"/>
    </w:rPr>
  </w:style>
  <w:style w:styleId="Style_20_ch" w:type="character">
    <w:name w:val="heading 1"/>
    <w:basedOn w:val="Style_3_ch"/>
    <w:link w:val="Style_20"/>
    <w:rPr>
      <w:rFonts w:ascii="XO Thames" w:hAnsi="XO Thames"/>
      <w:b w:val="1"/>
      <w:sz w:val="32"/>
    </w:rPr>
  </w:style>
  <w:style w:styleId="Style_21" w:type="paragraph">
    <w:name w:val="Hyperlink2"/>
    <w:link w:val="Style_21_ch"/>
    <w:rPr>
      <w:color w:val="0000FF"/>
      <w:u w:val="single"/>
    </w:rPr>
  </w:style>
  <w:style w:styleId="Style_21_ch" w:type="character">
    <w:name w:val="Hyperlink2"/>
    <w:link w:val="Style_21"/>
    <w:rPr>
      <w:color w:val="0000FF"/>
      <w:u w:val="single"/>
    </w:rPr>
  </w:style>
  <w:style w:styleId="Style_22" w:type="paragraph">
    <w:name w:val="Hyperlink"/>
    <w:link w:val="Style_22_ch"/>
    <w:rPr>
      <w:color w:val="0000FF"/>
      <w:u w:val="single"/>
    </w:rPr>
  </w:style>
  <w:style w:styleId="Style_22_ch" w:type="character">
    <w:name w:val="Hyperlink"/>
    <w:link w:val="Style_22"/>
    <w:rPr>
      <w:color w:val="0000FF"/>
      <w:u w:val="single"/>
    </w:rPr>
  </w:style>
  <w:style w:styleId="Style_23" w:type="paragraph">
    <w:name w:val="Footnote"/>
    <w:link w:val="Style_23_ch"/>
    <w:pPr>
      <w:ind w:firstLine="851" w:left="0"/>
      <w:jc w:val="both"/>
    </w:pPr>
    <w:rPr>
      <w:rFonts w:ascii="XO Thames" w:hAnsi="XO Thames"/>
      <w:color w:val="000000"/>
    </w:rPr>
  </w:style>
  <w:style w:styleId="Style_23_ch" w:type="character">
    <w:name w:val="Footnote"/>
    <w:link w:val="Style_23"/>
    <w:rPr>
      <w:rFonts w:ascii="XO Thames" w:hAnsi="XO Thames"/>
      <w:color w:val="000000"/>
    </w:rPr>
  </w:style>
  <w:style w:styleId="Style_24" w:type="paragraph">
    <w:name w:val="toc 1"/>
    <w:basedOn w:val="Style_3"/>
    <w:next w:val="Style_3"/>
    <w:link w:val="Style_24_ch"/>
    <w:uiPriority w:val="39"/>
    <w:rPr>
      <w:rFonts w:ascii="XO Thames" w:hAnsi="XO Thames"/>
      <w:b w:val="1"/>
      <w:sz w:val="28"/>
    </w:rPr>
  </w:style>
  <w:style w:styleId="Style_24_ch" w:type="character">
    <w:name w:val="toc 1"/>
    <w:basedOn w:val="Style_3_ch"/>
    <w:link w:val="Style_24"/>
    <w:rPr>
      <w:rFonts w:ascii="XO Thames" w:hAnsi="XO Thames"/>
      <w:b w:val="1"/>
      <w:sz w:val="28"/>
    </w:rPr>
  </w:style>
  <w:style w:styleId="Style_1" w:type="paragraph">
    <w:name w:val="Header and Footer"/>
    <w:link w:val="Style_1_ch"/>
    <w:pPr>
      <w:spacing w:after="160"/>
      <w:ind/>
      <w:jc w:val="both"/>
    </w:pPr>
    <w:rPr>
      <w:rFonts w:ascii="XO Thames" w:hAnsi="XO Thames"/>
      <w:color w:val="000000"/>
    </w:rPr>
  </w:style>
  <w:style w:styleId="Style_1_ch" w:type="character">
    <w:name w:val="Header and Footer"/>
    <w:link w:val="Style_1"/>
    <w:rPr>
      <w:rFonts w:ascii="XO Thames" w:hAnsi="XO Thames"/>
      <w:color w:val="000000"/>
    </w:rPr>
  </w:style>
  <w:style w:styleId="Style_25" w:type="paragraph">
    <w:name w:val="Normal1"/>
    <w:link w:val="Style_25_ch"/>
    <w:rPr>
      <w:color w:val="000000"/>
    </w:rPr>
  </w:style>
  <w:style w:styleId="Style_25_ch" w:type="character">
    <w:name w:val="Normal1"/>
    <w:link w:val="Style_25"/>
    <w:rPr>
      <w:color w:val="000000"/>
    </w:rPr>
  </w:style>
  <w:style w:styleId="Style_26" w:type="paragraph">
    <w:name w:val="toc 9"/>
    <w:basedOn w:val="Style_3"/>
    <w:next w:val="Style_3"/>
    <w:link w:val="Style_26_ch"/>
    <w:uiPriority w:val="39"/>
    <w:pPr>
      <w:spacing w:after="0" w:line="240" w:lineRule="auto"/>
      <w:ind w:firstLine="0" w:left="1600"/>
    </w:pPr>
    <w:rPr>
      <w:rFonts w:ascii="XO Thames" w:hAnsi="XO Thames"/>
      <w:sz w:val="28"/>
    </w:rPr>
  </w:style>
  <w:style w:styleId="Style_26_ch" w:type="character">
    <w:name w:val="toc 9"/>
    <w:basedOn w:val="Style_3_ch"/>
    <w:link w:val="Style_26"/>
    <w:rPr>
      <w:rFonts w:ascii="XO Thames" w:hAnsi="XO Thames"/>
      <w:sz w:val="28"/>
    </w:rPr>
  </w:style>
  <w:style w:styleId="Style_27" w:type="paragraph">
    <w:name w:val="toc 8"/>
    <w:basedOn w:val="Style_3"/>
    <w:next w:val="Style_3"/>
    <w:link w:val="Style_27_ch"/>
    <w:uiPriority w:val="39"/>
    <w:pPr>
      <w:spacing w:after="0" w:line="240" w:lineRule="auto"/>
      <w:ind w:firstLine="0" w:left="1400"/>
    </w:pPr>
    <w:rPr>
      <w:rFonts w:ascii="XO Thames" w:hAnsi="XO Thames"/>
      <w:sz w:val="28"/>
    </w:rPr>
  </w:style>
  <w:style w:styleId="Style_27_ch" w:type="character">
    <w:name w:val="toc 8"/>
    <w:basedOn w:val="Style_3_ch"/>
    <w:link w:val="Style_27"/>
    <w:rPr>
      <w:rFonts w:ascii="XO Thames" w:hAnsi="XO Thames"/>
      <w:sz w:val="28"/>
    </w:rPr>
  </w:style>
  <w:style w:styleId="Style_28" w:type="paragraph">
    <w:name w:val="header"/>
    <w:basedOn w:val="Style_3"/>
    <w:link w:val="Style_28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28_ch" w:type="character">
    <w:name w:val="header"/>
    <w:basedOn w:val="Style_3_ch"/>
    <w:link w:val="Style_28"/>
  </w:style>
  <w:style w:styleId="Style_29" w:type="paragraph">
    <w:name w:val="toc 5"/>
    <w:basedOn w:val="Style_3"/>
    <w:next w:val="Style_3"/>
    <w:link w:val="Style_29_ch"/>
    <w:uiPriority w:val="39"/>
    <w:pPr>
      <w:spacing w:after="0" w:line="240" w:lineRule="auto"/>
      <w:ind w:firstLine="0" w:left="800"/>
    </w:pPr>
    <w:rPr>
      <w:rFonts w:ascii="XO Thames" w:hAnsi="XO Thames"/>
      <w:sz w:val="28"/>
    </w:rPr>
  </w:style>
  <w:style w:styleId="Style_29_ch" w:type="character">
    <w:name w:val="toc 5"/>
    <w:basedOn w:val="Style_3_ch"/>
    <w:link w:val="Style_29"/>
    <w:rPr>
      <w:rFonts w:ascii="XO Thames" w:hAnsi="XO Thames"/>
      <w:sz w:val="28"/>
    </w:rPr>
  </w:style>
  <w:style w:styleId="Style_30" w:type="paragraph">
    <w:name w:val="Subtitle"/>
    <w:basedOn w:val="Style_3"/>
    <w:next w:val="Style_3"/>
    <w:link w:val="Style_30_ch"/>
    <w:uiPriority w:val="11"/>
    <w:qFormat/>
    <w:pPr>
      <w:spacing w:after="0" w:line="240" w:lineRule="auto"/>
      <w:ind/>
      <w:jc w:val="both"/>
    </w:pPr>
    <w:rPr>
      <w:rFonts w:ascii="XO Thames" w:hAnsi="XO Thames"/>
      <w:i w:val="1"/>
      <w:sz w:val="24"/>
    </w:rPr>
  </w:style>
  <w:style w:styleId="Style_30_ch" w:type="character">
    <w:name w:val="Subtitle"/>
    <w:basedOn w:val="Style_3_ch"/>
    <w:link w:val="Style_30"/>
    <w:rPr>
      <w:rFonts w:ascii="XO Thames" w:hAnsi="XO Thames"/>
      <w:i w:val="1"/>
      <w:sz w:val="24"/>
    </w:rPr>
  </w:style>
  <w:style w:styleId="Style_31" w:type="paragraph">
    <w:name w:val="Default Paragraph Font"/>
    <w:link w:val="Style_31_ch"/>
  </w:style>
  <w:style w:styleId="Style_31_ch" w:type="character">
    <w:name w:val="Default Paragraph Font"/>
    <w:link w:val="Style_31"/>
  </w:style>
  <w:style w:styleId="Style_32" w:type="paragraph">
    <w:name w:val="Title"/>
    <w:basedOn w:val="Style_3"/>
    <w:next w:val="Style_3"/>
    <w:link w:val="Style_32_ch"/>
    <w:uiPriority w:val="10"/>
    <w:qFormat/>
    <w:pPr>
      <w:spacing w:after="567" w:before="567" w:line="240" w:lineRule="auto"/>
      <w:ind/>
      <w:jc w:val="center"/>
    </w:pPr>
    <w:rPr>
      <w:rFonts w:ascii="XO Thames" w:hAnsi="XO Thames"/>
      <w:b w:val="1"/>
      <w:caps w:val="1"/>
      <w:sz w:val="40"/>
    </w:rPr>
  </w:style>
  <w:style w:styleId="Style_32_ch" w:type="character">
    <w:name w:val="Title"/>
    <w:basedOn w:val="Style_3_ch"/>
    <w:link w:val="Style_32"/>
    <w:rPr>
      <w:rFonts w:ascii="XO Thames" w:hAnsi="XO Thames"/>
      <w:b w:val="1"/>
      <w:caps w:val="1"/>
      <w:sz w:val="40"/>
    </w:rPr>
  </w:style>
  <w:style w:styleId="Style_33" w:type="paragraph">
    <w:name w:val="heading 4"/>
    <w:basedOn w:val="Style_3"/>
    <w:next w:val="Style_3"/>
    <w:link w:val="Style_33_ch"/>
    <w:uiPriority w:val="9"/>
    <w:qFormat/>
    <w:pPr>
      <w:spacing w:after="120" w:before="120" w:line="240" w:lineRule="auto"/>
      <w:ind/>
      <w:jc w:val="both"/>
      <w:outlineLvl w:val="3"/>
    </w:pPr>
    <w:rPr>
      <w:rFonts w:ascii="XO Thames" w:hAnsi="XO Thames"/>
      <w:b w:val="1"/>
      <w:sz w:val="24"/>
    </w:rPr>
  </w:style>
  <w:style w:styleId="Style_33_ch" w:type="character">
    <w:name w:val="heading 4"/>
    <w:basedOn w:val="Style_3_ch"/>
    <w:link w:val="Style_33"/>
    <w:rPr>
      <w:rFonts w:ascii="XO Thames" w:hAnsi="XO Thames"/>
      <w:b w:val="1"/>
      <w:sz w:val="24"/>
    </w:rPr>
  </w:style>
  <w:style w:styleId="Style_34" w:type="paragraph">
    <w:name w:val="footer"/>
    <w:basedOn w:val="Style_3"/>
    <w:link w:val="Style_34_ch"/>
    <w:pPr>
      <w:tabs>
        <w:tab w:leader="none" w:pos="4677" w:val="center"/>
        <w:tab w:leader="none" w:pos="9355" w:val="right"/>
      </w:tabs>
      <w:spacing w:after="0" w:line="240" w:lineRule="auto"/>
      <w:ind/>
    </w:pPr>
    <w:rPr>
      <w:rFonts w:ascii="Times New Roman" w:hAnsi="Times New Roman"/>
      <w:sz w:val="28"/>
    </w:rPr>
  </w:style>
  <w:style w:styleId="Style_34_ch" w:type="character">
    <w:name w:val="footer"/>
    <w:basedOn w:val="Style_3_ch"/>
    <w:link w:val="Style_34"/>
    <w:rPr>
      <w:rFonts w:ascii="Times New Roman" w:hAnsi="Times New Roman"/>
      <w:sz w:val="28"/>
    </w:rPr>
  </w:style>
  <w:style w:styleId="Style_35" w:type="paragraph">
    <w:name w:val="Гиперссылка1"/>
    <w:basedOn w:val="Style_14"/>
    <w:link w:val="Style_35_ch"/>
    <w:rPr>
      <w:color w:val="0563C1"/>
      <w:u w:val="single"/>
    </w:rPr>
  </w:style>
  <w:style w:styleId="Style_35_ch" w:type="character">
    <w:name w:val="Гиперссылка1"/>
    <w:basedOn w:val="Style_14_ch"/>
    <w:link w:val="Style_35"/>
    <w:rPr>
      <w:color w:val="0563C1"/>
      <w:u w:val="single"/>
    </w:rPr>
  </w:style>
  <w:style w:styleId="Style_36" w:type="paragraph">
    <w:name w:val="heading 2"/>
    <w:basedOn w:val="Style_3"/>
    <w:next w:val="Style_3"/>
    <w:link w:val="Style_36_ch"/>
    <w:uiPriority w:val="9"/>
    <w:qFormat/>
    <w:pPr>
      <w:spacing w:after="120" w:before="120" w:line="240" w:lineRule="auto"/>
      <w:ind/>
      <w:jc w:val="both"/>
      <w:outlineLvl w:val="1"/>
    </w:pPr>
    <w:rPr>
      <w:rFonts w:ascii="XO Thames" w:hAnsi="XO Thames"/>
      <w:b w:val="1"/>
      <w:sz w:val="28"/>
    </w:rPr>
  </w:style>
  <w:style w:styleId="Style_36_ch" w:type="character">
    <w:name w:val="heading 2"/>
    <w:basedOn w:val="Style_3_ch"/>
    <w:link w:val="Style_36"/>
    <w:rPr>
      <w:rFonts w:ascii="XO Thames" w:hAnsi="XO Thames"/>
      <w:b w:val="1"/>
      <w:sz w:val="28"/>
    </w:rPr>
  </w:style>
  <w:style w:styleId="Style_37" w:type="table">
    <w:name w:val="Сетка таблицы1"/>
    <w:rPr>
      <w:rFonts w:ascii="Times New Roman" w:hAnsi="Times New Roman"/>
      <w:color w:val="000000"/>
      <w:sz w:val="20"/>
    </w:r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8" w:type="table">
    <w:name w:val="Сетка таблицы2"/>
    <w:rPr>
      <w:rFonts w:ascii="Times New Roman" w:hAnsi="Times New Roman"/>
      <w:color w:val="000000"/>
      <w:sz w:val="20"/>
    </w:r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39" w:type="table">
    <w:name w:val="Table Grid"/>
    <w:basedOn w:val="Style_2"/>
    <w:rPr>
      <w:sz w:val="20"/>
    </w:r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styles.xml" Type="http://schemas.openxmlformats.org/officeDocument/2006/relationships/styles"/>
  <Relationship Id="rId1" Target="header1.xml" Type="http://schemas.openxmlformats.org/officeDocument/2006/relationships/header"/>
  <Relationship Id="rId2" Target="header2.xml" Type="http://schemas.openxmlformats.org/officeDocument/2006/relationships/header"/>
  <Relationship Id="rId3" Target="media/1.jpeg" Type="http://schemas.openxmlformats.org/officeDocument/2006/relationships/image"/>
  <Relationship Id="rId8" Target="webSettings.xml" Type="http://schemas.openxmlformats.org/officeDocument/2006/relationships/webSettings"/>
  <Relationship Id="rId4" Target="fontTable.xml" Type="http://schemas.openxmlformats.org/officeDocument/2006/relationships/fontTable"/>
  <Relationship Id="rId9" Target="theme/theme1.xml" Type="http://schemas.openxmlformats.org/officeDocument/2006/relationships/theme"/>
  <Relationship Id="rId7" Target="stylesWithEffects.xml" Type="http://schemas.microsoft.com/office/2007/relationships/stylesWithEffects"/>
  <Relationship Id="rId5" Target="settings.xml" Type="http://schemas.openxmlformats.org/officeDocument/2006/relationships/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MyOffice-CoreFramework-Windows/31-1191.804.9045.819.1@01270b6a23d25f32067dc36f8846da406ea65219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2025-03-05T22:13:44Z</dcterms:modified>
</cp:coreProperties>
</file>