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Извещение о проведении аукциона по определению организации, осуществляющей эксплуатацию специализированной стоянки, а также перемещение задержанных транспортных средств и маломерных судов на специализированную стоянку, их хранение и возврат на территории Петропавловска-Камчатского городского округа Камчатского края</w:t>
      </w:r>
    </w:p>
    <w:p w14:paraId="02000000">
      <w:pPr>
        <w:pStyle w:val="Style_2"/>
        <w:widowControl w:val="1"/>
        <w:numPr>
          <w:ilvl w:val="0"/>
          <w:numId w:val="0"/>
        </w:numPr>
        <w:tabs>
          <w:tab w:leader="none" w:pos="708" w:val="clear"/>
          <w:tab w:leader="none" w:pos="855" w:val="left"/>
        </w:tabs>
        <w:spacing w:after="0" w:before="0" w:line="276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03000000">
      <w:pPr>
        <w:pStyle w:val="Style_2"/>
        <w:widowControl w:val="1"/>
        <w:numPr>
          <w:ilvl w:val="0"/>
          <w:numId w:val="1"/>
        </w:numPr>
        <w:tabs>
          <w:tab w:leader="none" w:pos="708" w:val="clear"/>
          <w:tab w:leader="none" w:pos="855" w:val="left"/>
        </w:tabs>
        <w:spacing w:after="0" w:before="0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Организатор аукциона – Министерство транспорта и дорожного строительства Камчатского края (далее – организатор аукциона, Министерство).</w:t>
      </w:r>
    </w:p>
    <w:p w14:paraId="04000000">
      <w:pPr>
        <w:pStyle w:val="Style_1"/>
        <w:spacing w:after="0" w:before="0"/>
        <w:ind w:firstLine="425" w:left="0" w:right="0"/>
        <w:jc w:val="both"/>
      </w:pPr>
      <w:r>
        <w:rPr>
          <w:rFonts w:ascii="Times New Roman" w:hAnsi="Times New Roman"/>
          <w:sz w:val="28"/>
        </w:rPr>
        <w:t>Место нахождения: 683032, г. Петропавловск-Камчатский, ул. Пограничная, д. 14а, 4 этаж.</w:t>
      </w:r>
      <w:r>
        <w:t xml:space="preserve"> </w:t>
      </w:r>
    </w:p>
    <w:p w14:paraId="05000000">
      <w:pPr>
        <w:pStyle w:val="Style_1"/>
        <w:spacing w:after="0" w:before="0"/>
        <w:ind w:firstLine="425" w:left="0" w:right="0"/>
        <w:jc w:val="both"/>
      </w:pPr>
      <w:r>
        <w:rPr>
          <w:rFonts w:ascii="Times New Roman" w:hAnsi="Times New Roman"/>
          <w:sz w:val="28"/>
        </w:rPr>
        <w:t>Почтовый адрес организатора аукциона: 683032, г. Петропавловск-Камчатский, ул. Пограничная, д. 14а.</w:t>
      </w:r>
    </w:p>
    <w:p w14:paraId="06000000">
      <w:pPr>
        <w:pStyle w:val="Style_1"/>
        <w:spacing w:after="0" w:before="0"/>
        <w:ind w:firstLine="425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электронной почты: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"mailto:mintrans@kamgov.ru"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mintrans@kamgov.ru.</w:t>
      </w:r>
      <w:r>
        <w:rPr>
          <w:rFonts w:ascii="Times New Roman" w:hAnsi="Times New Roman"/>
          <w:sz w:val="28"/>
        </w:rPr>
        <w:fldChar w:fldCharType="end"/>
      </w:r>
    </w:p>
    <w:p w14:paraId="07000000">
      <w:pPr>
        <w:pStyle w:val="Style_2"/>
        <w:numPr>
          <w:ilvl w:val="0"/>
          <w:numId w:val="1"/>
        </w:numPr>
        <w:spacing w:after="0" w:before="0"/>
        <w:ind w:firstLine="425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 аукциона – право заключения договора с хозяйствующим субъектом на осуществление деятельности по эксплуатации специализированной стоянки, а также перемещению задержанных транспортных средств и маломерных судов на специализированную стоянку, их хранению и возврату на территории </w:t>
      </w:r>
      <w:r>
        <w:rPr>
          <w:rFonts w:ascii="Times New Roman" w:hAnsi="Times New Roman"/>
          <w:color w:themeColor="text1" w:val="000000"/>
          <w:sz w:val="28"/>
        </w:rPr>
        <w:t>Петропавловска-Камчатского городского округа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Камчатского края.</w:t>
      </w:r>
    </w:p>
    <w:p w14:paraId="08000000">
      <w:pPr>
        <w:pStyle w:val="Style_2"/>
        <w:numPr>
          <w:ilvl w:val="0"/>
          <w:numId w:val="1"/>
        </w:numPr>
        <w:spacing w:after="0" w:before="0"/>
        <w:ind w:firstLine="425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Начальной максимальной ценой аукциона являются базовые тарифы на перемещение и хранение задержанных транспортных средств и маломерных судов на территории Петропавловска-Камчатского городского округа Камчатского края, утвержденные постановлением Региональной службы по тарифам и ценам Камчатского края от 02.04.2025 № 73-Н «Об установлении базового уровня тарифов на перемещение и хранение задержанных транспортных средств и маломерных судов на территории Петропавловск-Камчатского городского округа Камчатского края на 2025 год», что составляет: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684"/>
        <w:gridCol w:w="2804"/>
        <w:gridCol w:w="3151"/>
      </w:tblGrid>
      <w:tr>
        <w:trPr>
          <w:trHeight w:hRule="atLeast" w:val="996"/>
        </w:trPr>
        <w:tc>
          <w:tcPr>
            <w:tcW w:type="dxa" w:w="3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9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категории транспортного средства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A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Базовый тариф на хранение одного транспортного средства, в рублях за 1 час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B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Базовый тариф на перемещение, в рублях за одно транспортное средство</w:t>
            </w:r>
            <w:r>
              <w:rPr>
                <w:rStyle w:val="Style_4_ch"/>
                <w:rFonts w:ascii="Times New Roman" w:hAnsi="Times New Roman"/>
                <w:sz w:val="24"/>
                <w:vertAlign w:val="superscript"/>
              </w:rPr>
              <w:footnoteReference w:id="1"/>
            </w:r>
          </w:p>
        </w:tc>
      </w:tr>
      <w:tr>
        <w:trPr>
          <w:trHeight w:hRule="atLeast" w:val="142"/>
        </w:trPr>
        <w:tc>
          <w:tcPr>
            <w:tcW w:type="dxa" w:w="96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C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средства:</w:t>
            </w:r>
          </w:p>
        </w:tc>
      </w:tr>
      <w:tr>
        <w:trPr>
          <w:trHeight w:hRule="atLeast" w:val="349"/>
        </w:trPr>
        <w:tc>
          <w:tcPr>
            <w:tcW w:type="dxa" w:w="3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D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категории «А», «М»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F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9 406</w:t>
            </w:r>
          </w:p>
        </w:tc>
      </w:tr>
      <w:tr>
        <w:trPr>
          <w:trHeight w:hRule="atLeast" w:val="884"/>
        </w:trPr>
        <w:tc>
          <w:tcPr>
            <w:tcW w:type="dxa" w:w="3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0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категории «B», «D» разрешенной максимальной массой не более 3,5 тонн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14 688</w:t>
            </w:r>
          </w:p>
        </w:tc>
      </w:tr>
      <w:tr>
        <w:tc>
          <w:tcPr>
            <w:tcW w:type="dxa" w:w="3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3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категории «С», «D», «ВЕ», «СЕ», «DЕ» разрешенной массой более 3,5 тонн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21 707</w:t>
            </w:r>
          </w:p>
        </w:tc>
      </w:tr>
      <w:tr>
        <w:tc>
          <w:tcPr>
            <w:tcW w:type="dxa" w:w="3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негабаритные транспортные средства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231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28 942</w:t>
            </w:r>
            <w:bookmarkStart w:id="1" w:name="_GoBack"/>
            <w:bookmarkEnd w:id="1"/>
          </w:p>
        </w:tc>
      </w:tr>
      <w:tr>
        <w:tc>
          <w:tcPr>
            <w:tcW w:type="dxa" w:w="96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9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Маломерные суда:</w:t>
            </w:r>
          </w:p>
        </w:tc>
      </w:tr>
      <w:tr>
        <w:tc>
          <w:tcPr>
            <w:tcW w:type="dxa" w:w="3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судно длиной до 5 м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26 263</w:t>
            </w:r>
          </w:p>
        </w:tc>
      </w:tr>
      <w:tr>
        <w:tc>
          <w:tcPr>
            <w:tcW w:type="dxa" w:w="3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судно длиной от 5 м до 10 м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342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40 262</w:t>
            </w:r>
          </w:p>
        </w:tc>
      </w:tr>
      <w:tr>
        <w:tc>
          <w:tcPr>
            <w:tcW w:type="dxa" w:w="3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судно длиной от 10 м до 15 м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46 973</w:t>
            </w:r>
          </w:p>
        </w:tc>
      </w:tr>
      <w:tr>
        <w:tc>
          <w:tcPr>
            <w:tcW w:type="dxa" w:w="3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судно длиной от 15 м до 20 м</w:t>
            </w:r>
          </w:p>
        </w:tc>
        <w:tc>
          <w:tcPr>
            <w:tcW w:type="dxa" w:w="2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616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63 749</w:t>
            </w:r>
          </w:p>
        </w:tc>
      </w:tr>
    </w:tbl>
    <w:p w14:paraId="26000000">
      <w:pPr>
        <w:pStyle w:val="Style_2"/>
        <w:spacing w:after="0" w:before="0"/>
        <w:ind w:firstLine="0" w:left="360" w:right="0"/>
        <w:contextualSpacing w:val="1"/>
        <w:jc w:val="both"/>
        <w:rPr>
          <w:rFonts w:ascii="Times New Roman" w:hAnsi="Times New Roman"/>
          <w:sz w:val="28"/>
        </w:rPr>
      </w:pPr>
    </w:p>
    <w:p w14:paraId="27000000">
      <w:pPr>
        <w:pStyle w:val="Style_2"/>
        <w:spacing w:after="0" w:before="0"/>
        <w:ind w:firstLine="0" w:left="36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Примечания: </w:t>
      </w:r>
    </w:p>
    <w:p w14:paraId="28000000">
      <w:pPr>
        <w:pStyle w:val="Style_2"/>
        <w:numPr>
          <w:ilvl w:val="0"/>
          <w:numId w:val="2"/>
        </w:numPr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Тарифы указаны с учетом налога на добавленную стоимость для организаций-плательщиков налога на добавленную стоимость и без учета налога на добавленную стоимость для организаций, применяющих упрощенную систему налогообложения.</w:t>
      </w:r>
    </w:p>
    <w:p w14:paraId="29000000">
      <w:pPr>
        <w:pStyle w:val="Style_2"/>
        <w:numPr>
          <w:ilvl w:val="0"/>
          <w:numId w:val="2"/>
        </w:numPr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хранения на специализированной стоянке исчисляется в часах с момента его помещения на специализированную стоянку.</w:t>
      </w:r>
    </w:p>
    <w:p w14:paraId="2A000000">
      <w:pPr>
        <w:pStyle w:val="Style_2"/>
        <w:numPr>
          <w:ilvl w:val="0"/>
          <w:numId w:val="2"/>
        </w:numPr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Тариф за перемещение на специализированную стоянку взимается независимо от времени и расстояния перемещения на специализированную стоянку.</w:t>
      </w:r>
    </w:p>
    <w:p w14:paraId="2B000000">
      <w:pPr>
        <w:pStyle w:val="Style_2"/>
        <w:numPr>
          <w:ilvl w:val="0"/>
          <w:numId w:val="2"/>
        </w:numPr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Тариф на перемещение включает в себя погрузочно-разгрузочные работы и иные действия, связанные с перемещением.</w:t>
      </w:r>
    </w:p>
    <w:p w14:paraId="2C000000">
      <w:pPr>
        <w:pStyle w:val="Style_1"/>
        <w:spacing w:after="0" w:before="0"/>
        <w:ind w:firstLine="36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Величина понижения начальной максимальной цены предмета аукциона («шаг аукциона») устанавливается в размере 5% от начальной цены аукциона, что составляет: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406"/>
        <w:gridCol w:w="3082"/>
        <w:gridCol w:w="3151"/>
      </w:tblGrid>
      <w:tr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категории транспортного средства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«Шаг аукциона» на хранение одного транспортного средства,</w:t>
            </w:r>
          </w:p>
          <w:p w14:paraId="2F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рублях за 1 час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«Шаг аукциона» на перемещение,</w:t>
            </w:r>
          </w:p>
          <w:p w14:paraId="31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рублях за одно транспортное средство</w:t>
            </w:r>
          </w:p>
        </w:tc>
      </w:tr>
      <w:tr>
        <w:tc>
          <w:tcPr>
            <w:tcW w:type="dxa" w:w="96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Транспортные средства:</w:t>
            </w:r>
          </w:p>
        </w:tc>
      </w:tr>
      <w:tr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категории «А», «М»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</w:t>
            </w:r>
          </w:p>
        </w:tc>
      </w:tr>
      <w:tr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категории «B», «D» разрешенной максимальной массой не более 3,5 тонн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734</w:t>
            </w:r>
          </w:p>
        </w:tc>
      </w:tr>
      <w:tr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категории «С», «D», «ВЕ», «СЕ», «DЕ» разрешенной массой более 3,5 тонн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1085</w:t>
            </w:r>
          </w:p>
        </w:tc>
      </w:tr>
      <w:tr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негабаритные транспортные средства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1447</w:t>
            </w:r>
          </w:p>
        </w:tc>
      </w:tr>
      <w:tr>
        <w:tc>
          <w:tcPr>
            <w:tcW w:type="dxa" w:w="96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Маломерные суда:</w:t>
            </w:r>
          </w:p>
        </w:tc>
      </w:tr>
      <w:tr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судно длиной до 5 м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1 313</w:t>
            </w:r>
          </w:p>
        </w:tc>
      </w:tr>
      <w:tr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судно длиной от 5 м до 10 м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2 013</w:t>
            </w:r>
          </w:p>
        </w:tc>
      </w:tr>
      <w:tr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судно длиной от 10 м до 15 м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2 349</w:t>
            </w:r>
          </w:p>
        </w:tc>
      </w:tr>
      <w:tr>
        <w:tc>
          <w:tcPr>
            <w:tcW w:type="dxa" w:w="3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9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судно длиной от 15 м до 20 м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3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00000">
            <w:pPr>
              <w:pStyle w:val="Style_1"/>
              <w:widowControl w:val="0"/>
              <w:tabs>
                <w:tab w:leader="none" w:pos="708" w:val="clear"/>
                <w:tab w:leader="none" w:pos="1560" w:val="left"/>
              </w:tabs>
              <w:spacing w:after="200" w:before="0"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3 188</w:t>
            </w:r>
          </w:p>
        </w:tc>
      </w:tr>
    </w:tbl>
    <w:p w14:paraId="4C000000">
      <w:pPr>
        <w:pStyle w:val="Style_2"/>
        <w:rPr>
          <w:rFonts w:ascii="Times New Roman" w:hAnsi="Times New Roman"/>
          <w:sz w:val="28"/>
        </w:rPr>
      </w:pPr>
    </w:p>
    <w:p w14:paraId="4D000000">
      <w:pPr>
        <w:pStyle w:val="Style_2"/>
        <w:numPr>
          <w:ilvl w:val="0"/>
          <w:numId w:val="1"/>
        </w:numPr>
        <w:ind w:firstLine="36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Заявителем на участие в аукционе может быть юридическое лицо или индивидуальный предприниматель, осуществляющее(ий) на территории Камчатского края деятельность по эксплуатации специализированной стоянки, а также перемещению задержанных транспортных средств на специализированную стоянку, их хранению и возврату (далее – заявитель).</w:t>
      </w:r>
    </w:p>
    <w:p w14:paraId="4E000000">
      <w:pPr>
        <w:pStyle w:val="Style_2"/>
        <w:numPr>
          <w:ilvl w:val="0"/>
          <w:numId w:val="1"/>
        </w:numPr>
        <w:ind w:firstLine="36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места приема заявок: 683032, г. Петропавловск-Камчатский,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ул. Пограничная, д. 14а, 4 этаж, кабинет 7.</w:t>
      </w:r>
    </w:p>
    <w:p w14:paraId="4F000000">
      <w:pPr>
        <w:pStyle w:val="Style_2"/>
        <w:numPr>
          <w:ilvl w:val="0"/>
          <w:numId w:val="1"/>
        </w:numPr>
        <w:spacing w:after="0" w:before="0"/>
        <w:ind w:firstLine="360" w:left="0" w:righ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Дата и время начала приема заявок на участие в аукционе: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20.05.2025</w:t>
      </w:r>
      <w:r>
        <w:rPr>
          <w:rFonts w:ascii="Times New Roman" w:hAnsi="Times New Roman"/>
          <w:b w:val="1"/>
          <w:sz w:val="28"/>
        </w:rPr>
        <w:t xml:space="preserve"> года, 10.00.</w:t>
      </w:r>
    </w:p>
    <w:p w14:paraId="50000000">
      <w:pPr>
        <w:pStyle w:val="Style_1"/>
        <w:spacing w:after="0" w:before="0"/>
        <w:ind w:firstLine="36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и время окончания срока приема заявок на участие в аукционе: </w:t>
      </w:r>
      <w:r>
        <w:rPr>
          <w:rFonts w:ascii="Times New Roman" w:hAnsi="Times New Roman"/>
          <w:b w:val="1"/>
          <w:sz w:val="28"/>
        </w:rPr>
        <w:t>20.06.2025 года, 10.00.</w:t>
      </w:r>
    </w:p>
    <w:p w14:paraId="51000000">
      <w:pPr>
        <w:pStyle w:val="Style_2"/>
        <w:numPr>
          <w:ilvl w:val="0"/>
          <w:numId w:val="1"/>
        </w:numPr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рассмотрения заявок на участие в аукционе: 683032, г. Петропавловск-Камчатский, ул. Пограничная, д. 14а, 4 этаж, кабинет 7.</w:t>
      </w:r>
    </w:p>
    <w:p w14:paraId="52000000">
      <w:pPr>
        <w:pStyle w:val="Style_2"/>
        <w:spacing w:after="0" w:before="0"/>
        <w:ind w:firstLine="720" w:left="0" w:righ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  <w:r>
        <w:rPr>
          <w:rFonts w:ascii="Times New Roman" w:hAnsi="Times New Roman"/>
          <w:sz w:val="28"/>
        </w:rPr>
        <w:t xml:space="preserve">рассмотрения комиссией заявок на участие в аукционе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06.2025 года, 15:00.</w:t>
      </w:r>
    </w:p>
    <w:p w14:paraId="53000000">
      <w:pPr>
        <w:pStyle w:val="Style_2"/>
        <w:numPr>
          <w:ilvl w:val="0"/>
          <w:numId w:val="1"/>
        </w:numPr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места проведения аукциона: 683032, г. Петропавловск-Камчатский, ул. Пограничная, д. 14а, 4 этаж, конференц-зал.</w:t>
      </w:r>
    </w:p>
    <w:p w14:paraId="54000000">
      <w:pPr>
        <w:pStyle w:val="Style_2"/>
        <w:spacing w:after="0" w:before="0"/>
        <w:ind w:firstLine="0" w:left="360" w:right="0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Дата и время проведения аукциона: </w:t>
      </w:r>
      <w:r>
        <w:rPr>
          <w:rFonts w:ascii="Times New Roman" w:hAnsi="Times New Roman"/>
          <w:b w:val="1"/>
          <w:sz w:val="28"/>
        </w:rPr>
        <w:t>23</w:t>
      </w:r>
      <w:r>
        <w:rPr>
          <w:rFonts w:ascii="Times New Roman" w:hAnsi="Times New Roman"/>
          <w:b w:val="1"/>
          <w:sz w:val="28"/>
        </w:rPr>
        <w:t>.06.</w:t>
      </w:r>
      <w:r>
        <w:rPr>
          <w:rFonts w:ascii="Times New Roman" w:hAnsi="Times New Roman"/>
          <w:b w:val="1"/>
          <w:sz w:val="28"/>
        </w:rPr>
        <w:t>2025 года, 15.00.</w:t>
      </w:r>
      <w:r>
        <w:t xml:space="preserve"> </w:t>
      </w:r>
    </w:p>
    <w:p w14:paraId="55000000">
      <w:pPr>
        <w:pStyle w:val="Style_2"/>
        <w:numPr>
          <w:ilvl w:val="0"/>
          <w:numId w:val="1"/>
        </w:numPr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Документация об аукционе в электронной форме размещена на странице Министерства на официальном сайте исполнительных органов государственной власти Камчатского края в информационно-телекоммуникационной сети «Интернет» (далее – официальный сайт): https://www.kamgov.ru/mintrans.</w:t>
      </w:r>
    </w:p>
    <w:p w14:paraId="56000000">
      <w:pPr>
        <w:pStyle w:val="Style_1"/>
        <w:spacing w:after="0" w:before="0"/>
        <w:ind w:firstLine="36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даты размещения извещения о проведении аукциона организатором аукциона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предоставляется такому лицу аукционная документация в письменной форме по адресу: 683032, г. Петропавловск-Камчатский, ул. Пограничная, д. 14а, 4 этаж, кабинет 7, в рабочие дни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10.00 до 16.00 (перерыв с 12.15 до 13.03). </w:t>
      </w:r>
    </w:p>
    <w:p w14:paraId="57000000">
      <w:pPr>
        <w:pStyle w:val="Style_2"/>
        <w:spacing w:after="0" w:before="0"/>
        <w:ind w:firstLine="72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Плата за предоставление документации об аукционе в письменной форме не взимается.</w:t>
      </w:r>
    </w:p>
    <w:p w14:paraId="58000000">
      <w:pPr>
        <w:pStyle w:val="Style_2"/>
        <w:spacing w:after="0" w:before="0"/>
        <w:ind w:firstLine="72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аукционной документации до размещения извещения о проведении аукциона на официальном сайте не допускается.</w:t>
      </w:r>
    </w:p>
    <w:p w14:paraId="59000000">
      <w:pPr>
        <w:pStyle w:val="Style_2"/>
        <w:numPr>
          <w:ilvl w:val="0"/>
          <w:numId w:val="1"/>
        </w:numPr>
        <w:tabs>
          <w:tab w:leader="none" w:pos="708" w:val="clear"/>
          <w:tab w:leader="none" w:pos="993" w:val="left"/>
        </w:tabs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Территория осуществления деятельности по эксплуатации специализированной стоянки, а также перемещению транспортных средств на специализированную стоянку, их хранению и возврату транспортных средств и маломерных судов – территория Петропавловска-Камчатского городского округа Камчатского края.</w:t>
      </w:r>
    </w:p>
    <w:p w14:paraId="5A000000">
      <w:pPr>
        <w:pStyle w:val="Style_2"/>
        <w:numPr>
          <w:ilvl w:val="0"/>
          <w:numId w:val="1"/>
        </w:numPr>
        <w:tabs>
          <w:tab w:leader="none" w:pos="708" w:val="clear"/>
          <w:tab w:leader="none" w:pos="993" w:val="left"/>
        </w:tabs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Минимальное необходимое количество мест размещения задержанных транспортных средств на специализированной стоянке – 20 мест.</w:t>
      </w:r>
    </w:p>
    <w:p w14:paraId="5B000000">
      <w:pPr>
        <w:pStyle w:val="Style_2"/>
        <w:numPr>
          <w:ilvl w:val="0"/>
          <w:numId w:val="1"/>
        </w:numPr>
        <w:tabs>
          <w:tab w:leader="none" w:pos="708" w:val="clear"/>
          <w:tab w:leader="none" w:pos="993" w:val="left"/>
        </w:tabs>
        <w:spacing w:after="0" w:before="0"/>
        <w:ind w:firstLine="36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Минимальное необходимое количество и тип специализированных транспортных средств, при помощи которых осуществляется перемещение задержанных транспортных средств на специализированную стоянку - 2 единицы грузового автопогрузчика.</w:t>
      </w:r>
    </w:p>
    <w:sectPr>
      <w:type w:val="nextPage"/>
      <w:pgSz w:h="16838" w:orient="portrait" w:w="11906"/>
      <w:pgMar w:bottom="1134" w:footer="0" w:gutter="0" w:header="0" w:left="1701" w:right="567" w:top="1134"/>
      <w:pgNumType w:fmt="decimal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5C000000">
      <w:pPr>
        <w:pStyle w:val="Style_39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Базовый уровень тарифа на перемещение задержанного транспортного средства включает в себя погрузочно-разгрузочные работы и иные действия, связанные с перемещением задержанного транспортного средства.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1"/>
    <w:link w:val="Style_5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Символ сноски"/>
    <w:basedOn w:val="Style_7"/>
    <w:link w:val="Style_6_ch"/>
    <w:rPr>
      <w:vertAlign w:val="superscript"/>
    </w:rPr>
  </w:style>
  <w:style w:styleId="Style_6_ch" w:type="character">
    <w:name w:val="Символ сноски"/>
    <w:basedOn w:val="Style_7_ch"/>
    <w:link w:val="Style_6"/>
    <w:rPr>
      <w:vertAlign w:val="superscript"/>
    </w:rPr>
  </w:style>
  <w:style w:styleId="Style_8" w:type="paragraph">
    <w:name w:val="toc 4"/>
    <w:next w:val="Style_1"/>
    <w:link w:val="Style_8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aption"/>
    <w:basedOn w:val="Style_1"/>
    <w:link w:val="Style_9_ch"/>
    <w:pPr>
      <w:spacing w:after="120" w:before="120"/>
      <w:ind/>
    </w:pPr>
    <w:rPr>
      <w:i w:val="1"/>
      <w:sz w:val="24"/>
    </w:rPr>
  </w:style>
  <w:style w:styleId="Style_9_ch" w:type="character">
    <w:name w:val="Caption"/>
    <w:basedOn w:val="Style_1_ch"/>
    <w:link w:val="Style_9"/>
    <w:rPr>
      <w:i w:val="1"/>
      <w:sz w:val="24"/>
    </w:rPr>
  </w:style>
  <w:style w:styleId="Style_10" w:type="paragraph">
    <w:name w:val="toc 6"/>
    <w:next w:val="Style_1"/>
    <w:link w:val="Style_10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1"/>
    <w:link w:val="Style_11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Заголовок таблицы"/>
    <w:basedOn w:val="Style_13"/>
    <w:link w:val="Style_12_ch"/>
    <w:pPr>
      <w:ind/>
      <w:jc w:val="center"/>
    </w:pPr>
    <w:rPr>
      <w:b w:val="1"/>
    </w:rPr>
  </w:style>
  <w:style w:styleId="Style_12_ch" w:type="character">
    <w:name w:val="Заголовок таблицы"/>
    <w:basedOn w:val="Style_13_ch"/>
    <w:link w:val="Style_12"/>
    <w:rPr>
      <w:b w:val="1"/>
    </w:rPr>
  </w:style>
  <w:style w:styleId="Style_14" w:type="paragraph">
    <w:name w:val="Heading 31"/>
    <w:link w:val="Style_14_ch"/>
    <w:rPr>
      <w:rFonts w:ascii="XO Thames" w:hAnsi="XO Thames"/>
      <w:b w:val="1"/>
      <w:sz w:val="26"/>
    </w:rPr>
  </w:style>
  <w:style w:styleId="Style_14_ch" w:type="character">
    <w:name w:val="Heading 31"/>
    <w:link w:val="Style_14"/>
    <w:rPr>
      <w:rFonts w:ascii="XO Thames" w:hAnsi="XO Thames"/>
      <w:b w:val="1"/>
      <w:sz w:val="26"/>
    </w:rPr>
  </w:style>
  <w:style w:styleId="Style_15" w:type="paragraph">
    <w:name w:val="Heading 21"/>
    <w:link w:val="Style_15_ch"/>
    <w:rPr>
      <w:rFonts w:ascii="XO Thames" w:hAnsi="XO Thames"/>
      <w:b w:val="1"/>
      <w:sz w:val="28"/>
    </w:rPr>
  </w:style>
  <w:style w:styleId="Style_15_ch" w:type="character">
    <w:name w:val="Heading 21"/>
    <w:link w:val="Style_15"/>
    <w:rPr>
      <w:rFonts w:ascii="XO Thames" w:hAnsi="XO Thames"/>
      <w:b w:val="1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"/>
    <w:link w:val="Style_17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Contents 5"/>
    <w:link w:val="Style_18_ch"/>
    <w:rPr>
      <w:rFonts w:ascii="XO Thames" w:hAnsi="XO Thames"/>
      <w:sz w:val="28"/>
    </w:rPr>
  </w:style>
  <w:style w:styleId="Style_18_ch" w:type="character">
    <w:name w:val="Contents 5"/>
    <w:link w:val="Style_18"/>
    <w:rPr>
      <w:rFonts w:ascii="XO Thames" w:hAnsi="XO Thames"/>
      <w:sz w:val="28"/>
    </w:rPr>
  </w:style>
  <w:style w:styleId="Style_19" w:type="paragraph">
    <w:name w:val="Title1"/>
    <w:link w:val="Style_19_ch"/>
    <w:rPr>
      <w:rFonts w:ascii="XO Thames" w:hAnsi="XO Thames"/>
      <w:b w:val="1"/>
      <w:caps w:val="1"/>
      <w:sz w:val="40"/>
    </w:rPr>
  </w:style>
  <w:style w:styleId="Style_19_ch" w:type="character">
    <w:name w:val="Title1"/>
    <w:link w:val="Style_19"/>
    <w:rPr>
      <w:rFonts w:ascii="XO Thames" w:hAnsi="XO Thames"/>
      <w:b w:val="1"/>
      <w:caps w:val="1"/>
      <w:sz w:val="40"/>
    </w:rPr>
  </w:style>
  <w:style w:styleId="Style_7" w:type="paragraph">
    <w:name w:val="Default Paragraph Font1"/>
    <w:link w:val="Style_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Default Paragraph Font1"/>
    <w:link w:val="Style_7"/>
    <w:rPr>
      <w:rFonts w:asciiTheme="minorAscii" w:hAnsiTheme="minorHAnsi"/>
      <w:color w:val="000000"/>
      <w:spacing w:val="0"/>
      <w:sz w:val="22"/>
    </w:rPr>
  </w:style>
  <w:style w:styleId="Style_20" w:type="paragraph">
    <w:name w:val="Internet link"/>
    <w:basedOn w:val="Style_7"/>
    <w:link w:val="Style_20_ch"/>
    <w:rPr>
      <w:color w:themeColor="hyperlink" w:val="0000FF"/>
      <w:u w:val="single"/>
    </w:rPr>
  </w:style>
  <w:style w:styleId="Style_20_ch" w:type="character">
    <w:name w:val="Internet link"/>
    <w:basedOn w:val="Style_7_ch"/>
    <w:link w:val="Style_20"/>
    <w:rPr>
      <w:color w:themeColor="hyperlink" w:val="0000FF"/>
      <w:u w:val="single"/>
    </w:rPr>
  </w:style>
  <w:style w:styleId="Style_21" w:type="paragraph">
    <w:name w:val="Contents 9"/>
    <w:link w:val="Style_21_ch"/>
    <w:rPr>
      <w:rFonts w:ascii="XO Thames" w:hAnsi="XO Thames"/>
      <w:sz w:val="28"/>
    </w:rPr>
  </w:style>
  <w:style w:styleId="Style_21_ch" w:type="character">
    <w:name w:val="Contents 9"/>
    <w:link w:val="Style_21"/>
    <w:rPr>
      <w:rFonts w:ascii="XO Thames" w:hAnsi="XO Thames"/>
      <w:sz w:val="28"/>
    </w:rPr>
  </w:style>
  <w:style w:styleId="Style_4" w:type="paragraph">
    <w:name w:val="Footnote Reference"/>
    <w:link w:val="Style_4_ch"/>
    <w:rPr>
      <w:vertAlign w:val="superscript"/>
    </w:rPr>
  </w:style>
  <w:style w:styleId="Style_4_ch" w:type="character">
    <w:name w:val="Footnote Reference"/>
    <w:link w:val="Style_4"/>
    <w:rPr>
      <w:vertAlign w:val="superscript"/>
    </w:rPr>
  </w:style>
  <w:style w:styleId="Style_22" w:type="paragraph">
    <w:name w:val="Body Text"/>
    <w:basedOn w:val="Style_1"/>
    <w:link w:val="Style_22_ch"/>
    <w:pPr>
      <w:spacing w:after="140" w:before="0" w:line="276" w:lineRule="auto"/>
      <w:ind/>
    </w:pPr>
  </w:style>
  <w:style w:styleId="Style_22_ch" w:type="character">
    <w:name w:val="Body Text"/>
    <w:basedOn w:val="Style_1_ch"/>
    <w:link w:val="Style_22"/>
  </w:style>
  <w:style w:styleId="Style_23" w:type="paragraph">
    <w:name w:val="Contents 3"/>
    <w:link w:val="Style_23_ch"/>
    <w:rPr>
      <w:rFonts w:ascii="XO Thames" w:hAnsi="XO Thames"/>
      <w:sz w:val="28"/>
    </w:rPr>
  </w:style>
  <w:style w:styleId="Style_23_ch" w:type="character">
    <w:name w:val="Contents 3"/>
    <w:link w:val="Style_23"/>
    <w:rPr>
      <w:rFonts w:ascii="XO Thames" w:hAnsi="XO Thames"/>
      <w:sz w:val="28"/>
    </w:rPr>
  </w:style>
  <w:style w:styleId="Style_24" w:type="paragraph">
    <w:name w:val="Footnote Symbol"/>
    <w:basedOn w:val="Style_7"/>
    <w:link w:val="Style_24_ch"/>
    <w:rPr>
      <w:vertAlign w:val="superscript"/>
    </w:rPr>
  </w:style>
  <w:style w:styleId="Style_24_ch" w:type="character">
    <w:name w:val="Footnote Symbol"/>
    <w:basedOn w:val="Style_7_ch"/>
    <w:link w:val="Style_24"/>
    <w:rPr>
      <w:vertAlign w:val="superscript"/>
    </w:rPr>
  </w:style>
  <w:style w:styleId="Style_25" w:type="paragraph">
    <w:name w:val="Endnote1"/>
    <w:link w:val="Style_2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Endnote1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toc 3"/>
    <w:next w:val="Style_1"/>
    <w:link w:val="Style_26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3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Contents 7"/>
    <w:link w:val="Style_27_ch"/>
    <w:rPr>
      <w:rFonts w:ascii="XO Thames" w:hAnsi="XO Thames"/>
      <w:sz w:val="28"/>
    </w:rPr>
  </w:style>
  <w:style w:styleId="Style_27_ch" w:type="character">
    <w:name w:val="Contents 7"/>
    <w:link w:val="Style_27"/>
    <w:rPr>
      <w:rFonts w:ascii="XO Thames" w:hAnsi="XO Thames"/>
      <w:sz w:val="28"/>
    </w:rPr>
  </w:style>
  <w:style w:styleId="Style_28" w:type="paragraph">
    <w:name w:val="Символ концевой сноски"/>
    <w:link w:val="Style_28_ch"/>
    <w:rPr>
      <w:vertAlign w:val="superscript"/>
    </w:rPr>
  </w:style>
  <w:style w:styleId="Style_28_ch" w:type="character">
    <w:name w:val="Символ концевой сноски"/>
    <w:link w:val="Style_28"/>
    <w:rPr>
      <w:vertAlign w:val="superscript"/>
    </w:rPr>
  </w:style>
  <w:style w:styleId="Style_29" w:type="paragraph">
    <w:name w:val="Subtitle1"/>
    <w:link w:val="Style_29_ch"/>
    <w:rPr>
      <w:rFonts w:ascii="XO Thames" w:hAnsi="XO Thames"/>
      <w:i w:val="1"/>
      <w:sz w:val="24"/>
    </w:rPr>
  </w:style>
  <w:style w:styleId="Style_29_ch" w:type="character">
    <w:name w:val="Subtitle1"/>
    <w:link w:val="Style_29"/>
    <w:rPr>
      <w:rFonts w:ascii="XO Thames" w:hAnsi="XO Thames"/>
      <w:i w:val="1"/>
      <w:sz w:val="24"/>
    </w:rPr>
  </w:style>
  <w:style w:styleId="Style_2" w:type="paragraph">
    <w:name w:val="List Paragraph1"/>
    <w:basedOn w:val="Style_1"/>
    <w:link w:val="Style_2_ch"/>
    <w:pPr>
      <w:spacing w:after="200" w:before="0"/>
      <w:ind w:firstLine="0" w:left="720"/>
      <w:contextualSpacing w:val="1"/>
    </w:pPr>
  </w:style>
  <w:style w:styleId="Style_2_ch" w:type="character">
    <w:name w:val="List Paragraph1"/>
    <w:basedOn w:val="Style_1_ch"/>
    <w:link w:val="Style_2"/>
  </w:style>
  <w:style w:styleId="Style_30" w:type="paragraph">
    <w:name w:val="Contents 4"/>
    <w:link w:val="Style_30_ch"/>
    <w:rPr>
      <w:rFonts w:ascii="XO Thames" w:hAnsi="XO Thames"/>
      <w:sz w:val="28"/>
    </w:rPr>
  </w:style>
  <w:style w:styleId="Style_30_ch" w:type="character">
    <w:name w:val="Contents 4"/>
    <w:link w:val="Style_30"/>
    <w:rPr>
      <w:rFonts w:ascii="XO Thames" w:hAnsi="XO Thames"/>
      <w:sz w:val="28"/>
    </w:rPr>
  </w:style>
  <w:style w:styleId="Style_31" w:type="paragraph">
    <w:name w:val="List"/>
    <w:basedOn w:val="Style_22"/>
    <w:link w:val="Style_31_ch"/>
  </w:style>
  <w:style w:styleId="Style_31_ch" w:type="character">
    <w:name w:val="List"/>
    <w:basedOn w:val="Style_22_ch"/>
    <w:link w:val="Style_31"/>
  </w:style>
  <w:style w:styleId="Style_32" w:type="paragraph">
    <w:name w:val="heading 5"/>
    <w:next w:val="Style_1"/>
    <w:link w:val="Style_3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pacing w:val="0"/>
      <w:sz w:val="22"/>
    </w:rPr>
  </w:style>
  <w:style w:styleId="Style_33" w:type="paragraph">
    <w:name w:val="heading 1"/>
    <w:next w:val="Style_1"/>
    <w:link w:val="Style_3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3_ch" w:type="character">
    <w:name w:val="heading 1"/>
    <w:link w:val="Style_33"/>
    <w:rPr>
      <w:rFonts w:ascii="XO Thames" w:hAnsi="XO Thames"/>
      <w:b w:val="1"/>
      <w:color w:val="000000"/>
      <w:spacing w:val="0"/>
      <w:sz w:val="32"/>
    </w:rPr>
  </w:style>
  <w:style w:styleId="Style_13" w:type="paragraph">
    <w:name w:val="Содержимое таблицы"/>
    <w:basedOn w:val="Style_1"/>
    <w:link w:val="Style_13_ch"/>
    <w:pPr>
      <w:widowControl w:val="0"/>
      <w:ind/>
    </w:pPr>
  </w:style>
  <w:style w:styleId="Style_13_ch" w:type="character">
    <w:name w:val="Содержимое таблицы"/>
    <w:basedOn w:val="Style_1_ch"/>
    <w:link w:val="Style_13"/>
  </w:style>
  <w:style w:styleId="Style_34" w:type="paragraph">
    <w:name w:val="Hyperlink"/>
    <w:basedOn w:val="Style_7"/>
    <w:link w:val="Style_34_ch"/>
    <w:rPr>
      <w:color w:themeColor="hyperlink" w:val="0000FF"/>
      <w:u w:val="single"/>
    </w:rPr>
  </w:style>
  <w:style w:styleId="Style_34_ch" w:type="character">
    <w:name w:val="Hyperlink"/>
    <w:basedOn w:val="Style_7_ch"/>
    <w:link w:val="Style_34"/>
    <w:rPr>
      <w:color w:themeColor="hyperlink" w:val="0000FF"/>
      <w:u w:val="single"/>
    </w:rPr>
  </w:style>
  <w:style w:styleId="Style_35" w:type="paragraph">
    <w:name w:val="Footnote"/>
    <w:basedOn w:val="Style_1"/>
    <w:link w:val="Style_35_ch"/>
  </w:style>
  <w:style w:styleId="Style_35_ch" w:type="character">
    <w:name w:val="Footnote"/>
    <w:basedOn w:val="Style_1_ch"/>
    <w:link w:val="Style_35"/>
  </w:style>
  <w:style w:styleId="Style_36" w:type="paragraph">
    <w:name w:val="Contents 2"/>
    <w:link w:val="Style_36_ch"/>
    <w:rPr>
      <w:rFonts w:ascii="XO Thames" w:hAnsi="XO Thames"/>
      <w:sz w:val="28"/>
    </w:rPr>
  </w:style>
  <w:style w:styleId="Style_36_ch" w:type="character">
    <w:name w:val="Contents 2"/>
    <w:link w:val="Style_36"/>
    <w:rPr>
      <w:rFonts w:ascii="XO Thames" w:hAnsi="XO Thames"/>
      <w:sz w:val="28"/>
    </w:rPr>
  </w:style>
  <w:style w:styleId="Style_37" w:type="paragraph">
    <w:name w:val="toc 1"/>
    <w:next w:val="Style_1"/>
    <w:link w:val="Style_37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toc 1"/>
    <w:link w:val="Style_37"/>
    <w:rPr>
      <w:rFonts w:ascii="XO Thames" w:hAnsi="XO Thames"/>
      <w:b w:val="1"/>
      <w:color w:val="000000"/>
      <w:spacing w:val="0"/>
      <w:sz w:val="28"/>
    </w:rPr>
  </w:style>
  <w:style w:styleId="Style_38" w:type="paragraph">
    <w:name w:val="Header and Footer"/>
    <w:link w:val="Style_38_ch"/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Footnote1"/>
    <w:basedOn w:val="Style_1"/>
    <w:link w:val="Style_39_ch"/>
    <w:pPr>
      <w:spacing w:after="0" w:before="0" w:line="240" w:lineRule="auto"/>
      <w:ind/>
    </w:pPr>
    <w:rPr>
      <w:sz w:val="20"/>
    </w:rPr>
  </w:style>
  <w:style w:styleId="Style_39_ch" w:type="character">
    <w:name w:val="Footnote1"/>
    <w:basedOn w:val="Style_1_ch"/>
    <w:link w:val="Style_39"/>
    <w:rPr>
      <w:sz w:val="20"/>
    </w:rPr>
  </w:style>
  <w:style w:styleId="Style_40" w:type="paragraph">
    <w:name w:val="toc 9"/>
    <w:next w:val="Style_1"/>
    <w:link w:val="Style_40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toc 9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toc 8"/>
    <w:next w:val="Style_1"/>
    <w:link w:val="Style_41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6"/>
    <w:link w:val="Style_42_ch"/>
    <w:rPr>
      <w:rFonts w:ascii="XO Thames" w:hAnsi="XO Thames"/>
      <w:sz w:val="28"/>
    </w:rPr>
  </w:style>
  <w:style w:styleId="Style_42_ch" w:type="character">
    <w:name w:val="Contents 6"/>
    <w:link w:val="Style_42"/>
    <w:rPr>
      <w:rFonts w:ascii="XO Thames" w:hAnsi="XO Thames"/>
      <w:sz w:val="28"/>
    </w:rPr>
  </w:style>
  <w:style w:styleId="Style_43" w:type="paragraph">
    <w:name w:val="Heading 51"/>
    <w:link w:val="Style_43_ch"/>
    <w:rPr>
      <w:rFonts w:ascii="XO Thames" w:hAnsi="XO Thames"/>
      <w:b w:val="1"/>
      <w:sz w:val="22"/>
    </w:rPr>
  </w:style>
  <w:style w:styleId="Style_43_ch" w:type="character">
    <w:name w:val="Heading 51"/>
    <w:link w:val="Style_43"/>
    <w:rPr>
      <w:rFonts w:ascii="XO Thames" w:hAnsi="XO Thames"/>
      <w:b w:val="1"/>
      <w:sz w:val="22"/>
    </w:rPr>
  </w:style>
  <w:style w:styleId="Style_44" w:type="paragraph">
    <w:name w:val="Колонтитул"/>
    <w:link w:val="Style_44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4_ch" w:type="character">
    <w:name w:val="Колонтитул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Contents 1"/>
    <w:link w:val="Style_45_ch"/>
    <w:rPr>
      <w:rFonts w:ascii="XO Thames" w:hAnsi="XO Thames"/>
      <w:b w:val="1"/>
      <w:sz w:val="28"/>
    </w:rPr>
  </w:style>
  <w:style w:styleId="Style_45_ch" w:type="character">
    <w:name w:val="Contents 1"/>
    <w:link w:val="Style_45"/>
    <w:rPr>
      <w:rFonts w:ascii="XO Thames" w:hAnsi="XO Thames"/>
      <w:b w:val="1"/>
      <w:sz w:val="28"/>
    </w:rPr>
  </w:style>
  <w:style w:styleId="Style_46" w:type="paragraph">
    <w:name w:val="toc 5"/>
    <w:next w:val="Style_1"/>
    <w:link w:val="Style_46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6_ch" w:type="character">
    <w:name w:val="toc 5"/>
    <w:link w:val="Style_46"/>
    <w:rPr>
      <w:rFonts w:ascii="XO Thames" w:hAnsi="XO Thames"/>
      <w:color w:val="000000"/>
      <w:spacing w:val="0"/>
      <w:sz w:val="28"/>
    </w:rPr>
  </w:style>
  <w:style w:styleId="Style_47" w:type="paragraph">
    <w:name w:val="Заголовок"/>
    <w:basedOn w:val="Style_1"/>
    <w:next w:val="Style_22"/>
    <w:link w:val="Style_4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7_ch" w:type="character">
    <w:name w:val="Заголовок"/>
    <w:basedOn w:val="Style_1_ch"/>
    <w:link w:val="Style_47"/>
    <w:rPr>
      <w:rFonts w:ascii="Liberation Sans" w:hAnsi="Liberation Sans"/>
      <w:sz w:val="28"/>
    </w:rPr>
  </w:style>
  <w:style w:styleId="Style_48" w:type="paragraph">
    <w:name w:val="Указатель"/>
    <w:basedOn w:val="Style_1"/>
    <w:link w:val="Style_48_ch"/>
  </w:style>
  <w:style w:styleId="Style_48_ch" w:type="character">
    <w:name w:val="Указатель"/>
    <w:basedOn w:val="Style_1_ch"/>
    <w:link w:val="Style_48"/>
  </w:style>
  <w:style w:styleId="Style_49" w:type="paragraph">
    <w:name w:val="Balloon Text1"/>
    <w:basedOn w:val="Style_1"/>
    <w:link w:val="Style_49_ch"/>
    <w:pPr>
      <w:spacing w:after="0" w:before="0" w:line="240" w:lineRule="auto"/>
      <w:ind/>
    </w:pPr>
    <w:rPr>
      <w:rFonts w:ascii="Segoe UI" w:hAnsi="Segoe UI"/>
      <w:sz w:val="18"/>
    </w:rPr>
  </w:style>
  <w:style w:styleId="Style_49_ch" w:type="character">
    <w:name w:val="Balloon Text1"/>
    <w:basedOn w:val="Style_1_ch"/>
    <w:link w:val="Style_49"/>
    <w:rPr>
      <w:rFonts w:ascii="Segoe UI" w:hAnsi="Segoe UI"/>
      <w:sz w:val="18"/>
    </w:rPr>
  </w:style>
  <w:style w:styleId="Style_50" w:type="paragraph">
    <w:name w:val="Endnote Reference"/>
    <w:link w:val="Style_50_ch"/>
    <w:rPr>
      <w:vertAlign w:val="superscript"/>
    </w:rPr>
  </w:style>
  <w:style w:styleId="Style_50_ch" w:type="character">
    <w:name w:val="Endnote Reference"/>
    <w:link w:val="Style_50"/>
    <w:rPr>
      <w:vertAlign w:val="superscript"/>
    </w:rPr>
  </w:style>
  <w:style w:styleId="Style_51" w:type="paragraph">
    <w:name w:val="Subtitle"/>
    <w:next w:val="Style_1"/>
    <w:link w:val="Style_51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1_ch" w:type="character">
    <w:name w:val="Subtitle"/>
    <w:link w:val="Style_51"/>
    <w:rPr>
      <w:rFonts w:ascii="XO Thames" w:hAnsi="XO Thames"/>
      <w:i w:val="1"/>
      <w:color w:val="000000"/>
      <w:spacing w:val="0"/>
      <w:sz w:val="24"/>
    </w:rPr>
  </w:style>
  <w:style w:styleId="Style_52" w:type="paragraph">
    <w:name w:val="Title"/>
    <w:next w:val="Style_1"/>
    <w:link w:val="Style_52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color w:val="000000"/>
      <w:spacing w:val="0"/>
      <w:sz w:val="40"/>
    </w:rPr>
  </w:style>
  <w:style w:styleId="Style_53" w:type="paragraph">
    <w:name w:val="heading 4"/>
    <w:next w:val="Style_1"/>
    <w:link w:val="Style_5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3_ch" w:type="character">
    <w:name w:val="heading 4"/>
    <w:link w:val="Style_53"/>
    <w:rPr>
      <w:rFonts w:ascii="XO Thames" w:hAnsi="XO Thames"/>
      <w:b w:val="1"/>
      <w:color w:val="000000"/>
      <w:spacing w:val="0"/>
      <w:sz w:val="24"/>
    </w:rPr>
  </w:style>
  <w:style w:styleId="Style_54" w:type="paragraph">
    <w:name w:val="Heading 11"/>
    <w:link w:val="Style_54_ch"/>
    <w:rPr>
      <w:rFonts w:ascii="XO Thames" w:hAnsi="XO Thames"/>
      <w:b w:val="1"/>
      <w:sz w:val="32"/>
    </w:rPr>
  </w:style>
  <w:style w:styleId="Style_54_ch" w:type="character">
    <w:name w:val="Heading 11"/>
    <w:link w:val="Style_54"/>
    <w:rPr>
      <w:rFonts w:ascii="XO Thames" w:hAnsi="XO Thames"/>
      <w:b w:val="1"/>
      <w:sz w:val="32"/>
    </w:rPr>
  </w:style>
  <w:style w:styleId="Style_55" w:type="paragraph">
    <w:name w:val="heading 2"/>
    <w:next w:val="Style_1"/>
    <w:link w:val="Style_5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5_ch" w:type="character">
    <w:name w:val="heading 2"/>
    <w:link w:val="Style_55"/>
    <w:rPr>
      <w:rFonts w:ascii="XO Thames" w:hAnsi="XO Thames"/>
      <w:b w:val="1"/>
      <w:color w:val="000000"/>
      <w:spacing w:val="0"/>
      <w:sz w:val="28"/>
    </w:rPr>
  </w:style>
  <w:style w:styleId="Style_56" w:type="paragraph">
    <w:name w:val="Heading 41"/>
    <w:link w:val="Style_56_ch"/>
    <w:rPr>
      <w:rFonts w:ascii="XO Thames" w:hAnsi="XO Thames"/>
      <w:b w:val="1"/>
      <w:sz w:val="24"/>
    </w:rPr>
  </w:style>
  <w:style w:styleId="Style_56_ch" w:type="character">
    <w:name w:val="Heading 41"/>
    <w:link w:val="Style_56"/>
    <w:rPr>
      <w:rFonts w:ascii="XO Thames" w:hAnsi="XO Thames"/>
      <w:b w:val="1"/>
      <w:sz w:val="24"/>
    </w:rPr>
  </w:style>
  <w:style w:styleId="Style_57" w:type="paragraph">
    <w:name w:val="Contents 8"/>
    <w:link w:val="Style_57_ch"/>
    <w:rPr>
      <w:rFonts w:ascii="XO Thames" w:hAnsi="XO Thames"/>
      <w:sz w:val="28"/>
    </w:rPr>
  </w:style>
  <w:style w:styleId="Style_57_ch" w:type="character">
    <w:name w:val="Contents 8"/>
    <w:link w:val="Style_57"/>
    <w:rPr>
      <w:rFonts w:ascii="XO Thames" w:hAnsi="XO Thames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2025-05-22T01:40:05Z</dcterms:modified>
</cp:coreProperties>
</file>