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Р А С П О Р Я Ж Е Н И Е 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74"/>
        </w:trPr>
        <w:tc>
          <w:tcPr>
            <w:tcW w:type="dxa" w:w="4253"/>
            <w:tcBorders>
              <w:top w:sz="4" w:val="nil"/>
              <w:left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Borders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themeColor="text1" w:val="000000"/>
          <w:spacing w:val="0"/>
          <w:sz w:val="28"/>
        </w:rPr>
        <w:t>Об утверждении</w:t>
      </w:r>
      <w:r>
        <w:rPr>
          <w:rFonts w:ascii="Times New Roman" w:hAnsi="Times New Roman"/>
          <w:b w:val="1"/>
          <w:color w:themeColor="text1" w:val="000000"/>
          <w:spacing w:val="0"/>
          <w:sz w:val="28"/>
        </w:rPr>
        <w:t xml:space="preserve"> Стратегии </w:t>
      </w:r>
      <w:r>
        <w:rPr>
          <w:rFonts w:ascii="Times New Roman" w:hAnsi="Times New Roman"/>
          <w:b w:val="1"/>
          <w:sz w:val="28"/>
        </w:rPr>
        <w:t>совершенствования экстренной медицинской помощи с использованием воздушных судов до 2030 года</w:t>
      </w:r>
    </w:p>
    <w:p w14:paraId="11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sz w:val="28"/>
        </w:rPr>
        <w:t>В с</w:t>
      </w:r>
      <w:r>
        <w:rPr>
          <w:rFonts w:ascii="Times New Roman" w:hAnsi="Times New Roman"/>
          <w:b w:val="0"/>
          <w:color w:val="000000"/>
          <w:sz w:val="28"/>
          <w:u w:val="none"/>
        </w:rPr>
        <w:t>оответствии с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fldChar w:fldCharType="begin"/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instrText>HYPERLINK "https://login.consultant.ru/link/?req=doc&amp;base=LAW&amp;n=536701&amp;dst=133676&amp;field=134&amp;date=05.11.2026"</w:instrTex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fldChar w:fldCharType="separate"/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постановлением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fldChar w:fldCharType="end"/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Правительства Российской Федерации от 26.12.2017 № 1640 «Об утверждении государственной программы Российской Федерации «Развитие здравоохранения», в рамках федерального проекта «Совершенствование экстренной медицинской помощи», входящего в состав национального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fldChar w:fldCharType="begin"/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instrText>HYPERLINK "https://login.consultant.ru/link/?req=doc&amp;base=LAW&amp;n=504158&amp;date=05.11.2026"</w:instrTex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fldChar w:fldCharType="separate"/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проекта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fldChar w:fldCharType="end"/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«</w:t>
      </w:r>
      <w:r>
        <w:rPr>
          <w:rFonts w:ascii="Times New Roman" w:hAnsi="Times New Roman"/>
          <w:b w:val="0"/>
          <w:color w:val="000000"/>
          <w:sz w:val="28"/>
          <w:u w:val="none"/>
        </w:rPr>
        <w:t>Продолжительная и активная жизнь»</w:t>
      </w: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15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16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Утвердить </w:t>
      </w:r>
      <w:r>
        <w:rPr>
          <w:rFonts w:ascii="Times New Roman" w:hAnsi="Times New Roman"/>
          <w:b w:val="0"/>
          <w:color w:themeColor="text1" w:val="000000"/>
          <w:spacing w:val="0"/>
          <w:sz w:val="28"/>
        </w:rPr>
        <w:t xml:space="preserve">Стратегия </w:t>
      </w:r>
      <w:r>
        <w:rPr>
          <w:rFonts w:ascii="Times New Roman" w:hAnsi="Times New Roman"/>
          <w:b w:val="0"/>
          <w:sz w:val="28"/>
        </w:rPr>
        <w:t>совершенствования экстренной медицинской помощи с использованием воздушных судов до 2030 года</w:t>
      </w:r>
      <w:r>
        <w:rPr>
          <w:rFonts w:ascii="Times New Roman" w:hAnsi="Times New Roman"/>
          <w:b w:val="0"/>
          <w:sz w:val="28"/>
        </w:rPr>
        <w:t xml:space="preserve"> согласно приложению к настоящему распоряжению.</w:t>
      </w:r>
    </w:p>
    <w:p w14:paraId="1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578"/>
        <w:gridCol w:w="3544"/>
        <w:gridCol w:w="2551"/>
      </w:tblGrid>
      <w:tr>
        <w:trPr>
          <w:trHeight w:hRule="atLeast" w:val="2220"/>
        </w:trPr>
        <w:tc>
          <w:tcPr>
            <w:tcW w:type="dxa" w:w="3578"/>
            <w:shd w:fill="auto" w:val="clear"/>
            <w:tcMar>
              <w:left w:type="dxa" w:w="0"/>
              <w:right w:type="dxa" w:w="0"/>
            </w:tcMar>
          </w:tcPr>
          <w:p w14:paraId="1A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1B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Правительства </w:t>
            </w:r>
          </w:p>
          <w:p w14:paraId="1C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_GoBack"/>
            <w:bookmarkEnd w:id="2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 w14:paraId="1D000000">
            <w:pPr>
              <w:spacing w:after="0" w:line="240" w:lineRule="auto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3544"/>
            <w:shd w:fill="auto" w:val="clear"/>
            <w:tcMar>
              <w:left w:type="dxa" w:w="0"/>
              <w:right w:type="dxa" w:w="0"/>
            </w:tcMar>
          </w:tcPr>
          <w:p w14:paraId="1E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1F000000">
            <w:pPr>
              <w:spacing w:after="0" w:line="240" w:lineRule="auto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20000000">
            <w:pPr>
              <w:spacing w:after="0" w:line="240" w:lineRule="auto"/>
              <w:ind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3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3"/>
          </w:p>
        </w:tc>
        <w:tc>
          <w:tcPr>
            <w:tcW w:type="dxa" w:w="2551"/>
            <w:shd w:fill="auto" w:val="clear"/>
            <w:tcMar>
              <w:left w:type="dxa" w:w="0"/>
              <w:right w:type="dxa" w:w="0"/>
            </w:tcMar>
          </w:tcPr>
          <w:p w14:paraId="21000000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2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2300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 w14:paraId="2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tbl>
      <w:tblPr>
        <w:tblStyle w:val="Style_4"/>
        <w:tblW w:type="auto" w:w="0"/>
        <w:tblLayout w:type="fixed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5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6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7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8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9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распоряжению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B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C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D00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E00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F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0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1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2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3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5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600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37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38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39000000">
      <w:pPr>
        <w:pStyle w:val="Style_2"/>
        <w:tabs>
          <w:tab w:leader="none" w:pos="708" w:val="clear"/>
          <w:tab w:leader="none" w:pos="709" w:val="left"/>
        </w:tabs>
        <w:spacing w:after="0" w:before="0" w:line="240" w:lineRule="auto"/>
        <w:ind w:firstLine="0" w:left="0" w:right="0"/>
        <w:contextualSpacing w:val="1"/>
        <w:jc w:val="center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pacing w:val="0"/>
          <w:sz w:val="28"/>
        </w:rPr>
        <w:t xml:space="preserve">Стратегия </w:t>
      </w:r>
      <w:r>
        <w:rPr>
          <w:rFonts w:ascii="Times New Roman" w:hAnsi="Times New Roman"/>
          <w:b w:val="0"/>
          <w:sz w:val="28"/>
        </w:rPr>
        <w:t>совершенствования экстренной медицинской помощи с использованием воздушных судов до 2030 года</w:t>
      </w:r>
    </w:p>
    <w:p w14:paraId="3A000000">
      <w:pPr>
        <w:pStyle w:val="Style_2"/>
        <w:tabs>
          <w:tab w:leader="none" w:pos="708" w:val="clear"/>
          <w:tab w:leader="none" w:pos="709" w:val="left"/>
        </w:tabs>
        <w:spacing w:after="0" w:before="0" w:line="240" w:lineRule="auto"/>
        <w:ind w:firstLine="0" w:left="0" w:right="0"/>
        <w:contextualSpacing w:val="1"/>
        <w:jc w:val="center"/>
        <w:outlineLvl w:val="0"/>
        <w:rPr>
          <w:rFonts w:ascii="Times New Roman" w:hAnsi="Times New Roman"/>
          <w:b w:val="0"/>
          <w:sz w:val="28"/>
        </w:rPr>
      </w:pPr>
    </w:p>
    <w:p w14:paraId="3B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1. </w:t>
      </w:r>
      <w:r>
        <w:rPr>
          <w:rFonts w:ascii="Times New Roman" w:hAnsi="Times New Roman"/>
          <w:b w:val="0"/>
          <w:color w:val="000000"/>
          <w:sz w:val="28"/>
        </w:rPr>
        <w:t>Общие положения</w:t>
      </w:r>
    </w:p>
    <w:p w14:paraId="3C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3D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Стратегия развития санитарной авиации в Камчатском крае до 2030 года (далее – Стратегия) определяет цели, задачи и принципы, направленные на обеспечение интересов и реализацию стратегических национальных приоритетов в данной области.</w:t>
      </w:r>
    </w:p>
    <w:p w14:paraId="3E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trike w:val="1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 Стратегия разраб</w:t>
      </w:r>
      <w:r>
        <w:rPr>
          <w:rFonts w:ascii="Times New Roman" w:hAnsi="Times New Roman"/>
          <w:sz w:val="28"/>
        </w:rPr>
        <w:t xml:space="preserve">отана в соответствии с паспортом регионального </w:t>
      </w:r>
      <w:r>
        <w:rPr>
          <w:rFonts w:ascii="Times New Roman" w:hAnsi="Times New Roman"/>
          <w:strike w:val="0"/>
          <w:sz w:val="28"/>
        </w:rPr>
        <w:t>проекта</w:t>
      </w:r>
      <w:r>
        <w:rPr>
          <w:rFonts w:ascii="Times New Roman" w:hAnsi="Times New Roman"/>
          <w:strike w:val="0"/>
          <w:sz w:val="28"/>
        </w:rPr>
        <w:t xml:space="preserve"> «Совершенствование экстренной медицинской помощи (Камчатский край)»</w:t>
      </w:r>
      <w:r>
        <w:rPr>
          <w:rFonts w:ascii="Times New Roman" w:hAnsi="Times New Roman"/>
          <w:strike w:val="0"/>
          <w:sz w:val="28"/>
        </w:rPr>
        <w:t>,</w:t>
      </w:r>
      <w:r>
        <w:rPr>
          <w:rFonts w:ascii="Times New Roman" w:hAnsi="Times New Roman"/>
          <w:sz w:val="28"/>
        </w:rPr>
        <w:t xml:space="preserve"> Соглашением о реализации на территории субъекта Российской Федерации регионального </w:t>
      </w:r>
      <w:r>
        <w:rPr>
          <w:rFonts w:ascii="Times New Roman" w:hAnsi="Times New Roman"/>
          <w:sz w:val="28"/>
        </w:rPr>
        <w:t xml:space="preserve">проекта, обеспечивающего достижение показателей и мероприятий (результатов) </w:t>
      </w:r>
      <w:r>
        <w:rPr>
          <w:rFonts w:ascii="Times New Roman" w:hAnsi="Times New Roman"/>
          <w:sz w:val="28"/>
        </w:rPr>
        <w:t>федерального проекта «</w:t>
      </w:r>
      <w:r>
        <w:rPr>
          <w:rFonts w:ascii="Times New Roman" w:hAnsi="Times New Roman"/>
          <w:sz w:val="28"/>
        </w:rPr>
        <w:t>Совершенствование экстренной ме</w:t>
      </w:r>
      <w:r>
        <w:rPr>
          <w:rFonts w:ascii="Times New Roman" w:hAnsi="Times New Roman"/>
          <w:sz w:val="28"/>
        </w:rPr>
        <w:t>дицинской помощи»</w:t>
      </w:r>
      <w:r>
        <w:rPr>
          <w:rFonts w:ascii="Times New Roman" w:hAnsi="Times New Roman"/>
          <w:sz w:val="28"/>
        </w:rPr>
        <w:t>, входящего в состав национального проект</w:t>
      </w:r>
      <w:r>
        <w:rPr>
          <w:rFonts w:ascii="Times New Roman" w:hAnsi="Times New Roman"/>
          <w:sz w:val="28"/>
        </w:rPr>
        <w:t>а «</w:t>
      </w:r>
      <w:r>
        <w:rPr>
          <w:rFonts w:ascii="Times New Roman" w:hAnsi="Times New Roman"/>
          <w:sz w:val="28"/>
        </w:rPr>
        <w:t>Продолжительная и активная жизнь».</w:t>
      </w:r>
      <w:r>
        <w:rPr>
          <w:rFonts w:ascii="Times New Roman" w:hAnsi="Times New Roman"/>
          <w:sz w:val="28"/>
        </w:rPr>
        <w:t xml:space="preserve"> </w:t>
      </w:r>
    </w:p>
    <w:p w14:paraId="3F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3. Правовую основу Стратегии составляют:</w:t>
      </w:r>
    </w:p>
    <w:p w14:paraId="40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- Конституция Российской Федерации; </w:t>
      </w:r>
    </w:p>
    <w:p w14:paraId="41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Федеральный закон от 28.06.2014 № 172-ФЗ «</w:t>
      </w:r>
      <w:r>
        <w:rPr>
          <w:rFonts w:ascii="Times New Roman" w:hAnsi="Times New Roman"/>
          <w:b w:val="0"/>
          <w:sz w:val="28"/>
        </w:rPr>
        <w:t xml:space="preserve">О стратегическом планировании в Российской Федерации»; </w:t>
      </w:r>
    </w:p>
    <w:p w14:paraId="42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- </w:t>
      </w:r>
      <w:r>
        <w:rPr>
          <w:rFonts w:ascii="Times New Roman" w:hAnsi="Times New Roman"/>
          <w:b w:val="0"/>
          <w:sz w:val="28"/>
        </w:rPr>
        <w:t>Федеральный закон от 21.11.2011 № 323-ФЗ «</w:t>
      </w:r>
      <w:r>
        <w:rPr>
          <w:rFonts w:ascii="Times New Roman" w:hAnsi="Times New Roman"/>
          <w:b w:val="0"/>
          <w:sz w:val="28"/>
        </w:rPr>
        <w:t>Об основах охраны здоровья граждан в Российской Федерации»</w:t>
      </w:r>
      <w:r>
        <w:rPr>
          <w:rFonts w:ascii="Times New Roman" w:hAnsi="Times New Roman"/>
          <w:sz w:val="28"/>
        </w:rPr>
        <w:t xml:space="preserve">; </w:t>
      </w:r>
    </w:p>
    <w:p w14:paraId="4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- Воздушный кодекс Российской Федерации; </w:t>
      </w:r>
    </w:p>
    <w:p w14:paraId="44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- государственная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fldChar w:fldCharType="begin"/>
      </w:r>
      <w:r>
        <w:rPr>
          <w:rFonts w:ascii="Times New Roman" w:hAnsi="Times New Roman"/>
          <w:color w:val="000000"/>
          <w:sz w:val="28"/>
        </w:rPr>
        <w:instrText>HYPERLINK "https://login.consultant.ru/link/?req=doc&amp;base=LAW&amp;n=536701&amp;date=02.11.2026&amp;dst=32379&amp;field=134ОбутверждениигосударственнойпрограммыРоссийскойФедерацииРазвитие здравоохранения{КонсультантПлюс}" \o "Постановление Правительства РФ от 26.12.2017 N 1640 (ред. от 12.06.2026)"</w:instrText>
      </w:r>
      <w:r>
        <w:rPr>
          <w:rFonts w:ascii="Times New Roman" w:hAnsi="Times New Roman"/>
          <w:color w:val="000000"/>
          <w:sz w:val="28"/>
        </w:rPr>
        <w:fldChar w:fldCharType="separate"/>
      </w:r>
      <w:r>
        <w:rPr>
          <w:rFonts w:ascii="Times New Roman" w:hAnsi="Times New Roman"/>
          <w:color w:val="000000"/>
          <w:sz w:val="28"/>
        </w:rPr>
        <w:t>программа</w:t>
      </w:r>
      <w:r>
        <w:rPr>
          <w:rFonts w:ascii="Times New Roman" w:hAnsi="Times New Roman"/>
          <w:color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Российской Федерации «Развитие здравоохранения», утвержденная постановлением Правительства Российской Федерации от 26.12.2017 № 1640 «Об утверждении государственной программы Российской Федерации «Развитие здравоохранения»;</w:t>
      </w:r>
    </w:p>
    <w:p w14:paraId="45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 государственная программа Камчатского края «Развитие здравоохранения Камчатского края»</w:t>
      </w:r>
      <w:r>
        <w:rPr>
          <w:rFonts w:ascii="Times New Roman" w:hAnsi="Times New Roman"/>
          <w:sz w:val="28"/>
        </w:rPr>
        <w:t>, утвержденная п</w:t>
      </w:r>
      <w:r>
        <w:rPr>
          <w:rFonts w:ascii="Times New Roman" w:hAnsi="Times New Roman"/>
          <w:b w:val="0"/>
          <w:sz w:val="28"/>
        </w:rPr>
        <w:t>остановлением Правительства Камчатского края от 22.01.2024 № 15-П.</w:t>
      </w:r>
    </w:p>
    <w:p w14:paraId="46000000">
      <w:pPr>
        <w:pStyle w:val="Style_2"/>
        <w:spacing w:after="0" w:before="0" w:line="240" w:lineRule="auto"/>
        <w:ind w:firstLine="851" w:left="0" w:right="0"/>
        <w:jc w:val="both"/>
        <w:rPr>
          <w:rFonts w:ascii="Times New Roman" w:hAnsi="Times New Roman"/>
          <w:sz w:val="28"/>
        </w:rPr>
      </w:pPr>
    </w:p>
    <w:p w14:paraId="47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 </w:t>
      </w:r>
      <w:r>
        <w:rPr>
          <w:rFonts w:ascii="Times New Roman" w:hAnsi="Times New Roman"/>
          <w:b w:val="0"/>
          <w:sz w:val="28"/>
        </w:rPr>
        <w:t>Оценка текущего состояния службы скорой медицинской помощи и санитарной авиации в Камчатском крае</w:t>
      </w:r>
    </w:p>
    <w:p w14:paraId="48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49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2.1. Сведения о субъекте Российской Федерации</w:t>
      </w:r>
    </w:p>
    <w:p w14:paraId="4A000000">
      <w:pPr>
        <w:pStyle w:val="Style_2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4B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pacing w:val="4"/>
          <w:sz w:val="28"/>
        </w:rPr>
      </w:pPr>
      <w:r>
        <w:rPr>
          <w:rFonts w:ascii="Times New Roman" w:hAnsi="Times New Roman"/>
          <w:spacing w:val="4"/>
          <w:sz w:val="28"/>
        </w:rPr>
        <w:t xml:space="preserve">4. Камчатский край – субъект Российской Федерации, образованный </w:t>
      </w:r>
      <w:r>
        <w:rPr>
          <w:rFonts w:ascii="Times New Roman" w:hAnsi="Times New Roman"/>
          <w:spacing w:val="4"/>
          <w:sz w:val="28"/>
        </w:rPr>
        <w:br/>
      </w:r>
      <w:r>
        <w:rPr>
          <w:rFonts w:ascii="Times New Roman" w:hAnsi="Times New Roman"/>
          <w:spacing w:val="4"/>
          <w:sz w:val="28"/>
        </w:rPr>
        <w:t>1 июля 2007 года в результате объединения Камчатской области и Корякского автономного округа</w:t>
      </w:r>
      <w:r>
        <w:rPr>
          <w:rFonts w:ascii="Times New Roman" w:hAnsi="Times New Roman"/>
          <w:sz w:val="28"/>
        </w:rPr>
        <w:t>. Он входит в состав Дальневосточного федерального округа (далее – ДФО),</w:t>
      </w:r>
      <w:r>
        <w:rPr>
          <w:rFonts w:ascii="Times New Roman" w:hAnsi="Times New Roman"/>
          <w:spacing w:val="4"/>
          <w:sz w:val="28"/>
        </w:rPr>
        <w:t xml:space="preserve"> расположен на крайнем северо-востоке России</w:t>
      </w:r>
      <w:r>
        <w:rPr>
          <w:rFonts w:ascii="Times New Roman" w:hAnsi="Times New Roman"/>
          <w:sz w:val="28"/>
        </w:rPr>
        <w:t xml:space="preserve"> и включает в себя полуостров Камчатка с прилегающей к нему частью материка, а также Карагинский и Командорские острова.</w:t>
      </w:r>
    </w:p>
    <w:p w14:paraId="4C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pacing w:val="4"/>
          <w:sz w:val="28"/>
        </w:rPr>
      </w:pPr>
      <w:r>
        <w:rPr>
          <w:rFonts w:ascii="Times New Roman" w:hAnsi="Times New Roman"/>
          <w:sz w:val="28"/>
        </w:rPr>
        <w:t>5. Камчатский край занимает территорию 464,3 тыс. кв. км (2,7 процента территории Российской Федерации), из которых 292,6 тыс. </w:t>
      </w:r>
      <w:r>
        <w:rPr>
          <w:rFonts w:ascii="Times New Roman" w:hAnsi="Times New Roman"/>
          <w:sz w:val="28"/>
        </w:rPr>
        <w:t>кв. км приходится на Корякский округ.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Протяжённость края с севера на юг – почти 1600 км. Из-за удалённости от материка путь до центров высокотехнологичной помощи (например, в Хабаровске или Владивостоке) занимает значительное время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Расстояние от г. Петропавловска-Камчатского до г. Москвы –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11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876 км (9 часовых поясов). </w:t>
      </w:r>
    </w:p>
    <w:p w14:paraId="4D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6. Численность постоянного населения края на 1 января 2025 года составляет 288,2 тыс. человек, из которых сельское население составляет – 62,3 тыс. человек (21,6 процента). Народности Севера представлены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11 национальностями и составляют 17,6 тыс. человек (5,5 процента всего населения края).   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4E000000">
      <w:pPr>
        <w:pStyle w:val="Style_2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</w:pPr>
      <w:r>
        <w:rPr>
          <w:rFonts w:ascii="Times New Roman" w:hAnsi="Times New Roman"/>
          <w:sz w:val="28"/>
        </w:rPr>
        <w:t>7.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 xml:space="preserve">В состав Камчатского края входит 86 населенных пунктов, в том числе: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 xml:space="preserve">городов краевого подчинения – 3 (г. Петропавловск-Камчатский, г. Вилючинск,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 xml:space="preserve">г. Елизово);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 xml:space="preserve">посёлков городского типа – 1 (пгт. Палана);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 xml:space="preserve">рабочих посёлков – 1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br/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>(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 xml:space="preserve">рп. Вулканный);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>сельских населённых пунктов – 81.</w:t>
      </w:r>
    </w:p>
    <w:p w14:paraId="4F000000">
      <w:pPr>
        <w:pStyle w:val="Style_2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муниципальные образования Камчатского края отнесены к местам компактного проживания коренных малочисленных народов Севера, Сибири и Дальнего Востока. Более половины населения края проживает в краевом центре – г. Петропавловск-Камчатском.</w:t>
      </w:r>
    </w:p>
    <w:p w14:paraId="50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Средняя плотность населения составляет 0,62 человека на 1 кв. км</w:t>
      </w:r>
      <w:r>
        <w:rPr>
          <w:rFonts w:ascii="Times New Roman" w:hAnsi="Times New Roman"/>
          <w:sz w:val="28"/>
        </w:rPr>
        <w:t>, что в 12 раз ниже, чем в целом по России. Население размещено по территории края крайне неравномерно – от 0,02 человека на 1 кв. км</w:t>
      </w:r>
      <w:r>
        <w:rPr>
          <w:rFonts w:ascii="Times New Roman" w:hAnsi="Times New Roman"/>
          <w:sz w:val="28"/>
        </w:rPr>
        <w:t xml:space="preserve"> в Пенжинском районе, до 448 человек в краевом центре.    </w:t>
      </w:r>
    </w:p>
    <w:p w14:paraId="51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Единственный вид транспортного сообщения с материком – авиацион</w:t>
      </w:r>
      <w:r>
        <w:rPr>
          <w:rFonts w:ascii="Times New Roman" w:hAnsi="Times New Roman"/>
          <w:sz w:val="28"/>
        </w:rPr>
        <w:t>ный. Железнодорожное сообщение отсутствует. Морской  транспорт имеет значение только для грузоперевозок. Автомобильное сообщение развито в пределах бывшей Камчатской области. С отдаленными районами бывшего Корякского округа – исключительно авиасообщение.</w:t>
      </w:r>
    </w:p>
    <w:p w14:paraId="52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</w:pPr>
      <w:r>
        <w:rPr>
          <w:rFonts w:ascii="Times New Roman" w:hAnsi="Times New Roman"/>
          <w:sz w:val="28"/>
        </w:rPr>
        <w:t xml:space="preserve">Административный центр Камчатского края </w:t>
      </w:r>
      <w:r>
        <w:rPr>
          <w:rFonts w:ascii="Times New Roman" w:hAnsi="Times New Roman"/>
          <w:spacing w:val="4"/>
          <w:sz w:val="28"/>
        </w:rPr>
        <w:t>–</w:t>
      </w:r>
      <w:r>
        <w:rPr>
          <w:rFonts w:ascii="Times New Roman" w:hAnsi="Times New Roman"/>
          <w:sz w:val="28"/>
        </w:rPr>
        <w:t xml:space="preserve"> г. Петропавловск-Камчатский. Города края </w:t>
      </w:r>
      <w:r>
        <w:rPr>
          <w:rFonts w:ascii="Times New Roman" w:hAnsi="Times New Roman"/>
          <w:spacing w:val="4"/>
          <w:sz w:val="28"/>
        </w:rPr>
        <w:t>–</w:t>
      </w:r>
      <w:r>
        <w:rPr>
          <w:rFonts w:ascii="Times New Roman" w:hAnsi="Times New Roman"/>
          <w:sz w:val="28"/>
        </w:rPr>
        <w:t xml:space="preserve"> Петропавловск-Камчатс</w:t>
      </w:r>
      <w:r>
        <w:rPr>
          <w:rFonts w:ascii="Times New Roman" w:hAnsi="Times New Roman"/>
          <w:sz w:val="28"/>
        </w:rPr>
        <w:t>кий, Елизово, Вилючинск. Муниципальные районы: Пенжинский, Олюторский, Карагинский.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06062D"/>
          <w:spacing w:val="-5"/>
          <w:sz w:val="28"/>
        </w:rPr>
        <w:t>В состав муниципальных районов входят 17 сельских поселений.</w:t>
      </w:r>
    </w:p>
    <w:p w14:paraId="5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Муниципальные округа: Елизовский, Соболевский, Усть-Большерецкий, Алеутский, Быстринский, Мильковский, Тигильский (включая поселок городского типа Палана), Усть-Камчатский.</w:t>
      </w:r>
    </w:p>
    <w:p w14:paraId="54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данный момент г. Петропавловск-Камчатский имеет устойчивую автомобильную связь только с пятью районами. Сообщение с городским ок</w:t>
      </w:r>
      <w:r>
        <w:rPr>
          <w:rFonts w:ascii="Times New Roman" w:hAnsi="Times New Roman"/>
          <w:sz w:val="28"/>
        </w:rPr>
        <w:t>ругом «поселок Палана» осуществляется по автозимнику.</w:t>
      </w:r>
    </w:p>
    <w:p w14:paraId="55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Из-за отсутствия сухопутного сообщения с материком край по транспортной доступности сопоставим с островом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Врем</w:t>
      </w:r>
      <w:r>
        <w:rPr>
          <w:rFonts w:ascii="Times New Roman" w:hAnsi="Times New Roman"/>
          <w:sz w:val="28"/>
        </w:rPr>
        <w:t xml:space="preserve">я полета до центров оказания высокотехнологичной медицинской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омощи достигает от 3 до 11 часов из краевого центра и до 20 часов из удаленных населенных пунктов. Также присутствует фактор нерегулярности совершаемых рейсов, в том числе по метеоусловиям, что для определенной категории пациентов сопряжено с риском для жизни. </w:t>
      </w:r>
    </w:p>
    <w:p w14:paraId="56000000">
      <w:pPr>
        <w:pStyle w:val="Style_2"/>
        <w:spacing w:after="0" w:before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</w:p>
    <w:p w14:paraId="57000000">
      <w:pPr>
        <w:pStyle w:val="Style_2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2.2. Анализ демографической ситуации</w:t>
      </w:r>
    </w:p>
    <w:p w14:paraId="58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sz w:val="28"/>
        </w:rPr>
      </w:pPr>
    </w:p>
    <w:p w14:paraId="59000000">
      <w:pPr>
        <w:pStyle w:val="Style_2"/>
        <w:spacing w:after="16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Развитие демографической ситуации в Камчатском крае в 2025 году указывает на процесс депопуляции населения за счет миграционного оттока и естественного движения. </w:t>
      </w:r>
    </w:p>
    <w:p w14:paraId="5A000000">
      <w:pPr>
        <w:pStyle w:val="Style_2"/>
        <w:spacing w:after="16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Численность населения края по состоянию на 01.01.2025 составляет 288 </w:t>
      </w:r>
      <w:r>
        <w:rPr>
          <w:rFonts w:ascii="Times New Roman" w:hAnsi="Times New Roman"/>
          <w:sz w:val="28"/>
        </w:rPr>
        <w:t>200 человек, что ниже уровня 2024 года на 0,3 процента и</w:t>
      </w:r>
      <w:r>
        <w:rPr>
          <w:rFonts w:ascii="Times New Roman" w:hAnsi="Times New Roman"/>
          <w:sz w:val="28"/>
        </w:rPr>
        <w:t xml:space="preserve"> 2023 года</w:t>
      </w:r>
      <w:r>
        <w:rPr>
          <w:rFonts w:ascii="Times New Roman" w:hAnsi="Times New Roman"/>
          <w:sz w:val="28"/>
        </w:rPr>
        <w:t xml:space="preserve"> на 0,2 процента соответственно.</w:t>
      </w:r>
    </w:p>
    <w:p w14:paraId="5B000000">
      <w:pPr>
        <w:pStyle w:val="Style_2"/>
        <w:spacing w:after="16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городской местности проживает 78,4 процента от общей численности населения края, в сельской местности – 21,6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. </w:t>
      </w:r>
    </w:p>
    <w:p w14:paraId="5C000000">
      <w:pPr>
        <w:pStyle w:val="Style_2"/>
        <w:widowControl w:val="0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11. Показатель рождаемости</w:t>
      </w:r>
      <w:r>
        <w:rPr>
          <w:rFonts w:ascii="Times New Roman" w:hAnsi="Times New Roman"/>
          <w:sz w:val="28"/>
        </w:rPr>
        <w:t xml:space="preserve"> на протяжении ряда лет неуклонно снижается. </w:t>
      </w:r>
      <w:r>
        <w:rPr>
          <w:rFonts w:ascii="Times New Roman" w:hAnsi="Times New Roman"/>
          <w:sz w:val="28"/>
        </w:rPr>
        <w:t xml:space="preserve">В 2025 году он составил 9,2 процента. Этот показатель выше среднероссийского (2024 год – 8,4 процента) на 9,5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и ниже показателя по ДФО за 2024 год (9,3 процента) на 1,1 процента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За 2025 год в крае родилось 2643 ребенка, что на 102 человека меньше, чем в предыдущем году. Рождаемость выше, чем в среднем по краю, отмечается в Петропавловск-Камчатском городском округе (9,5 процентов), </w:t>
      </w:r>
      <w:r>
        <w:rPr>
          <w:rFonts w:ascii="Times New Roman" w:hAnsi="Times New Roman"/>
          <w:sz w:val="28"/>
        </w:rPr>
        <w:t>Вилючинском</w:t>
      </w:r>
      <w:r>
        <w:rPr>
          <w:rFonts w:ascii="Times New Roman" w:hAnsi="Times New Roman"/>
          <w:sz w:val="28"/>
        </w:rPr>
        <w:t xml:space="preserve"> городском округе (9,3 процента), районах: </w:t>
      </w:r>
      <w:r>
        <w:rPr>
          <w:rFonts w:ascii="Times New Roman" w:hAnsi="Times New Roman"/>
          <w:sz w:val="28"/>
        </w:rPr>
        <w:t>Олюторском</w:t>
      </w:r>
      <w:r>
        <w:rPr>
          <w:rFonts w:ascii="Times New Roman" w:hAnsi="Times New Roman"/>
          <w:sz w:val="28"/>
        </w:rPr>
        <w:t xml:space="preserve"> (9,3 процента), </w:t>
      </w:r>
      <w:r>
        <w:rPr>
          <w:rFonts w:ascii="Times New Roman" w:hAnsi="Times New Roman"/>
          <w:sz w:val="28"/>
        </w:rPr>
        <w:t>Пенжинском</w:t>
      </w:r>
      <w:r>
        <w:rPr>
          <w:rFonts w:ascii="Times New Roman" w:hAnsi="Times New Roman"/>
          <w:sz w:val="28"/>
        </w:rPr>
        <w:t xml:space="preserve"> (14,7 процента), округах: </w:t>
      </w:r>
      <w:r>
        <w:rPr>
          <w:rFonts w:ascii="Times New Roman" w:hAnsi="Times New Roman"/>
          <w:sz w:val="28"/>
        </w:rPr>
        <w:t>Быстринском</w:t>
      </w:r>
      <w:r>
        <w:rPr>
          <w:rFonts w:ascii="Times New Roman" w:hAnsi="Times New Roman"/>
          <w:sz w:val="28"/>
        </w:rPr>
        <w:t xml:space="preserve"> (13,4 процента). Для сравнения в 2024 году родилось 2745 детей, в 2023 – 2945 детей, в 2022 – 2966 детей, в 2021 – 3079 детей. </w:t>
      </w:r>
    </w:p>
    <w:p w14:paraId="5D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 Абсолютное количество умерших в 2025 году увеличилось на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63 человека. Показатель смертности по сравнению с 2024 годом вырос на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1,5 процента, составив 13,2 процента против 13,</w:t>
      </w:r>
      <w:r>
        <w:rPr>
          <w:rFonts w:ascii="Times New Roman" w:hAnsi="Times New Roman"/>
          <w:sz w:val="28"/>
        </w:rPr>
        <w:t xml:space="preserve">0 процента 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2024 году, что на 34,7 процента выше целевого значения на 2024 год (9,8 процентов). Данные по Российской Федерации и </w:t>
      </w:r>
      <w:r>
        <w:rPr>
          <w:rFonts w:ascii="Times New Roman" w:hAnsi="Times New Roman"/>
          <w:sz w:val="28"/>
        </w:rPr>
        <w:t>ДФО</w:t>
      </w:r>
      <w:r>
        <w:rPr>
          <w:rFonts w:ascii="Times New Roman" w:hAnsi="Times New Roman"/>
          <w:sz w:val="28"/>
        </w:rPr>
        <w:t xml:space="preserve"> отсутствуют. За 2025 год в крае умерло 3811 человек.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Смертность ниже, чем в среднем по краю, отмечается в Петропавловск-Камчатском городском округе (12,2 процента), </w:t>
      </w:r>
      <w:r>
        <w:rPr>
          <w:rFonts w:ascii="Times New Roman" w:hAnsi="Times New Roman"/>
          <w:sz w:val="28"/>
        </w:rPr>
        <w:t>Вилючинском</w:t>
      </w:r>
      <w:r>
        <w:rPr>
          <w:rFonts w:ascii="Times New Roman" w:hAnsi="Times New Roman"/>
          <w:sz w:val="28"/>
        </w:rPr>
        <w:t xml:space="preserve"> городском округе  (7,7 процентов) и Алеутском округе (11,5 процентов). Для сравнения: в 2024 году умерло 3748 человек, в 2023 году – 3415 человек, в 2022 году – 3847 человек, в 2021 году – 4471 человек.</w:t>
      </w:r>
    </w:p>
    <w:p w14:paraId="5E000000">
      <w:pPr>
        <w:pStyle w:val="Style_2"/>
        <w:spacing w:after="160" w:before="0" w:line="240" w:lineRule="auto"/>
        <w:ind w:firstLine="709" w:left="0" w:right="0"/>
        <w:contextualSpacing w:val="1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 xml:space="preserve">13. Ожидаемая продолжительность жизни при рождении в Камчатском крае по прогнозу на 2024 год составила 69,59 года (мужчины – 64,33 года, женщины – 75,6 года).  </w:t>
      </w:r>
    </w:p>
    <w:p w14:paraId="5F000000">
      <w:pPr>
        <w:pStyle w:val="Style_2"/>
        <w:spacing w:after="16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14. Положительная тен</w:t>
      </w:r>
      <w:r>
        <w:rPr>
          <w:rFonts w:ascii="Times New Roman" w:hAnsi="Times New Roman"/>
          <w:b w:val="0"/>
          <w:sz w:val="28"/>
        </w:rPr>
        <w:t>денция естественного прироста населения отмечалась в Камчатском крае в течение 7 лет, с 2011 по 2017 год. Естественный прирост населения края оставался положительным в течение пяти лет, но с 2018 года стал отрицательным и в 2025 году составил – 4,1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b w:val="0"/>
          <w:sz w:val="28"/>
        </w:rPr>
        <w:t>на 1000 населения, что хуже показателя по ДВФО (-3,8 процентов) и на уровне РФ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b w:val="0"/>
          <w:sz w:val="28"/>
        </w:rPr>
        <w:t>(-4,1 процент).</w:t>
      </w:r>
    </w:p>
    <w:p w14:paraId="60000000">
      <w:pPr>
        <w:pStyle w:val="Style_2"/>
        <w:spacing w:after="16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</w:p>
    <w:p w14:paraId="61000000">
      <w:pPr>
        <w:pStyle w:val="Style_2"/>
        <w:spacing w:after="16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Демографические показатели Камчатского края:</w:t>
      </w:r>
    </w:p>
    <w:tbl>
      <w:tblPr>
        <w:tblStyle w:val="Style_3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29"/>
        <w:gridCol w:w="2606"/>
        <w:gridCol w:w="1225"/>
        <w:gridCol w:w="1238"/>
        <w:gridCol w:w="1240"/>
        <w:gridCol w:w="1080"/>
        <w:gridCol w:w="1237"/>
      </w:tblGrid>
      <w:tr>
        <w:trPr>
          <w:trHeight w:hRule="atLeast" w:val="883"/>
        </w:trPr>
        <w:tc>
          <w:tcPr>
            <w:tcW w:type="dxa" w:w="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type="dxa" w:w="12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2021 </w:t>
            </w:r>
          </w:p>
          <w:p w14:paraId="6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type="dxa" w:w="12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</w:t>
            </w:r>
          </w:p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type="dxa" w:w="12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2023 </w:t>
            </w:r>
          </w:p>
          <w:p w14:paraId="6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type="dxa" w:w="10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</w:t>
            </w:r>
          </w:p>
          <w:p w14:paraId="6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type="dxa" w:w="12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2025*</w:t>
            </w:r>
          </w:p>
          <w:p w14:paraId="6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год</w:t>
            </w:r>
          </w:p>
        </w:tc>
      </w:tr>
      <w:tr>
        <w:trPr>
          <w:trHeight w:hRule="atLeast" w:val="200"/>
        </w:trPr>
        <w:tc>
          <w:tcPr>
            <w:tcW w:type="dxa" w:w="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2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2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00000">
            <w:pPr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2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0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2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527"/>
        </w:trPr>
        <w:tc>
          <w:tcPr>
            <w:tcW w:type="dxa" w:w="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Рождаемость (на 1000 чел. населения)</w:t>
            </w:r>
          </w:p>
        </w:tc>
        <w:tc>
          <w:tcPr>
            <w:tcW w:type="dxa" w:w="12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9,9</w:t>
            </w:r>
          </w:p>
        </w:tc>
        <w:tc>
          <w:tcPr>
            <w:tcW w:type="dxa" w:w="12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00000">
            <w:pPr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10,2</w:t>
            </w:r>
          </w:p>
        </w:tc>
        <w:tc>
          <w:tcPr>
            <w:tcW w:type="dxa" w:w="12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10,2</w:t>
            </w:r>
          </w:p>
        </w:tc>
        <w:tc>
          <w:tcPr>
            <w:tcW w:type="dxa" w:w="10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9,5</w:t>
            </w:r>
          </w:p>
        </w:tc>
        <w:tc>
          <w:tcPr>
            <w:tcW w:type="dxa" w:w="12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9,2</w:t>
            </w:r>
          </w:p>
        </w:tc>
      </w:tr>
      <w:tr>
        <w:trPr>
          <w:trHeight w:hRule="atLeast" w:val="677"/>
        </w:trPr>
        <w:tc>
          <w:tcPr>
            <w:tcW w:type="dxa" w:w="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2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Смертность (на 1000 чел. населения)</w:t>
            </w:r>
          </w:p>
        </w:tc>
        <w:tc>
          <w:tcPr>
            <w:tcW w:type="dxa" w:w="12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14,3</w:t>
            </w:r>
          </w:p>
        </w:tc>
        <w:tc>
          <w:tcPr>
            <w:tcW w:type="dxa" w:w="12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13,2</w:t>
            </w:r>
          </w:p>
        </w:tc>
        <w:tc>
          <w:tcPr>
            <w:tcW w:type="dxa" w:w="12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11,8</w:t>
            </w:r>
          </w:p>
        </w:tc>
        <w:tc>
          <w:tcPr>
            <w:tcW w:type="dxa" w:w="10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13,0</w:t>
            </w:r>
          </w:p>
        </w:tc>
        <w:tc>
          <w:tcPr>
            <w:tcW w:type="dxa" w:w="12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13,4</w:t>
            </w:r>
          </w:p>
        </w:tc>
      </w:tr>
      <w:tr>
        <w:trPr>
          <w:trHeight w:hRule="atLeast" w:val="677"/>
        </w:trPr>
        <w:tc>
          <w:tcPr>
            <w:tcW w:type="dxa" w:w="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2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Ожидаемая продолжительность предстоящей жизни при рождении, лет</w:t>
            </w:r>
          </w:p>
        </w:tc>
        <w:tc>
          <w:tcPr>
            <w:tcW w:type="dxa" w:w="12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67,81</w:t>
            </w:r>
          </w:p>
        </w:tc>
        <w:tc>
          <w:tcPr>
            <w:tcW w:type="dxa" w:w="12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00000">
            <w:pPr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68,77</w:t>
            </w:r>
          </w:p>
        </w:tc>
        <w:tc>
          <w:tcPr>
            <w:tcW w:type="dxa" w:w="12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68,77</w:t>
            </w:r>
          </w:p>
        </w:tc>
        <w:tc>
          <w:tcPr>
            <w:tcW w:type="dxa" w:w="10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69,59</w:t>
            </w:r>
          </w:p>
        </w:tc>
        <w:tc>
          <w:tcPr>
            <w:tcW w:type="dxa" w:w="12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71,68</w:t>
            </w:r>
          </w:p>
        </w:tc>
      </w:tr>
      <w:tr>
        <w:trPr>
          <w:trHeight w:hRule="atLeast" w:val="787"/>
        </w:trPr>
        <w:tc>
          <w:tcPr>
            <w:tcW w:type="dxa" w:w="7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260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Младенческая смертность  (на 1000 родившихся живыми)</w:t>
            </w:r>
          </w:p>
        </w:tc>
        <w:tc>
          <w:tcPr>
            <w:tcW w:type="dxa" w:w="12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4,8</w:t>
            </w:r>
          </w:p>
        </w:tc>
        <w:tc>
          <w:tcPr>
            <w:tcW w:type="dxa" w:w="12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00000">
            <w:pPr>
              <w:spacing w:after="0" w:line="240" w:lineRule="auto"/>
              <w:ind w:firstLine="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6,3</w:t>
            </w:r>
          </w:p>
        </w:tc>
        <w:tc>
          <w:tcPr>
            <w:tcW w:type="dxa" w:w="12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5,1</w:t>
            </w:r>
          </w:p>
        </w:tc>
        <w:tc>
          <w:tcPr>
            <w:tcW w:type="dxa" w:w="10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4,4</w:t>
            </w:r>
          </w:p>
        </w:tc>
        <w:tc>
          <w:tcPr>
            <w:tcW w:type="dxa" w:w="12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5,3</w:t>
            </w:r>
          </w:p>
        </w:tc>
      </w:tr>
    </w:tbl>
    <w:p w14:paraId="91000000">
      <w:pPr>
        <w:spacing w:after="0"/>
        <w:ind/>
        <w:contextualSpacing w:val="1"/>
        <w:jc w:val="both"/>
        <w:rPr>
          <w:rFonts w:ascii="Times New Roman" w:hAnsi="Times New Roman"/>
          <w:sz w:val="20"/>
        </w:rPr>
      </w:pPr>
    </w:p>
    <w:p w14:paraId="92000000">
      <w:pPr>
        <w:spacing w:after="0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представлена оперативная информация за 12 месяцев 2025 г.</w:t>
      </w:r>
    </w:p>
    <w:p w14:paraId="93000000">
      <w:pPr>
        <w:spacing w:after="0"/>
        <w:ind/>
        <w:contextualSpacing w:val="1"/>
        <w:jc w:val="both"/>
        <w:rPr>
          <w:rFonts w:ascii="Times New Roman" w:hAnsi="Times New Roman"/>
          <w:sz w:val="24"/>
        </w:rPr>
      </w:pPr>
    </w:p>
    <w:p w14:paraId="94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15. В структуре причин смертности на первом месте регистрируется смертность от болезней системы кровообращения, которая составляет 52,2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в структуре всех умерших. Показатель составил 689,8 на 100 тысяч человек, что на 26,4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выше целевого значения Дорожной карты Камчатского края на 2024 год (545,6).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Показатель смертности от болезней кровообращения в 2025 году выше на 2,2 процента показателя 2024 года (675,0)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на 14,6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выше показателя 2020 года (601,9 на 100 тыс. населения).</w:t>
      </w:r>
    </w:p>
    <w:p w14:paraId="95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На втором месте – класс новообразований (11,9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color w:themeColor="text1" w:val="000000"/>
          <w:sz w:val="28"/>
        </w:rPr>
        <w:t>)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 xml:space="preserve">показатель смертности в котором ниже по сравнению с 2024 годом на 9,4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и ниже целевого показателя на 2025 год на 6,4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. </w:t>
      </w:r>
    </w:p>
    <w:p w14:paraId="96000000">
      <w:pPr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третьем месте среди всех причин – смертность от внешних причин (7,0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в структуре – без травм, связанных с военными действиями). В 2025 году показатель составил 82,6 на 100 тыс. населения, что ниже по сравнению с предыдущим годом на 19,2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 xml:space="preserve"> ниже по отношению к 2020 году на 16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>.</w:t>
      </w:r>
    </w:p>
    <w:p w14:paraId="97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Среди злокачественных новообразований преобладают новообразования органов пищеварения – </w:t>
      </w:r>
      <w:r>
        <w:rPr>
          <w:rFonts w:ascii="Times New Roman" w:hAnsi="Times New Roman"/>
          <w:sz w:val="28"/>
        </w:rPr>
        <w:t xml:space="preserve">в среднем до 38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 xml:space="preserve"> и новообразования органов дыхания – свыше 18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 xml:space="preserve">. </w:t>
      </w:r>
    </w:p>
    <w:p w14:paraId="98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Смертность от злокачественных новообразований в 2025 году составила 149,9 на 100 тысяч населения (показатели по РФ и ДФО не публикуются).</w:t>
      </w:r>
    </w:p>
    <w:p w14:paraId="99000000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динамике за последние пять лет (с 2021 по 2025</w:t>
      </w:r>
      <w:r>
        <w:rPr>
          <w:rFonts w:ascii="Times New Roman" w:hAnsi="Times New Roman"/>
          <w:sz w:val="28"/>
        </w:rPr>
        <w:t xml:space="preserve"> год) в Камчатском крае показатель смертности от злокачественных новообразований остается стабильным с незначительными колебаниями в ту или иную сторону – 152,2 на 100 тыс. населения в 2021 году, 149,9 в 2025 году. </w:t>
      </w:r>
    </w:p>
    <w:p w14:paraId="9A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Показатель младенческой смертности в 2025 году составил 5,3 на 1000 родившихся живыми, что на 20,4 процента выше, чем за 2024 год, и также </w:t>
      </w:r>
      <w:r>
        <w:rPr>
          <w:rFonts w:ascii="Times New Roman" w:hAnsi="Times New Roman"/>
          <w:sz w:val="28"/>
        </w:rPr>
        <w:t>выше запланированного</w:t>
      </w:r>
      <w:r>
        <w:rPr>
          <w:rFonts w:ascii="Times New Roman" w:hAnsi="Times New Roman"/>
          <w:sz w:val="28"/>
        </w:rPr>
        <w:t xml:space="preserve"> на 2025 год показателя в «Дорожной карте»  (4,4 процента). Данные за 2025 год </w:t>
      </w:r>
      <w:r>
        <w:rPr>
          <w:rFonts w:ascii="Times New Roman" w:hAnsi="Times New Roman"/>
          <w:sz w:val="28"/>
        </w:rPr>
        <w:t>по Российской</w:t>
      </w:r>
      <w:r>
        <w:rPr>
          <w:rFonts w:ascii="Times New Roman" w:hAnsi="Times New Roman"/>
          <w:sz w:val="28"/>
        </w:rPr>
        <w:t xml:space="preserve"> Федерации и ДФО отсутствуют. Количество родившихся живыми год от года снижается, что значительно влияет на расчет показателей младенческой и материнской смертности. </w:t>
      </w:r>
    </w:p>
    <w:p w14:paraId="9B00000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2025 год в крае родилось 2 </w:t>
      </w:r>
      <w:r>
        <w:rPr>
          <w:rFonts w:ascii="Times New Roman" w:hAnsi="Times New Roman"/>
          <w:sz w:val="28"/>
        </w:rPr>
        <w:t xml:space="preserve">643 ребенка, что на 102 ребенка меньше предыдущего года (2024 – 2 </w:t>
      </w:r>
      <w:r>
        <w:rPr>
          <w:rFonts w:ascii="Times New Roman" w:hAnsi="Times New Roman"/>
          <w:sz w:val="28"/>
        </w:rPr>
        <w:t xml:space="preserve">745 детей, 2023 – 2 </w:t>
      </w:r>
      <w:r>
        <w:rPr>
          <w:rFonts w:ascii="Times New Roman" w:hAnsi="Times New Roman"/>
          <w:sz w:val="28"/>
        </w:rPr>
        <w:t xml:space="preserve">945 детей, 2022 – 2 </w:t>
      </w:r>
      <w:r>
        <w:rPr>
          <w:rFonts w:ascii="Times New Roman" w:hAnsi="Times New Roman"/>
          <w:sz w:val="28"/>
        </w:rPr>
        <w:t xml:space="preserve">966, 2021 – 3 </w:t>
      </w:r>
      <w:r>
        <w:rPr>
          <w:rFonts w:ascii="Times New Roman" w:hAnsi="Times New Roman"/>
          <w:sz w:val="28"/>
        </w:rPr>
        <w:t xml:space="preserve">079 детей). </w:t>
      </w:r>
    </w:p>
    <w:p w14:paraId="9C00000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Количество умерших детей в возрасте до 1 года за 2025 год – 14 человек (2024 – 12, 2023 – 15, 2022 – 19). Из 14 детей умерли в неонатальный период 9 детей, в постнатальный период  – 5 детей.</w:t>
      </w:r>
      <w:r>
        <w:rPr>
          <w:rFonts w:ascii="Times New Roman" w:hAnsi="Times New Roman"/>
          <w:color w:val="FF0000"/>
          <w:sz w:val="28"/>
        </w:rPr>
        <w:t xml:space="preserve"> </w:t>
      </w:r>
    </w:p>
    <w:p w14:paraId="9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Относительно стабильным на протяжении ряда лет в Камчатском крае является показатель материнской смертности – 0-1 случай. В 2021, 2023, 2024 годах случаев материнской смертности не было. В 2019, 2020, 2022, 2025 годах в крае было зарегистрировано по 1 случаю материнской смертности. Показатель составил в 2019 году – 30,3, в 2020 году – 30,7, в 2022 году – 33,6, в 2025 году – 37,8 на 100 тыс. родившихся живыми. </w:t>
      </w:r>
    </w:p>
    <w:p w14:paraId="9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Всего в Камчатском крае 45 медицинских организаций, подведомственных Минздраву Камчатского края, из них медицинскую помощь населению края оказывают 43 учреждения государственной системы здравоохранения Камчатского края (23 больницы, 10 амбулаторно-поликлинических учреждений, 2 станции скорой медицинской помощи,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1 станция переливания крови, 1 центр медицины катастроф, 5 диспансеров (со стационарами), 1 бюро СМЭ) и в том числе 61 структурное подразделение (32 фельдшерско-акушерских и фельдшерских пункта, 3 здравпункта, 10 отделений врача общей практики, 12 врачебных амбулаторий, 4 филиала). </w:t>
      </w:r>
    </w:p>
    <w:p w14:paraId="9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Амбулаторно-поликлиническая помощь населению оказывается в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36 медицинских организациях и 58 структурном подразделении. Из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36 медицинских организаций – восемь самостоятельных поликлиник, в остальных 28-ми учреждениях амбулаторно-поликлинические отделения находятся в составе стационарных учреждений. В настоящее время в шестнадцати населенных пунктах отсутствуют любые медицинские организации (ФАПы, ФП или ОВОПы). Из них в девяти (п. Дальний, с.Малка, с. Пиначево – Елизовского муниципального округа, п. Таежный, </w:t>
      </w:r>
    </w:p>
    <w:p w14:paraId="A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с. Пущино – Мильковского муниципального округа, п. Ичинский Соболевского муниципального округа, с. Карымай и п. Шумный – Усть-Большерецкого муниципального округа, с. Парень – Пенжинского муниципального района – организованы домовые хозяйства, в остальных населенных пунктах транспортная доступность составляет менее 6 км.</w:t>
      </w:r>
    </w:p>
    <w:p w14:paraId="A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17. В настоящее время модель организации медицинской помощи в Камчатском крае представляет собой двух- и трехуровневую систему, включающую медицинские организации краевого, межтерриториального, муниципального уровней.</w:t>
      </w:r>
    </w:p>
    <w:p w14:paraId="A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учетом транспортной доступности трехуровневая система в крае организована на уровне специализированной медицинской помощи по профилям:</w:t>
      </w:r>
    </w:p>
    <w:p w14:paraId="A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больным с сосудистыми заболеваниями (для трех муниципальных образований):</w:t>
      </w:r>
    </w:p>
    <w:p w14:paraId="A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уровень: учреждения здравоохранения, оказывающие первичную медико-санитарную помощь;</w:t>
      </w:r>
    </w:p>
    <w:p w14:paraId="A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второй уровень: ГБУЗ «Камчатский краевой кардиологический диспансер» (г. Петропавловск-Камчатский) для плановых больных, в том числе, направленных из отдаленных районов края; кардиологическое отделение  ГБУЗ КК «Петропавловск-Камчатская городская больница № 1»;</w:t>
      </w:r>
    </w:p>
    <w:p w14:paraId="A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третий уровень: региональный сосудистый центр на базе ГБУЗ «Камчатская краевая больница им. А.С. Лукашевского»;</w:t>
      </w:r>
    </w:p>
    <w:p w14:paraId="A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больным с травматическими повреждениями:</w:t>
      </w:r>
    </w:p>
    <w:p w14:paraId="A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уровень: учреждения здравоохранения, оказывающие первичную медико-санитарную помощь;</w:t>
      </w:r>
    </w:p>
    <w:p w14:paraId="A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второй уровень: межмуниципальный травматологический центр в ГБУЗ КК «Елизовская районная больница» (для Вилючинского городского округа, Усть-Большерецкого, Быстринского, Усть-Камчатского округа); травматологическое отделение ГБУЗ КК «Петропавловск-Камчатская городская больница № 2»;</w:t>
      </w:r>
    </w:p>
    <w:p w14:paraId="A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третий уровень: травматологическое и нейрохирургическое отделения ГБУЗ «Камчатская краевая больница им. А.С. Лукашевского». Транспортировка из отдаленных районов осуществляется путем санавиации с выездом реанимационно-травматологической (нейрохирургической) бригады.</w:t>
      </w:r>
    </w:p>
    <w:p w14:paraId="A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больным акушерско-гинекологического профиля:</w:t>
      </w:r>
    </w:p>
    <w:p w14:paraId="A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уровень: учреждения здравоохранения, оказывающие первичную медико-санитарную помощь;</w:t>
      </w:r>
    </w:p>
    <w:p w14:paraId="A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второй уровень: ГБУЗ КК«Олюторская районная больница» для жителей Пенжинского и Олюторского районов; </w:t>
      </w:r>
    </w:p>
    <w:p w14:paraId="A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ГБУЗ КК «Мильковская районная больница» для жителей Быстринского и Мильковского районов; </w:t>
      </w:r>
    </w:p>
    <w:p w14:paraId="A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ГБУЗ «Камчатский краевой родильный дом»; ГБУЗ КК «Елизовская районная больница»;</w:t>
      </w:r>
    </w:p>
    <w:p w14:paraId="B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третий уровень: ГБУЗ КК «Петропавловск-Камчатская городская больница № 2»; </w:t>
      </w:r>
    </w:p>
    <w:p w14:paraId="B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ГБУЗ «Камчатская краевая больница им. А.С. Лукашевского»;</w:t>
      </w:r>
    </w:p>
    <w:p w14:paraId="B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больным фтизиатрического профиля:</w:t>
      </w:r>
    </w:p>
    <w:p w14:paraId="B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уровень: учреждения здравоохранения, оказывающие первичную медико-санитарную помощь;</w:t>
      </w:r>
    </w:p>
    <w:p w14:paraId="B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второй уровень: филиалы ГБУЗ «Камчатский краевой противотуберкулезный диспансер» в п. Палана, с. Тиличики, с. Оссора; </w:t>
      </w:r>
    </w:p>
    <w:p w14:paraId="B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ГБУЗ «Камчатский краевой противотуберкулезный диспансер» в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г. Петропавловске-Камчатском для жителей остальных районов Камчатского края;</w:t>
      </w:r>
    </w:p>
    <w:p w14:paraId="B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третий уровень: ГБУЗ «Камчатский краевой противотуберкулезный диспансер» в г. Петропавловск-Камчатском.</w:t>
      </w:r>
    </w:p>
    <w:p w14:paraId="B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остальным профилям больные переводятся с первого на третий уровень, в том числе, при оказании скорой специализированной санитарно-авиационной медицинской помощи.</w:t>
      </w:r>
    </w:p>
    <w:p w14:paraId="B8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18. По состоянию на 31.12.2025 в крае функционируют 45 учреждений государственной системы здравоохранения. Учреждения здравоохранения Камчатского края расположены в 294 зданиях и помещениях (условно зданиях) на площади 271 068,7 кв. метров, из них 57 – 436,3 кв. метров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(21,2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 находятся в аварийном состоянии, или требуют сноса, реконструкции и капитального ремонта. </w:t>
      </w:r>
    </w:p>
    <w:p w14:paraId="B9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 294 зданий и помещений: 12 (4,1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 находятся в аварийном состоянии и требуют сноса, 4 (1,4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 требуют реконструкции, 36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(12,2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 требуют капитального ремонта, 22 (7,5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 находятся в арендованных помещениях, 96 (32,6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>) находятся в приспособленных помещениях. Износ зданий составляет в среднем от 49</w:t>
      </w:r>
      <w:r>
        <w:rPr>
          <w:rFonts w:ascii="Times New Roman" w:hAnsi="Times New Roman"/>
          <w:sz w:val="28"/>
        </w:rPr>
        <w:t xml:space="preserve"> до 55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>.</w:t>
      </w:r>
    </w:p>
    <w:p w14:paraId="BA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труднодоступных районах Камчатского края расположены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20 медицинских организаций, которые размещены в 175 зданиях, условно зданиях (помещениях), сооружениях, из которых типовой постройки – 110 зданий и сооружений, приспособленных – 65: </w:t>
      </w:r>
    </w:p>
    <w:p w14:paraId="BB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амбулаторно-поликлиническое учреждение – 1;</w:t>
      </w:r>
    </w:p>
    <w:p w14:paraId="BC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станция скорой медицинской помощи – 1;</w:t>
      </w:r>
    </w:p>
    <w:p w14:paraId="BD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больничных учреждений – 18.</w:t>
      </w:r>
    </w:p>
    <w:p w14:paraId="BE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 общего количества зданий и сооружений учреждений, расположенных в труднодоступных районах Камчатского края, существует потребность в проведении капитальных ремонтов на 60 объектах здравоохранения (или 34,3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), реконструкции – 9 объектов (или 5,1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). </w:t>
      </w:r>
    </w:p>
    <w:p w14:paraId="BF000000">
      <w:pPr>
        <w:spacing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Доля аварийного фонда составляет 1,1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 объекта в двух учреждениях). </w:t>
      </w:r>
    </w:p>
    <w:p w14:paraId="C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19. В 45 учреждениях здравоохранения Камчатского края (из них 12 расположены в сельской местности) работает 8326 работников, в том числе специалисты с высшим немедицинским образованием, занимающие должности врачей, специалисты без медицинского образования, занимающие должности среднего медицинского персонала, – 217 человек (включая медицинских регистраторов и медицинских дезинфекторов), что выше уровня 2024 года на 180 человек и выше 2023 года на 207 человек (2024 год – 8146 человек, 2023 год – 8119 человек).</w:t>
      </w:r>
    </w:p>
    <w:p w14:paraId="C1000000">
      <w:pPr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20. Количество врачей в 2025 году увеличилось на 67 человек и насчитывает 1386 </w:t>
      </w:r>
      <w:r>
        <w:rPr>
          <w:rFonts w:ascii="Times New Roman" w:hAnsi="Times New Roman"/>
          <w:sz w:val="28"/>
        </w:rPr>
        <w:t>человек (</w:t>
      </w:r>
      <w:r>
        <w:rPr>
          <w:rFonts w:ascii="Times New Roman" w:hAnsi="Times New Roman"/>
          <w:sz w:val="28"/>
        </w:rPr>
        <w:t>2024 год – 1319 человек, 2023 год – 1282 человека, 2022 год – 1252 человека).</w:t>
      </w:r>
    </w:p>
    <w:p w14:paraId="C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Число средних медицинских работников составило 3240 человек (2024 год – 3234 человека, 2023 год – 3191 человек, 2022 год – 3172 человека). В численность среднего медицинского персонала включены медицинские регистраторы и дезинфекторы, не имеющие медицинского образования. </w:t>
      </w:r>
    </w:p>
    <w:p w14:paraId="C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Обеспеченность врачами в 2025 году составила 48,1 на 10 тысяч населения (2024 год – 45,7, 2023 год – 44,4, 2022 год – 43,4), что выше общероссийского показателя на 25,9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(38,2) и выше на 17,6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по ДВФО (40,9). </w:t>
      </w:r>
    </w:p>
    <w:p w14:paraId="C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Выраженный дефицит отмечается по специальностям: акушерство – гинекология, анестезиология-реаниматология, лабораторная клиническая диагностика, неврология, педиатрия, терапия, скорая медицинская помощь.</w:t>
      </w:r>
    </w:p>
    <w:p w14:paraId="C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Показатель обеспеченности средними медицинскими работниками в отчетном году составил 104,9 (2024 – 102,9, 2023 – 101,4, 2022 – 100,8) на 10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тысяч населения, что выше общероссийского (80,5) на 30,3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и по ДВФО (87,2) – на 20,3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</w:rPr>
        <w:t xml:space="preserve"> </w:t>
      </w:r>
    </w:p>
    <w:p w14:paraId="C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Общая укомплектованность физическими лицами составила 68,1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год – 68,0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год – 66,4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год – 65,6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), из них врачей – 55,5 процента (2024 год – 54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год – 52,2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год – 49,4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 и средних медицинских работников, имеющих медицинское образование, – 68,8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год – 68,5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год – 66,5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год – 64,5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). Коэффициент совместительства в 2025 году составил 1,1 (2024 год – 1,15, 2023 – 1,2, 2022 год – 1,1), в том числе по врачам и среднему медперсоналу, соответственно 1,3 (2024 год – 1,3, 2023 год – 1,4, 2022 год – 1,3) и 1,1 (2024 год – 1,1, 2023 год – 1,2, 2022 – 1,1). </w:t>
      </w:r>
    </w:p>
    <w:p w14:paraId="C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Соотношение врачей и среднего медицинского персонала в 2025 году составило 1/2,34, в 2023 и 2022 году, соответственно, – 1/2,4 (2,5) (с учетом медицинских регистраторов).</w:t>
      </w:r>
    </w:p>
    <w:p w14:paraId="C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Лица старше 60 лет среди врачей составляют 21,65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год – 21,2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год – 21,5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21,3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), среди средних медицинских работников – 13,6 процентов (2024 год – 13,8 процентов, 2023 год – 13,4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год – 14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>).</w:t>
      </w:r>
    </w:p>
    <w:p w14:paraId="C9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21. В учреждениях здравоохранения Камчатского края, расположенных в сельской местности, работает 1201 работник, что ниже уровня 2024 года на 49 </w:t>
      </w:r>
      <w:r>
        <w:rPr>
          <w:rFonts w:ascii="Times New Roman" w:hAnsi="Times New Roman"/>
          <w:sz w:val="28"/>
        </w:rPr>
        <w:t>человек и</w:t>
      </w:r>
      <w:r>
        <w:rPr>
          <w:rFonts w:ascii="Times New Roman" w:hAnsi="Times New Roman"/>
          <w:sz w:val="28"/>
        </w:rPr>
        <w:t xml:space="preserve"> ниже 2023 года на 45 человек. Количество врачей в 2025 году уменьшилось на 3 человека и составило 195 человек (2024 год – 198 человек, 2023 год – 193 человека, 2022 – 196 человек).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Число средних медицинских работников (с учетом медицинских регистраторов, не имеющих медицинского образования) также уменьшилось на 19 человек и составило 435 человек (2024 год – 454 человека, 2023 – 448 человек, 2022 – 448 человек). </w:t>
      </w:r>
    </w:p>
    <w:p w14:paraId="CA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22. Обеспеченность </w:t>
      </w:r>
      <w:r>
        <w:rPr>
          <w:rFonts w:ascii="Times New Roman" w:hAnsi="Times New Roman"/>
          <w:sz w:val="28"/>
        </w:rPr>
        <w:t xml:space="preserve">врачами, работающими в сельской местности, в 2025 году составила 31,3 на 10 тысяч населения (2024 год – 31,6, 2023 год – 30,5, 2022 год – 29,7), что значительно выше общероссийского показателя (13,7) и выше показателя по ДВФО в 2 раза (16,2). Показатель обеспеченности средними медицинскими работниками составил 67,2 (2024 год – 68,8, </w:t>
      </w:r>
      <w:r>
        <w:rPr>
          <w:rFonts w:ascii="Times New Roman" w:hAnsi="Times New Roman"/>
          <w:sz w:val="28"/>
        </w:rPr>
        <w:t xml:space="preserve">2023 год – 66,6, 2022 год – 70,7) на 10 тысяч населения, что выше общероссийского (47,8) и выше показателя по ДВФО (57,7) на 19 </w:t>
      </w:r>
      <w:r>
        <w:rPr>
          <w:rFonts w:ascii="Times New Roman" w:hAnsi="Times New Roman"/>
          <w:sz w:val="28"/>
        </w:rPr>
        <w:t>процентов.</w:t>
      </w:r>
      <w:r>
        <w:rPr>
          <w:rFonts w:ascii="Times New Roman" w:hAnsi="Times New Roman"/>
        </w:rPr>
        <w:t xml:space="preserve"> </w:t>
      </w:r>
    </w:p>
    <w:p w14:paraId="C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23. Общая укомплектованность физическими лицами составила 75,8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C00000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2024 – 79,1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– 79,1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73,6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), из них врачей – 69,9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– 74,7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– 76,2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65,0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 и средних медицинских работников – 72,2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– 76,3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– 76,9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64,9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>).</w:t>
      </w:r>
      <w:r>
        <w:rPr>
          <w:rFonts w:ascii="Times New Roman" w:hAnsi="Times New Roman"/>
          <w:sz w:val="28"/>
        </w:rPr>
        <w:t xml:space="preserve"> Коэффициент </w:t>
      </w:r>
      <w:r>
        <w:rPr>
          <w:rFonts w:ascii="Times New Roman" w:hAnsi="Times New Roman"/>
          <w:sz w:val="28"/>
        </w:rPr>
        <w:t>совместительства в 2025 году составил 1,22, в том числе по врачам – 1,38, по среднему медперсоналу – 1,24 (в 2024 году – 1,26, в том числе по врачам и среднему медперсоналу – 1,45 и 1,31 соответственно).</w:t>
      </w:r>
    </w:p>
    <w:p w14:paraId="C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24. Из числа врачей, работающих в сельской местности, имеют сертификаты специалиста 12,3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прошли аккредитацию 86,7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(сертификаты специалиста - 2024 год – 56,6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год – 86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год – 94,4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), квалификационные категории – 12,3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– 11,6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– 15,5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15,3 процента), в том числе, высшую – 7,7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– 7,1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– 8,3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5,6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>), первую</w:t>
      </w:r>
      <w:r>
        <w:rPr>
          <w:rFonts w:ascii="Times New Roman" w:hAnsi="Times New Roman"/>
          <w:sz w:val="28"/>
        </w:rPr>
        <w:t xml:space="preserve"> – 4,6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(2024 – 4,5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2023 – 6,7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9,2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), вторую – 0 (2023 – 0,5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2022 – 0,5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>).</w:t>
      </w:r>
    </w:p>
    <w:p w14:paraId="CD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</w:p>
    <w:p w14:paraId="CE000000">
      <w:pPr>
        <w:pStyle w:val="Style_2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2.3. Развитие информатизации в здравоохранении</w:t>
      </w:r>
    </w:p>
    <w:p w14:paraId="CF000000">
      <w:pPr>
        <w:pStyle w:val="Style_2"/>
        <w:spacing w:after="0" w:before="0" w:line="240" w:lineRule="auto"/>
        <w:ind w:firstLine="851" w:left="-142" w:right="0"/>
        <w:jc w:val="both"/>
        <w:rPr>
          <w:rFonts w:ascii="Times New Roman" w:hAnsi="Times New Roman"/>
          <w:b w:val="1"/>
          <w:color w:val="000000"/>
          <w:sz w:val="28"/>
        </w:rPr>
      </w:pPr>
    </w:p>
    <w:p w14:paraId="D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25. На сегодняшний день медицинская отрасль в Камчатском крае достигла следующих результатов:</w:t>
      </w:r>
    </w:p>
    <w:p w14:paraId="D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м</w:t>
      </w:r>
      <w:r>
        <w:rPr>
          <w:rFonts w:ascii="Times New Roman" w:hAnsi="Times New Roman"/>
          <w:sz w:val="28"/>
        </w:rPr>
        <w:t xml:space="preserve">едицинские работники, участвующие в оказании медицинской помощи, обеспечены электронными подписями, необходимыми для оформления СЭМД – </w:t>
      </w:r>
      <w:r>
        <w:rPr>
          <w:rFonts w:ascii="Times New Roman" w:hAnsi="Times New Roman"/>
          <w:sz w:val="28"/>
        </w:rPr>
        <w:t xml:space="preserve">100 </w:t>
      </w:r>
      <w:r>
        <w:rPr>
          <w:rFonts w:ascii="Times New Roman" w:hAnsi="Times New Roman"/>
          <w:sz w:val="28"/>
        </w:rPr>
        <w:t>процентов;</w:t>
      </w:r>
    </w:p>
    <w:p w14:paraId="D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 в</w:t>
      </w:r>
      <w:r>
        <w:rPr>
          <w:rFonts w:ascii="Times New Roman" w:hAnsi="Times New Roman"/>
          <w:sz w:val="28"/>
        </w:rPr>
        <w:t>рачи,</w:t>
      </w:r>
      <w:r>
        <w:rPr>
          <w:rFonts w:ascii="Times New Roman" w:hAnsi="Times New Roman"/>
          <w:sz w:val="28"/>
        </w:rPr>
        <w:t xml:space="preserve"> оформляющие СЭМД, – </w:t>
      </w:r>
      <w:r>
        <w:rPr>
          <w:rFonts w:ascii="Times New Roman" w:hAnsi="Times New Roman"/>
          <w:sz w:val="28"/>
        </w:rPr>
        <w:t xml:space="preserve">80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>.</w:t>
      </w:r>
    </w:p>
    <w:p w14:paraId="D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закуплено и внедрено в РМИС 87 видов СЭМД, что составляет 100 процентов.</w:t>
      </w:r>
    </w:p>
    <w:p w14:paraId="D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 доля граждан, являющихся пользователями ЕПГУ, которым доступны электронные медицинские документы в Личном кабинете пациента «Мое здоровье» по факту оказания медицинской помощи составляет </w:t>
      </w:r>
      <w:r>
        <w:rPr>
          <w:rFonts w:ascii="Times New Roman" w:hAnsi="Times New Roman"/>
          <w:sz w:val="28"/>
        </w:rPr>
        <w:t xml:space="preserve">100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>;</w:t>
      </w:r>
    </w:p>
    <w:p w14:paraId="D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 </w:t>
      </w:r>
      <w:r>
        <w:rPr>
          <w:rFonts w:ascii="Times New Roman" w:hAnsi="Times New Roman"/>
          <w:sz w:val="28"/>
        </w:rPr>
        <w:t xml:space="preserve">медицинские организации, перешедшие на медицинский электронный документооборот, что позволило увеличить количество оформляемых СЭМД – </w:t>
      </w:r>
      <w:r>
        <w:rPr>
          <w:rFonts w:ascii="Times New Roman" w:hAnsi="Times New Roman"/>
          <w:sz w:val="28"/>
        </w:rPr>
        <w:t xml:space="preserve">97 </w:t>
      </w:r>
      <w:r>
        <w:rPr>
          <w:rFonts w:ascii="Times New Roman" w:hAnsi="Times New Roman"/>
          <w:sz w:val="28"/>
        </w:rPr>
        <w:t>процентов;</w:t>
      </w:r>
    </w:p>
    <w:p w14:paraId="D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 дистанционная запись на прием к врачу превалирует над посещением регистратуры – 71 </w:t>
      </w:r>
      <w:r>
        <w:rPr>
          <w:rFonts w:ascii="Times New Roman" w:hAnsi="Times New Roman"/>
          <w:sz w:val="28"/>
        </w:rPr>
        <w:t>процент</w:t>
      </w:r>
      <w:r>
        <w:rPr>
          <w:rFonts w:ascii="Times New Roman" w:hAnsi="Times New Roman"/>
          <w:sz w:val="28"/>
        </w:rPr>
        <w:t xml:space="preserve"> (по результатам 2025 года);</w:t>
      </w:r>
    </w:p>
    <w:p w14:paraId="D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 все станции и подстанции станции скорой медицинской помощи (далее - СМП) подключены к Централизованной подсистема «Управление скорой и неотложной медицинской помощью (включая управление </w:t>
      </w:r>
      <w:r>
        <w:rPr>
          <w:rFonts w:ascii="Times New Roman" w:hAnsi="Times New Roman"/>
          <w:sz w:val="28"/>
        </w:rPr>
        <w:t>санавиацией</w:t>
      </w:r>
      <w:r>
        <w:rPr>
          <w:rFonts w:ascii="Times New Roman" w:hAnsi="Times New Roman"/>
          <w:sz w:val="28"/>
        </w:rPr>
        <w:t>)», которые обеспечивают передачу СЭМД «Карта вызова скорой помощи» в подсистему РЭМД ЕГИСЗ. Осуществлена интеграция с ГИСЗ КК. Врачам и фельдшерам бригад скорой помощи предоставлен доступ к единой электронной медицинской карте, реализована возможность просмотра и заполнения электронной медицинской документации на планшетах во время вызовов, врачам поликлиник и городских больниц предоставлена возможность просмотра СЭМД «Карта вызова скорой помощи»;</w:t>
      </w:r>
    </w:p>
    <w:p w14:paraId="D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</w:t>
      </w:r>
      <w:r>
        <w:rPr>
          <w:rFonts w:ascii="Times New Roman" w:hAnsi="Times New Roman"/>
          <w:sz w:val="28"/>
        </w:rPr>
        <w:t> осуществлено подключение всех клинико-диагностических лабораторий медицинских организаций к централизованной лабораторной информационной системе, которые обеспечивают передачу СЭМД «Протокол лабораторного исследования» в подсистему РЭМД ЕГИСЗ;</w:t>
      </w:r>
    </w:p>
    <w:p w14:paraId="D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 все медицинские организации передают медицинские изображения в Центральный архив медицинских изображений, а также формируют</w:t>
      </w:r>
      <w:r>
        <w:t xml:space="preserve"> </w:t>
      </w:r>
      <w:r>
        <w:rPr>
          <w:rFonts w:ascii="Times New Roman" w:hAnsi="Times New Roman"/>
          <w:sz w:val="28"/>
        </w:rPr>
        <w:t>СЭМД «Протокол инструментальных исследований» в РЭМД ЕГИСЗ;</w:t>
      </w:r>
    </w:p>
    <w:p w14:paraId="D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10) </w:t>
      </w:r>
      <w:r>
        <w:rPr>
          <w:rFonts w:ascii="Times New Roman" w:hAnsi="Times New Roman"/>
          <w:sz w:val="28"/>
        </w:rPr>
        <w:t xml:space="preserve">медицинские организации, осуществляющие межведомственное электронное взаимодействие с </w:t>
      </w:r>
      <w:r>
        <w:rPr>
          <w:rFonts w:ascii="Times New Roman" w:hAnsi="Times New Roman"/>
          <w:sz w:val="28"/>
        </w:rPr>
        <w:t>Росгвардией</w:t>
      </w:r>
      <w:r>
        <w:rPr>
          <w:rFonts w:ascii="Times New Roman" w:hAnsi="Times New Roman"/>
          <w:sz w:val="28"/>
        </w:rPr>
        <w:t xml:space="preserve">, с целью обеспечить передачу сведений о прохождении медицинского освидетельствования на получение права ношения оружия и права заниматься частной детективной и охранной деятельностью – </w:t>
      </w:r>
      <w:r>
        <w:rPr>
          <w:rFonts w:ascii="Times New Roman" w:hAnsi="Times New Roman"/>
          <w:sz w:val="28"/>
        </w:rPr>
        <w:t xml:space="preserve">100 </w:t>
      </w:r>
      <w:r>
        <w:rPr>
          <w:rFonts w:ascii="Times New Roman" w:hAnsi="Times New Roman"/>
          <w:sz w:val="28"/>
        </w:rPr>
        <w:t>процентов;</w:t>
      </w:r>
    </w:p>
    <w:p w14:paraId="D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11) все медицинские организации подключены к централизованной подсистеме «Телемедицинские консультации». Достигнуто плановое значение показателя «100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медицинских организаций обеспечивают передачу СЭМД «Протокол телемедицинских консультаций»;</w:t>
      </w:r>
    </w:p>
    <w:p w14:paraId="D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</w:t>
      </w:r>
      <w:r>
        <w:rPr>
          <w:rFonts w:ascii="Times New Roman" w:hAnsi="Times New Roman"/>
          <w:sz w:val="28"/>
        </w:rPr>
        <w:t xml:space="preserve"> медицинские организации, обеспечивающие межведомственное электронное взаимодействие с бюро медико-социальной экспертизы, которые обеспечивают 100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 xml:space="preserve"> передачу СЭМД «Направление на медико-социальную экспертизу» в подсистему РЭМД ЕГИСЗ – </w:t>
      </w:r>
      <w:r>
        <w:rPr>
          <w:rFonts w:ascii="Times New Roman" w:hAnsi="Times New Roman"/>
          <w:sz w:val="28"/>
        </w:rPr>
        <w:t xml:space="preserve"> 100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>;</w:t>
      </w:r>
    </w:p>
    <w:p w14:paraId="D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13)</w:t>
      </w:r>
      <w:r>
        <w:rPr>
          <w:rFonts w:ascii="Times New Roman" w:hAnsi="Times New Roman"/>
          <w:sz w:val="28"/>
        </w:rPr>
        <w:t xml:space="preserve"> аптечные пункты медицинских организаций, участвующих в реализации программ льготного лекарственного обеспечения, обеспечивают передачу сведений об отпущенных рецептах на лекарственные препараты в РЭМД ЕГИСЗ – </w:t>
      </w:r>
      <w:r>
        <w:rPr>
          <w:rFonts w:ascii="Times New Roman" w:hAnsi="Times New Roman"/>
          <w:sz w:val="28"/>
        </w:rPr>
        <w:t xml:space="preserve">100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 xml:space="preserve">. </w:t>
      </w:r>
    </w:p>
    <w:p w14:paraId="D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14) доля медицинских организаций частной системы здравоохранения, оказывающих медицинскую помощь на территории Камчатского края, подключенных к ГИСЗ КК и предоставляющих сведения в подсистемы ЕГИСЗ составляет 22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(при плановых 20 </w:t>
      </w:r>
      <w:r>
        <w:rPr>
          <w:rFonts w:ascii="Times New Roman" w:hAnsi="Times New Roman"/>
          <w:sz w:val="28"/>
        </w:rPr>
        <w:t>процентов</w:t>
      </w:r>
      <w:r>
        <w:rPr>
          <w:rFonts w:ascii="Times New Roman" w:hAnsi="Times New Roman"/>
          <w:sz w:val="28"/>
        </w:rPr>
        <w:t>).</w:t>
      </w:r>
    </w:p>
    <w:p w14:paraId="DF000000">
      <w:pPr>
        <w:pStyle w:val="Style_2"/>
        <w:spacing w:after="0" w:before="0" w:line="240" w:lineRule="auto"/>
        <w:ind w:firstLine="851" w:left="-142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sz w:val="28"/>
        </w:rPr>
        <w:t>26. Главным результатом в области цифровой трансформация за 2025 год стало то, что цифровая трансформация медицинской отрасли в Камчатском крае достигла высокого уровня.</w:t>
      </w:r>
    </w:p>
    <w:p w14:paraId="E0000000">
      <w:pPr>
        <w:pStyle w:val="Style_2"/>
        <w:spacing w:after="0" w:before="0" w:line="240" w:lineRule="auto"/>
        <w:ind w:firstLine="709" w:left="0" w:right="0"/>
        <w:jc w:val="center"/>
        <w:rPr>
          <w:rFonts w:ascii="Times New Roman" w:hAnsi="Times New Roman"/>
          <w:sz w:val="28"/>
        </w:rPr>
      </w:pPr>
    </w:p>
    <w:p w14:paraId="E100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2.4. Сведения о службе скорой медицинской помощи Камчатского края</w:t>
      </w:r>
    </w:p>
    <w:p w14:paraId="E2000000">
      <w:pPr>
        <w:pStyle w:val="Style_2"/>
        <w:spacing w:after="0" w:before="0" w:line="240" w:lineRule="auto"/>
        <w:ind w:firstLine="2268" w:left="-1559" w:right="0"/>
        <w:jc w:val="both"/>
        <w:rPr>
          <w:rFonts w:ascii="Times New Roman" w:hAnsi="Times New Roman"/>
          <w:i w:val="0"/>
          <w:sz w:val="28"/>
        </w:rPr>
      </w:pPr>
    </w:p>
    <w:p w14:paraId="E3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27. Скорую медицинскую помощь населению Камчатского края оказывают две самостоятельные городские станции (г. Петропавловск – Камчатский и г. Елизово), </w:t>
      </w:r>
      <w:r>
        <w:rPr>
          <w:rFonts w:ascii="Times New Roman" w:hAnsi="Times New Roman"/>
          <w:color w:val="000000"/>
          <w:sz w:val="28"/>
        </w:rPr>
        <w:t>13</w:t>
      </w:r>
      <w:r>
        <w:rPr>
          <w:rFonts w:ascii="Times New Roman" w:hAnsi="Times New Roman"/>
          <w:color w:val="000000"/>
          <w:sz w:val="28"/>
        </w:rPr>
        <w:t xml:space="preserve"> отделений скорой медицинской помощи при городских и сельских учреждениях здравоохранения. </w:t>
      </w:r>
    </w:p>
    <w:p w14:paraId="E400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28. Количество бригад/смен скорой медиц</w:t>
      </w:r>
      <w:r>
        <w:rPr>
          <w:rFonts w:ascii="Times New Roman" w:hAnsi="Times New Roman"/>
          <w:color w:val="000000"/>
          <w:sz w:val="28"/>
        </w:rPr>
        <w:t xml:space="preserve">инской помощи в Камчатском крае (кроме </w:t>
      </w:r>
      <w:r>
        <w:rPr>
          <w:rFonts w:ascii="Times New Roman" w:hAnsi="Times New Roman"/>
          <w:color w:val="000000"/>
          <w:sz w:val="28"/>
        </w:rPr>
        <w:t>самостоятельной станции г. Петропавловск-Камчатский)</w:t>
      </w:r>
      <w:r>
        <w:rPr>
          <w:rFonts w:ascii="Times New Roman" w:hAnsi="Times New Roman"/>
          <w:color w:val="000000"/>
          <w:sz w:val="28"/>
        </w:rPr>
        <w:t xml:space="preserve"> за последние 3 года составляет 76 бригад/смен, из них 19 круглосуточных. </w:t>
      </w:r>
      <w:r>
        <w:rPr>
          <w:rFonts w:ascii="Times New Roman" w:hAnsi="Times New Roman"/>
          <w:color w:val="000000"/>
          <w:sz w:val="28"/>
        </w:rPr>
        <w:t>Обеспеченность бригадами скорой медицинской помощи составила 1 на 5450 человек, что связано с оказанием скорой медицинской помощи в отдаленных районах с низкой плотностью населения:</w:t>
      </w:r>
    </w:p>
    <w:p w14:paraId="E5000000">
      <w:pPr>
        <w:pStyle w:val="Style_2"/>
        <w:spacing w:after="0" w:before="0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Елизовский муниципальный округ:</w:t>
      </w:r>
    </w:p>
    <w:p w14:paraId="E6000000">
      <w:pPr>
        <w:pStyle w:val="Style_2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скорую медицинскую помощь населению данного муниципального округа оказывает ГБУЗ КК «Елизовская станция скорой медицинской помощи». 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2"/>
        <w:gridCol w:w="700"/>
        <w:gridCol w:w="1552"/>
        <w:gridCol w:w="1768"/>
        <w:gridCol w:w="1353"/>
        <w:gridCol w:w="1767"/>
        <w:gridCol w:w="1653"/>
      </w:tblGrid>
      <w:tr>
        <w:trPr>
          <w:tblHeader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 населения</w:t>
            </w:r>
          </w:p>
        </w:tc>
        <w:tc>
          <w:tcPr>
            <w:tcW w:type="dxa" w:w="17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rPr>
          <w:trHeight w:hRule="atLeast" w:val="330"/>
          <w:tblHeader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375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63409</w:t>
            </w:r>
          </w:p>
        </w:tc>
        <w:tc>
          <w:tcPr>
            <w:tcW w:type="dxa" w:w="17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19066</w:t>
            </w: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59803</w:t>
            </w:r>
          </w:p>
        </w:tc>
        <w:tc>
          <w:tcPr>
            <w:tcW w:type="dxa" w:w="17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17780</w:t>
            </w: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59658</w:t>
            </w:r>
          </w:p>
        </w:tc>
        <w:tc>
          <w:tcPr>
            <w:tcW w:type="dxa" w:w="17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17125</w:t>
            </w:r>
          </w:p>
        </w:tc>
      </w:tr>
      <w:tr>
        <w:trPr>
          <w:trHeight w:hRule="atLeast" w:val="360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60476</w:t>
            </w:r>
          </w:p>
        </w:tc>
        <w:tc>
          <w:tcPr>
            <w:tcW w:type="dxa" w:w="17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17461</w:t>
            </w:r>
          </w:p>
        </w:tc>
      </w:tr>
      <w:tr>
        <w:trPr>
          <w:trHeight w:hRule="atLeast" w:val="375"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</w:t>
            </w:r>
          </w:p>
        </w:tc>
        <w:tc>
          <w:tcPr>
            <w:tcW w:type="dxa" w:w="13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7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17228</w:t>
            </w:r>
          </w:p>
        </w:tc>
      </w:tr>
    </w:tbl>
    <w:p w14:paraId="1801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соответствует расчетной потребности (1 бригада СМП на 10 000 населения);</w:t>
      </w:r>
    </w:p>
    <w:p w14:paraId="1901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Быстринский муниципальный округ:</w:t>
      </w:r>
    </w:p>
    <w:p w14:paraId="1A01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округа оказывает отделение ГБУЗ КК «Быстринская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7"/>
        <w:gridCol w:w="720"/>
        <w:gridCol w:w="1560"/>
        <w:gridCol w:w="1770"/>
        <w:gridCol w:w="1350"/>
        <w:gridCol w:w="1736"/>
        <w:gridCol w:w="1672"/>
      </w:tblGrid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1E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rPr>
          <w:trHeight w:hRule="atLeast" w:val="355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360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2384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960</w:t>
            </w:r>
          </w:p>
        </w:tc>
      </w:tr>
      <w:tr>
        <w:trPr>
          <w:trHeight w:hRule="atLeast" w:val="375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2490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860</w:t>
            </w:r>
          </w:p>
        </w:tc>
      </w:tr>
      <w:tr>
        <w:trPr>
          <w:trHeight w:hRule="atLeast" w:val="360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2422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815</w:t>
            </w:r>
          </w:p>
        </w:tc>
      </w:tr>
      <w:tr>
        <w:trPr>
          <w:trHeight w:hRule="atLeast" w:val="360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2423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559</w:t>
            </w:r>
          </w:p>
        </w:tc>
      </w:tr>
      <w:tr>
        <w:trPr>
          <w:trHeight w:hRule="atLeast" w:val="375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688</w:t>
            </w:r>
          </w:p>
        </w:tc>
      </w:tr>
    </w:tbl>
    <w:p w14:paraId="4D01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4E01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Мильковский муниципальный округ:</w:t>
      </w:r>
    </w:p>
    <w:p w14:paraId="4F01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округа оказывает отделение ГБУЗ КК «Мильковская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7"/>
        <w:gridCol w:w="705"/>
        <w:gridCol w:w="1575"/>
        <w:gridCol w:w="1770"/>
        <w:gridCol w:w="1350"/>
        <w:gridCol w:w="1740"/>
        <w:gridCol w:w="1665"/>
      </w:tblGrid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53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200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9312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2185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9001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1872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8890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2398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8727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2433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2618</w:t>
            </w:r>
          </w:p>
        </w:tc>
      </w:tr>
    </w:tbl>
    <w:p w14:paraId="8201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соответствует расчетной потребности (1 бригада СМП на 10 000 населения);</w:t>
      </w:r>
    </w:p>
    <w:p w14:paraId="8301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Соболевский муниципальный округ:</w:t>
      </w:r>
    </w:p>
    <w:p w14:paraId="8401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округа оказывает отделение ГБУЗ КК «Соболевская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7"/>
        <w:gridCol w:w="705"/>
        <w:gridCol w:w="1560"/>
        <w:gridCol w:w="1755"/>
        <w:gridCol w:w="1365"/>
        <w:gridCol w:w="1755"/>
        <w:gridCol w:w="1668"/>
      </w:tblGrid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88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2443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621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680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1988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589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1979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567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666</w:t>
            </w:r>
          </w:p>
        </w:tc>
      </w:tr>
    </w:tbl>
    <w:p w14:paraId="B701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B801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Усть-Большерецкий муниципальный округ:</w:t>
      </w:r>
    </w:p>
    <w:p w14:paraId="B901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округа оказывает отделение ГБУЗ КК «Усть-Большерецкая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77"/>
        <w:gridCol w:w="705"/>
        <w:gridCol w:w="1545"/>
        <w:gridCol w:w="1740"/>
        <w:gridCol w:w="1380"/>
        <w:gridCol w:w="1755"/>
        <w:gridCol w:w="1653"/>
      </w:tblGrid>
      <w:t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BD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rPr>
          <w:trHeight w:hRule="atLeast" w:val="395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405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7310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1684</w:t>
            </w:r>
          </w:p>
        </w:tc>
      </w:tr>
      <w:tr>
        <w:trPr>
          <w:trHeight w:hRule="atLeast" w:val="390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6291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2088</w:t>
            </w:r>
          </w:p>
        </w:tc>
      </w:tr>
      <w:tr>
        <w:trPr>
          <w:trHeight w:hRule="atLeast" w:val="302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6185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2749</w:t>
            </w:r>
          </w:p>
        </w:tc>
      </w:tr>
      <w:t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6069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2888</w:t>
            </w:r>
          </w:p>
        </w:tc>
      </w:tr>
      <w:tr>
        <w:trPr>
          <w:trHeight w:hRule="atLeast" w:val="444"/>
        </w:trPr>
        <w:tc>
          <w:tcPr>
            <w:tcW w:type="dxa" w:w="5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2986</w:t>
            </w:r>
          </w:p>
        </w:tc>
      </w:tr>
    </w:tbl>
    <w:p w14:paraId="EC01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ED01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Усть-Камчатский муниципальный округ:</w:t>
      </w:r>
    </w:p>
    <w:p w14:paraId="EE01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округа оказывают отделения ГБУЗ КК «Усть-Камчатская районная больница» и ГБУЗ КК «Ключевская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2"/>
        <w:gridCol w:w="720"/>
        <w:gridCol w:w="1560"/>
        <w:gridCol w:w="1740"/>
        <w:gridCol w:w="1350"/>
        <w:gridCol w:w="1770"/>
        <w:gridCol w:w="1635"/>
      </w:tblGrid>
      <w:tr>
        <w:trPr>
          <w:tblHeader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F2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rPr>
          <w:tblHeader/>
        </w:trP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9337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ГБУЗ КК «Усть-Камчатская районная больница»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1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8684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908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9000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1003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8744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761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8450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768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790</w:t>
            </w:r>
          </w:p>
        </w:tc>
      </w:tr>
      <w:tr>
        <w:tc>
          <w:tcPr>
            <w:tcW w:type="dxa" w:w="9337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ГБУЗ КК «Ключевская районная больница»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4213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2087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4295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1844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4208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1430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4049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1462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1108</w:t>
            </w:r>
          </w:p>
        </w:tc>
      </w:tr>
    </w:tbl>
    <w:p w14:paraId="4602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4702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Карагинский муниципальный район:</w:t>
      </w:r>
    </w:p>
    <w:p w14:paraId="4802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района оказывает отделение ГБУЗ КК «Карагинская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2"/>
        <w:gridCol w:w="705"/>
        <w:gridCol w:w="1545"/>
        <w:gridCol w:w="1770"/>
        <w:gridCol w:w="1350"/>
        <w:gridCol w:w="1755"/>
        <w:gridCol w:w="1635"/>
      </w:tblGrid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4C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3573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1244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3456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1084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3403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991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3457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857</w:t>
            </w:r>
          </w:p>
        </w:tc>
      </w:tr>
      <w:tr>
        <w:tc>
          <w:tcPr>
            <w:tcW w:type="dxa" w:w="5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620</w:t>
            </w:r>
          </w:p>
        </w:tc>
      </w:tr>
    </w:tbl>
    <w:p w14:paraId="7B02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7C02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Олюторский муниципальный район:</w:t>
      </w:r>
    </w:p>
    <w:p w14:paraId="7D02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района оказывает отделение ГБУЗ КК «Олюторская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7"/>
        <w:gridCol w:w="705"/>
        <w:gridCol w:w="1541"/>
        <w:gridCol w:w="1759"/>
        <w:gridCol w:w="1380"/>
        <w:gridCol w:w="1755"/>
        <w:gridCol w:w="1668"/>
      </w:tblGrid>
      <w:tr>
        <w:trPr>
          <w:tblHeader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81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rPr>
          <w:tblHeader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334"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3679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1042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3640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912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3569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984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3523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894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768</w:t>
            </w:r>
          </w:p>
        </w:tc>
      </w:tr>
    </w:tbl>
    <w:p w14:paraId="B002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B102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Пенжинский муниципальный район:</w:t>
      </w:r>
    </w:p>
    <w:p w14:paraId="B202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района оказывает отделение ГБУЗ КК «Пенжинская районная больница» и отделение ОВОП с. Манилы.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0"/>
        <w:gridCol w:w="696"/>
        <w:gridCol w:w="1564"/>
        <w:gridCol w:w="1752"/>
        <w:gridCol w:w="1394"/>
        <w:gridCol w:w="1734"/>
        <w:gridCol w:w="1642"/>
      </w:tblGrid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B6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932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ГБУЗ КК «Пенжинская районная больница»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1973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369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2072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369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2026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364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3523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358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370</w:t>
            </w:r>
          </w:p>
        </w:tc>
      </w:tr>
      <w:tr>
        <w:tc>
          <w:tcPr>
            <w:tcW w:type="dxa" w:w="9322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ОВОП с. Манилы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695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375</w:t>
            </w:r>
          </w:p>
        </w:tc>
      </w:tr>
      <w:tr>
        <w:trPr>
          <w:trHeight w:hRule="atLeast" w:val="216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663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300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665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654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2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6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Отделение закрыто</w:t>
            </w:r>
          </w:p>
        </w:tc>
        <w:tc>
          <w:tcPr>
            <w:tcW w:type="dxa" w:w="1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30000">
            <w:pPr>
              <w:spacing w:after="0" w:before="57"/>
              <w:ind/>
            </w:pP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30000">
            <w:pPr>
              <w:spacing w:after="0" w:before="57"/>
              <w:ind/>
            </w:pPr>
          </w:p>
        </w:tc>
        <w:tc>
          <w:tcPr>
            <w:tcW w:type="dxa" w:w="16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-</w:t>
            </w:r>
          </w:p>
        </w:tc>
      </w:tr>
    </w:tbl>
    <w:p w14:paraId="0A03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0B03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 Тигильский муниципальный округ:</w:t>
      </w:r>
    </w:p>
    <w:p w14:paraId="0C03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муниципального округа оказывают отделения ГБУЗ «Корякская окружная больница» (пгт Палана) и ГБУЗ КК «Тигильская районная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0"/>
        <w:gridCol w:w="727"/>
        <w:gridCol w:w="1544"/>
        <w:gridCol w:w="1771"/>
        <w:gridCol w:w="1365"/>
        <w:gridCol w:w="1734"/>
        <w:gridCol w:w="1656"/>
      </w:tblGrid>
      <w:tr>
        <w:trPr>
          <w:tblHeader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10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rPr>
          <w:tblHeader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9337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ГБУЗ «Корякская окружная больница»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2871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1815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2799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1746</w:t>
            </w:r>
          </w:p>
        </w:tc>
      </w:tr>
      <w:tr>
        <w:trPr>
          <w:trHeight w:hRule="atLeast" w:val="200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2727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1049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2688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1308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1910</w:t>
            </w:r>
          </w:p>
        </w:tc>
      </w:tr>
      <w:tr>
        <w:tc>
          <w:tcPr>
            <w:tcW w:type="dxa" w:w="9337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ГБУЗ КК «Тигильская районная больница»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3469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1492</w:t>
            </w:r>
          </w:p>
        </w:tc>
      </w:tr>
      <w:tr>
        <w:trPr>
          <w:trHeight w:hRule="atLeast" w:val="237"/>
        </w:trP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3688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1627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3668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1721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3662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2063</w:t>
            </w:r>
          </w:p>
        </w:tc>
      </w:tr>
      <w:tr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7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3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1973</w:t>
            </w:r>
          </w:p>
        </w:tc>
      </w:tr>
    </w:tbl>
    <w:p w14:paraId="6403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 Но допустимо для районов с низкой плотностью населения и длиной радиуса территории обслуживания;</w:t>
      </w:r>
    </w:p>
    <w:p w14:paraId="6503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11) Вилючинский городской округ:</w:t>
      </w:r>
    </w:p>
    <w:p w14:paraId="66030000">
      <w:pPr>
        <w:pStyle w:val="Style_2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скорую медицинскую помощь населению данного округа оказывает отделение ГБУЗ КК «Вилючинская городская больница».</w:t>
      </w: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7"/>
        <w:gridCol w:w="698"/>
        <w:gridCol w:w="1544"/>
        <w:gridCol w:w="1778"/>
        <w:gridCol w:w="1382"/>
        <w:gridCol w:w="1734"/>
        <w:gridCol w:w="1639"/>
      </w:tblGrid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Год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Численность</w:t>
            </w:r>
          </w:p>
          <w:p w14:paraId="6A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населения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бригад скорой помощи круглосуточно</w:t>
            </w:r>
          </w:p>
        </w:tc>
        <w:tc>
          <w:tcPr>
            <w:tcW w:type="dxa" w:w="1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Врачебные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Фельдшерские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Количество выполненных вызовов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2021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н/д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1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6150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2022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21791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1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5396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2023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21834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1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4514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2024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22386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</w:t>
            </w:r>
          </w:p>
        </w:tc>
        <w:tc>
          <w:tcPr>
            <w:tcW w:type="dxa" w:w="1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4352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1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н.д.</w:t>
            </w:r>
          </w:p>
        </w:tc>
        <w:tc>
          <w:tcPr>
            <w:tcW w:type="dxa" w:w="1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1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7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16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3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4269</w:t>
            </w:r>
          </w:p>
        </w:tc>
      </w:tr>
    </w:tbl>
    <w:p w14:paraId="9903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Обеспеченность бригадами скорой медицинской помощи превышает расчетную потребность (1 бригада СМП на 10 000 населения).</w:t>
      </w:r>
    </w:p>
    <w:p w14:paraId="9A030000">
      <w:pPr>
        <w:pStyle w:val="Style_2"/>
        <w:spacing w:after="0" w:before="0" w:line="240" w:lineRule="auto"/>
        <w:ind w:firstLine="709" w:left="0" w:right="0"/>
        <w:rPr>
          <w:rFonts w:ascii="Times New Roman" w:hAnsi="Times New Roman"/>
          <w:sz w:val="28"/>
        </w:rPr>
      </w:pPr>
    </w:p>
    <w:p w14:paraId="9B03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2.5. Кадровый состав учреждений</w:t>
      </w:r>
    </w:p>
    <w:p w14:paraId="9C03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sz w:val="28"/>
        </w:rPr>
      </w:pPr>
    </w:p>
    <w:p w14:paraId="9D03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29. В Камчатском крае в 2025 году году штатная численность работников СМП составила 883,75, что на 21,25 штатную единицу ниже уровня 2024 года (905 работников), ниже уровня 2023 года (926,25) на 42,5 штатных единиц и ниже уровня 2022 го</w:t>
      </w:r>
      <w:r>
        <w:rPr>
          <w:rFonts w:ascii="Times New Roman" w:hAnsi="Times New Roman"/>
          <w:sz w:val="28"/>
        </w:rPr>
        <w:t xml:space="preserve">да (937,25) на 53,5 штатных единицы. Количество врачей (физических лиц) в </w:t>
      </w:r>
      <w:r>
        <w:rPr>
          <w:rFonts w:ascii="Times New Roman" w:hAnsi="Times New Roman"/>
          <w:sz w:val="28"/>
        </w:rPr>
        <w:t xml:space="preserve">2025 году составило 29 человек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(в 2024 году – 31 человек, 2023 год – 33 человека, 2022 год – 29 человек). Число средних медицинских работников составило в 2025 году 248 человек (в 2024 году – 239 человек, 2023 год – 245 человек, 2022 год – 244 человека). </w:t>
      </w:r>
    </w:p>
    <w:p w14:paraId="9E03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Общая укомплектованность учреждений физическими лицами составила 69,8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, из них врачей – 35,5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 xml:space="preserve"> и средних медицинских работников – 72,4 </w:t>
      </w:r>
      <w:r>
        <w:rPr>
          <w:rFonts w:ascii="Times New Roman" w:hAnsi="Times New Roman"/>
          <w:sz w:val="28"/>
        </w:rPr>
        <w:t>процента</w:t>
      </w:r>
      <w:r>
        <w:rPr>
          <w:rFonts w:ascii="Times New Roman" w:hAnsi="Times New Roman"/>
          <w:sz w:val="28"/>
        </w:rPr>
        <w:t>. Коэффициент совместительства в 2025 году составил по врачам 1,37, по среднему медперсоналу, соответственно 1,02. Соотношение врачей и среднего медицинского персонала в 2024 году составило – 1/8,5.</w:t>
      </w:r>
    </w:p>
    <w:p w14:paraId="9F03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A003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2.6. Информатизация скорой медицинской помощи</w:t>
      </w:r>
    </w:p>
    <w:p w14:paraId="A103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i w:val="0"/>
          <w:sz w:val="28"/>
        </w:rPr>
      </w:pPr>
    </w:p>
    <w:p w14:paraId="A2030000">
      <w:pPr>
        <w:pStyle w:val="Style_2"/>
        <w:spacing w:after="0" w:before="0" w:line="240" w:lineRule="auto"/>
        <w:ind w:firstLine="709" w:left="0" w:right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30. В 2023 году организована единая диспетчерская служба скорой медицинской помощи в Камчатском крае (далее – ЕДС СМП КК) базе</w:t>
      </w:r>
      <w:r>
        <w:rPr>
          <w:rFonts w:ascii="Times New Roman" w:hAnsi="Times New Roman"/>
          <w:spacing w:val="40"/>
          <w:sz w:val="28"/>
        </w:rPr>
        <w:t xml:space="preserve"> </w:t>
      </w:r>
      <w:r>
        <w:rPr>
          <w:rFonts w:ascii="Times New Roman" w:hAnsi="Times New Roman"/>
          <w:sz w:val="28"/>
        </w:rPr>
        <w:t>ГБУЗ КК «Петропавловск-Камчатская городская станция скорой медицинской помощи» на платформе 1С Предприятие АСУ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rFonts w:ascii="Times New Roman" w:hAnsi="Times New Roman"/>
          <w:sz w:val="28"/>
        </w:rPr>
        <w:t>«Управление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rFonts w:ascii="Times New Roman" w:hAnsi="Times New Roman"/>
          <w:sz w:val="28"/>
        </w:rPr>
        <w:t>станцией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rFonts w:ascii="Times New Roman" w:hAnsi="Times New Roman"/>
          <w:sz w:val="28"/>
        </w:rPr>
        <w:t>скорой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rFonts w:ascii="Times New Roman" w:hAnsi="Times New Roman"/>
          <w:sz w:val="28"/>
        </w:rPr>
        <w:t>медицинской</w:t>
      </w:r>
      <w:r>
        <w:rPr>
          <w:rFonts w:ascii="Times New Roman" w:hAnsi="Times New Roman"/>
          <w:spacing w:val="80"/>
          <w:sz w:val="28"/>
        </w:rPr>
        <w:t xml:space="preserve"> </w:t>
      </w:r>
      <w:r>
        <w:rPr>
          <w:rFonts w:ascii="Times New Roman" w:hAnsi="Times New Roman"/>
          <w:sz w:val="28"/>
        </w:rPr>
        <w:t>помощи, производитель</w:t>
      </w:r>
      <w:r>
        <w:rPr>
          <w:rFonts w:ascii="Times New Roman" w:hAnsi="Times New Roman"/>
          <w:spacing w:val="68"/>
          <w:sz w:val="28"/>
        </w:rPr>
        <w:t xml:space="preserve"> </w:t>
      </w:r>
      <w:r>
        <w:rPr>
          <w:rFonts w:ascii="Times New Roman" w:hAnsi="Times New Roman"/>
          <w:sz w:val="28"/>
        </w:rPr>
        <w:t>ООО</w:t>
      </w:r>
      <w:r>
        <w:rPr>
          <w:rFonts w:ascii="Times New Roman" w:hAnsi="Times New Roman"/>
          <w:spacing w:val="67"/>
          <w:sz w:val="28"/>
        </w:rPr>
        <w:t xml:space="preserve"> </w:t>
      </w:r>
      <w:r>
        <w:rPr>
          <w:rFonts w:ascii="Times New Roman" w:hAnsi="Times New Roman"/>
          <w:sz w:val="28"/>
        </w:rPr>
        <w:t>«Комплексная</w:t>
      </w:r>
      <w:r>
        <w:rPr>
          <w:rFonts w:ascii="Times New Roman" w:hAnsi="Times New Roman"/>
          <w:spacing w:val="68"/>
          <w:sz w:val="28"/>
        </w:rPr>
        <w:t xml:space="preserve"> </w:t>
      </w:r>
      <w:r>
        <w:rPr>
          <w:rFonts w:ascii="Times New Roman" w:hAnsi="Times New Roman"/>
          <w:sz w:val="28"/>
        </w:rPr>
        <w:t>автоматизация</w:t>
      </w:r>
      <w:r>
        <w:rPr>
          <w:rFonts w:ascii="Times New Roman" w:hAnsi="Times New Roman"/>
          <w:spacing w:val="68"/>
          <w:sz w:val="28"/>
        </w:rPr>
        <w:t xml:space="preserve"> </w:t>
      </w:r>
      <w:r>
        <w:rPr>
          <w:rFonts w:ascii="Times New Roman" w:hAnsi="Times New Roman"/>
          <w:sz w:val="28"/>
        </w:rPr>
        <w:t>бизнеса</w:t>
      </w:r>
      <w:r>
        <w:rPr>
          <w:rFonts w:ascii="Times New Roman" w:hAnsi="Times New Roman"/>
          <w:spacing w:val="68"/>
          <w:sz w:val="28"/>
        </w:rPr>
        <w:t xml:space="preserve">» </w:t>
      </w:r>
      <w:r>
        <w:rPr>
          <w:rFonts w:ascii="Times New Roman" w:hAnsi="Times New Roman"/>
          <w:spacing w:val="-5"/>
          <w:sz w:val="28"/>
        </w:rPr>
        <w:t>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Воронеж.</w:t>
      </w:r>
    </w:p>
    <w:p w14:paraId="A3030000">
      <w:pPr>
        <w:pStyle w:val="Style_2"/>
        <w:spacing w:after="0" w:before="0" w:line="240" w:lineRule="auto"/>
        <w:ind w:firstLine="709" w:left="0" w:right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настоящее время с ЕДС СМП КК работают станции и 8 отделений скорой помощи. Планируется в ближайшее время подключить еще 4 отделения скорой медицинской помощи.</w:t>
      </w:r>
    </w:p>
    <w:p w14:paraId="A4030000">
      <w:pPr>
        <w:pStyle w:val="Style_2"/>
        <w:spacing w:after="0" w:before="0" w:line="240" w:lineRule="auto"/>
        <w:ind w:firstLine="709" w:left="0" w:right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в режиме ЕДС СМП КК позволяет оперативно принимать и передавать вызовы непосредственно фельдшеру на мобильное АРМ. Это в свою очередь существенно повышает оперативность в работе, сокращает время доездов и ожидания прибытия на место происшествия</w:t>
      </w:r>
      <w:r>
        <w:rPr>
          <w:rFonts w:ascii="Times New Roman" w:hAnsi="Times New Roman"/>
          <w:spacing w:val="-2"/>
          <w:sz w:val="28"/>
        </w:rPr>
        <w:t>.</w:t>
      </w:r>
    </w:p>
    <w:p w14:paraId="A5030000">
      <w:pPr>
        <w:pStyle w:val="Style_2"/>
        <w:spacing w:after="0" w:before="0" w:line="240" w:lineRule="auto"/>
        <w:ind w:firstLine="709" w:left="0" w:right="1"/>
        <w:jc w:val="both"/>
        <w:rPr>
          <w:rFonts w:ascii="Times New Roman" w:hAnsi="Times New Roman"/>
          <w:spacing w:val="-2"/>
          <w:sz w:val="28"/>
        </w:rPr>
      </w:pPr>
    </w:p>
    <w:p w14:paraId="A603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2.7. Сведения о работе санитарной авиации в субъекте </w:t>
      </w:r>
    </w:p>
    <w:p w14:paraId="A703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Российской Федерации</w:t>
      </w:r>
    </w:p>
    <w:p w14:paraId="A803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sz w:val="28"/>
        </w:rPr>
      </w:pPr>
    </w:p>
    <w:p w14:paraId="A9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31. На территории Камчатского края существует 13 аэродромов местных воздушных линий (далее – МВЛ). В Камчатском крае имеется сеть аэропортов местных воздушных линий, требующих модернизации как аэродромных сооружений, так и оборудования. Данное имущество находится в федеральной собственности, в составе федерального казённого предприятия «Аэропорты Камчатки».</w:t>
      </w:r>
    </w:p>
    <w:p w14:paraId="AA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32. В настоящее время на территории Камчатского края санитарно-авиационную скорую медицинскую помощь выполняют 2 </w:t>
      </w:r>
      <w:r>
        <w:rPr>
          <w:rFonts w:ascii="Times New Roman" w:hAnsi="Times New Roman"/>
          <w:color w:val="000000"/>
          <w:sz w:val="28"/>
        </w:rPr>
        <w:t>эксплуатанта</w:t>
      </w:r>
      <w:r>
        <w:rPr>
          <w:rFonts w:ascii="Times New Roman" w:hAnsi="Times New Roman"/>
          <w:color w:val="000000"/>
          <w:sz w:val="28"/>
        </w:rPr>
        <w:t xml:space="preserve"> коммерческой авиации: </w:t>
      </w:r>
    </w:p>
    <w:p w14:paraId="AB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 ООО авиакомпания «Национальная служба санитарной авиации» (далее – НССА);</w:t>
      </w:r>
    </w:p>
    <w:p w14:paraId="AC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 акционерное общество «Камчатское авиационное предприятие» (далее – КАП).</w:t>
      </w:r>
    </w:p>
    <w:p w14:paraId="AD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33. АО КАП расположено в </w:t>
      </w:r>
      <w:r>
        <w:rPr>
          <w:rFonts w:ascii="Times New Roman" w:hAnsi="Times New Roman"/>
          <w:color w:val="000000"/>
          <w:sz w:val="28"/>
        </w:rPr>
        <w:t>Елизовском</w:t>
      </w:r>
      <w:r>
        <w:rPr>
          <w:rFonts w:ascii="Times New Roman" w:hAnsi="Times New Roman"/>
          <w:color w:val="000000"/>
          <w:sz w:val="28"/>
        </w:rPr>
        <w:t xml:space="preserve"> районе Камчатского края, в 29-35 км от города Петропавловск-Камчатского.</w:t>
      </w:r>
    </w:p>
    <w:p w14:paraId="AE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ООО «НССА» базируется в аэропорту «</w:t>
      </w:r>
      <w:r>
        <w:rPr>
          <w:rFonts w:ascii="Times New Roman" w:hAnsi="Times New Roman"/>
          <w:color w:val="000000"/>
          <w:sz w:val="28"/>
        </w:rPr>
        <w:t>Халактырка</w:t>
      </w:r>
      <w:r>
        <w:rPr>
          <w:rFonts w:ascii="Times New Roman" w:hAnsi="Times New Roman"/>
          <w:color w:val="000000"/>
          <w:sz w:val="28"/>
        </w:rPr>
        <w:t>».</w:t>
      </w:r>
    </w:p>
    <w:p w14:paraId="AF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34. Санитарные задания обеспечивают </w:t>
      </w:r>
      <w:r>
        <w:rPr>
          <w:rFonts w:ascii="Times New Roman" w:hAnsi="Times New Roman"/>
          <w:color w:val="000000"/>
          <w:sz w:val="28"/>
        </w:rPr>
        <w:t>9 единиц авиационной техники (4</w:t>
      </w:r>
      <w:r>
        <w:rPr>
          <w:rFonts w:ascii="Times New Roman" w:hAnsi="Times New Roman"/>
          <w:color w:val="000000"/>
          <w:sz w:val="28"/>
        </w:rPr>
        <w:t xml:space="preserve"> единицы – ООО «НССА» и 5 единиц – КАП), состоящие из 3 типов воздушных судов, в том числе:</w:t>
      </w:r>
    </w:p>
    <w:p w14:paraId="B003000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 Ан-26 – 3</w:t>
      </w:r>
      <w:r>
        <w:rPr>
          <w:rFonts w:ascii="Times New Roman" w:hAnsi="Times New Roman"/>
          <w:color w:val="000000"/>
          <w:sz w:val="28"/>
        </w:rPr>
        <w:t xml:space="preserve"> ед.;</w:t>
      </w:r>
    </w:p>
    <w:p w14:paraId="B103000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 Як-40 (К) – 2</w:t>
      </w:r>
      <w:r>
        <w:rPr>
          <w:rFonts w:ascii="Times New Roman" w:hAnsi="Times New Roman"/>
          <w:color w:val="000000"/>
          <w:sz w:val="28"/>
        </w:rPr>
        <w:t xml:space="preserve"> ед.;</w:t>
      </w:r>
    </w:p>
    <w:p w14:paraId="B2030000">
      <w:pPr>
        <w:spacing w:after="0" w:line="240" w:lineRule="auto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 Ми-8 МТВ-1 – 4</w:t>
      </w:r>
      <w:r>
        <w:rPr>
          <w:rFonts w:ascii="Times New Roman" w:hAnsi="Times New Roman"/>
          <w:color w:val="000000"/>
          <w:sz w:val="28"/>
        </w:rPr>
        <w:t xml:space="preserve"> ед.</w:t>
      </w:r>
    </w:p>
    <w:p w14:paraId="B3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35. Средний возраст воздушных судов</w:t>
      </w:r>
      <w:r>
        <w:rPr>
          <w:rFonts w:ascii="Times New Roman" w:hAnsi="Times New Roman"/>
          <w:color w:val="000000"/>
          <w:sz w:val="28"/>
        </w:rPr>
        <w:t xml:space="preserve"> самолетного типа</w:t>
      </w:r>
      <w:r>
        <w:rPr>
          <w:rFonts w:ascii="Times New Roman" w:hAnsi="Times New Roman"/>
          <w:color w:val="000000"/>
          <w:sz w:val="28"/>
        </w:rPr>
        <w:t>, используемых для оказания экстренной санитарно-авиационной медицинской п</w:t>
      </w:r>
      <w:r>
        <w:rPr>
          <w:rFonts w:ascii="Times New Roman" w:hAnsi="Times New Roman"/>
          <w:color w:val="000000"/>
          <w:sz w:val="28"/>
        </w:rPr>
        <w:t>омощи, растет и приближается к 4</w:t>
      </w:r>
      <w:r>
        <w:rPr>
          <w:rFonts w:ascii="Times New Roman" w:hAnsi="Times New Roman"/>
          <w:color w:val="000000"/>
          <w:sz w:val="28"/>
        </w:rPr>
        <w:t>0 годам.</w:t>
      </w:r>
    </w:p>
    <w:p w14:paraId="B4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36. Все воздушные суда АО «НССА» оборудованы медицинским модулем</w:t>
      </w:r>
      <w:r>
        <w:rPr>
          <w:rFonts w:ascii="Times New Roman" w:hAnsi="Times New Roman"/>
          <w:color w:val="000000"/>
          <w:sz w:val="28"/>
        </w:rPr>
        <w:t xml:space="preserve">.  </w:t>
      </w:r>
    </w:p>
    <w:p w14:paraId="B503000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Анализ парка воздушных судов по авиакомпаниям представлен в таблице. </w:t>
      </w:r>
    </w:p>
    <w:p w14:paraId="B603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ООО «НССА»:</w:t>
      </w:r>
    </w:p>
    <w:tbl>
      <w:tblPr>
        <w:tblStyle w:val="Style_3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1"/>
        <w:gridCol w:w="1877"/>
        <w:gridCol w:w="1933"/>
        <w:gridCol w:w="2091"/>
        <w:gridCol w:w="2443"/>
      </w:tblGrid>
      <w:t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 ВС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Год выпуска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Дата капитального ремонта</w:t>
            </w:r>
          </w:p>
        </w:tc>
      </w:tr>
      <w:t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Ми-8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МТВ-1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26.07.2021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30000">
            <w:pPr>
              <w:spacing w:after="0" w:before="57" w:line="240" w:lineRule="auto"/>
              <w:ind/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hRule="atLeast" w:val="289"/>
        </w:trP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Ми-8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МТВ-1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17.02.2022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30000">
            <w:pPr>
              <w:spacing w:after="0" w:before="57" w:line="240" w:lineRule="auto"/>
              <w:ind/>
              <w:jc w:val="center"/>
              <w:rPr>
                <w:color w:val="000000"/>
                <w:sz w:val="24"/>
              </w:rPr>
            </w:pPr>
          </w:p>
        </w:tc>
      </w:tr>
      <w:t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Ми-8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МТВ-1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29.12.2022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30000">
            <w:pPr>
              <w:spacing w:after="0" w:before="57" w:line="240" w:lineRule="auto"/>
              <w:ind/>
              <w:jc w:val="center"/>
              <w:rPr>
                <w:color w:val="000000"/>
                <w:sz w:val="24"/>
              </w:rPr>
            </w:pPr>
          </w:p>
        </w:tc>
      </w:tr>
      <w:t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Ми-8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МТВ-1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12.02.2021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30000">
            <w:pPr>
              <w:spacing w:after="0" w:before="57" w:line="240" w:lineRule="auto"/>
              <w:ind/>
              <w:jc w:val="center"/>
              <w:rPr>
                <w:color w:val="000000"/>
                <w:sz w:val="24"/>
              </w:rPr>
            </w:pPr>
          </w:p>
        </w:tc>
      </w:tr>
      <w:t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Ми-8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МТВ-1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01.09.2021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30000">
            <w:pPr>
              <w:spacing w:after="0" w:before="57" w:line="240" w:lineRule="auto"/>
              <w:ind/>
              <w:jc w:val="center"/>
              <w:rPr>
                <w:color w:val="000000"/>
                <w:sz w:val="24"/>
              </w:rPr>
            </w:pPr>
          </w:p>
        </w:tc>
      </w:tr>
      <w:tr>
        <w:tc>
          <w:tcPr>
            <w:tcW w:type="dxa" w:w="10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type="dxa" w:w="18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Ми-8</w:t>
            </w:r>
          </w:p>
        </w:tc>
        <w:tc>
          <w:tcPr>
            <w:tcW w:type="dxa" w:w="1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МТВ-1</w:t>
            </w:r>
          </w:p>
        </w:tc>
        <w:tc>
          <w:tcPr>
            <w:tcW w:type="dxa" w:w="2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27.12.2022</w:t>
            </w:r>
          </w:p>
        </w:tc>
        <w:tc>
          <w:tcPr>
            <w:tcW w:type="dxa" w:w="2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30000">
            <w:pPr>
              <w:spacing w:after="0" w:before="57" w:line="240" w:lineRule="auto"/>
              <w:ind/>
              <w:jc w:val="center"/>
              <w:rPr>
                <w:color w:val="000000"/>
                <w:sz w:val="24"/>
              </w:rPr>
            </w:pPr>
          </w:p>
        </w:tc>
      </w:tr>
    </w:tbl>
    <w:p w14:paraId="DF030000">
      <w:pPr>
        <w:spacing w:after="0" w:line="240" w:lineRule="auto"/>
        <w:ind w:left="1080"/>
        <w:rPr>
          <w:rFonts w:ascii="Times New Roman" w:hAnsi="Times New Roman"/>
          <w:color w:val="000000"/>
          <w:sz w:val="28"/>
        </w:rPr>
      </w:pPr>
    </w:p>
    <w:p w14:paraId="E0030000">
      <w:pPr>
        <w:spacing w:after="0" w:line="240" w:lineRule="auto"/>
        <w:ind w:left="108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АО «Камчатское авиационное предприятие:</w:t>
      </w:r>
    </w:p>
    <w:tbl>
      <w:tblPr>
        <w:tblStyle w:val="Style_3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35"/>
        <w:gridCol w:w="1826"/>
        <w:gridCol w:w="2671"/>
        <w:gridCol w:w="1401"/>
        <w:gridCol w:w="2412"/>
      </w:tblGrid>
      <w:tr>
        <w:tc>
          <w:tcPr>
            <w:tcW w:type="dxa" w:w="1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type="dxa" w:w="1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 ВС</w:t>
            </w:r>
          </w:p>
        </w:tc>
        <w:tc>
          <w:tcPr>
            <w:tcW w:type="dxa" w:w="2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</w:p>
        </w:tc>
        <w:tc>
          <w:tcPr>
            <w:tcW w:type="dxa" w:w="1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Год выпуска</w:t>
            </w: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Дата капитального ремонта</w:t>
            </w:r>
          </w:p>
        </w:tc>
      </w:tr>
      <w:tr>
        <w:tc>
          <w:tcPr>
            <w:tcW w:type="dxa" w:w="1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c>
          <w:tcPr>
            <w:tcW w:type="dxa" w:w="1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type="dxa" w:w="1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Ан-26</w:t>
            </w:r>
          </w:p>
        </w:tc>
        <w:tc>
          <w:tcPr>
            <w:tcW w:type="dxa" w:w="2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Б-100</w:t>
            </w:r>
          </w:p>
        </w:tc>
        <w:tc>
          <w:tcPr>
            <w:tcW w:type="dxa" w:w="1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1982</w:t>
            </w: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2012</w:t>
            </w:r>
          </w:p>
        </w:tc>
      </w:tr>
      <w:tr>
        <w:tc>
          <w:tcPr>
            <w:tcW w:type="dxa" w:w="1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type="dxa" w:w="1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Ан-26</w:t>
            </w:r>
          </w:p>
        </w:tc>
        <w:tc>
          <w:tcPr>
            <w:tcW w:type="dxa" w:w="2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Б-100</w:t>
            </w:r>
          </w:p>
        </w:tc>
        <w:tc>
          <w:tcPr>
            <w:tcW w:type="dxa" w:w="1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1980</w:t>
            </w: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2002</w:t>
            </w:r>
          </w:p>
        </w:tc>
      </w:tr>
      <w:tr>
        <w:tc>
          <w:tcPr>
            <w:tcW w:type="dxa" w:w="1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type="dxa" w:w="1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Ан-26</w:t>
            </w:r>
          </w:p>
        </w:tc>
        <w:tc>
          <w:tcPr>
            <w:tcW w:type="dxa" w:w="2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Б-100</w:t>
            </w:r>
          </w:p>
        </w:tc>
        <w:tc>
          <w:tcPr>
            <w:tcW w:type="dxa" w:w="1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1982</w:t>
            </w: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2006</w:t>
            </w:r>
          </w:p>
        </w:tc>
      </w:tr>
      <w:tr>
        <w:tc>
          <w:tcPr>
            <w:tcW w:type="dxa" w:w="1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type="dxa" w:w="1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Як-40</w:t>
            </w:r>
          </w:p>
        </w:tc>
        <w:tc>
          <w:tcPr>
            <w:tcW w:type="dxa" w:w="2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type="dxa" w:w="1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1976</w:t>
            </w: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2013</w:t>
            </w:r>
          </w:p>
        </w:tc>
      </w:tr>
      <w:tr>
        <w:tc>
          <w:tcPr>
            <w:tcW w:type="dxa" w:w="10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3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type="dxa" w:w="1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4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Як-40</w:t>
            </w:r>
          </w:p>
        </w:tc>
        <w:tc>
          <w:tcPr>
            <w:tcW w:type="dxa" w:w="2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4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</w:t>
            </w:r>
          </w:p>
        </w:tc>
        <w:tc>
          <w:tcPr>
            <w:tcW w:type="dxa" w:w="14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4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1976</w:t>
            </w: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40000">
            <w:pPr>
              <w:spacing w:after="0" w:before="57" w:line="240" w:lineRule="auto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2015</w:t>
            </w:r>
          </w:p>
        </w:tc>
      </w:tr>
    </w:tbl>
    <w:p w14:paraId="04040000">
      <w:pPr>
        <w:spacing w:after="0" w:line="240" w:lineRule="auto"/>
        <w:ind/>
        <w:rPr>
          <w:rFonts w:ascii="Times New Roman" w:hAnsi="Times New Roman"/>
          <w:b w:val="1"/>
        </w:rPr>
      </w:pPr>
    </w:p>
    <w:p w14:paraId="0504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2.8. Сведения об авиационной инфраструктуре в Камчатском крае</w:t>
      </w:r>
    </w:p>
    <w:p w14:paraId="0604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0704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37. Камчатский край один из самых удаленных о</w:t>
      </w:r>
      <w:r>
        <w:rPr>
          <w:rFonts w:ascii="Times New Roman" w:hAnsi="Times New Roman"/>
          <w:sz w:val="28"/>
        </w:rPr>
        <w:t xml:space="preserve">т центра регион России. Полуостров Камчатка имеет одну из самых протяжённых береговых линий среди субъектов Российской Федерации. Морской, авиационный, автомобильный транспорт не конкурируют друг с другом, поскольку занимают собственные транспортные ниши. </w:t>
      </w:r>
    </w:p>
    <w:p w14:paraId="0804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38. Воздушный транспорт вы</w:t>
      </w:r>
      <w:r>
        <w:rPr>
          <w:rFonts w:ascii="Times New Roman" w:hAnsi="Times New Roman"/>
          <w:sz w:val="28"/>
        </w:rPr>
        <w:t>полняет важную социально-экономическую роль, обеспечивая необходимую транспортную доступность и осуществление функции географической связности районов Камчатского края, является важнейшей составляющей пассажирской транспортной системы. Из-за неразвитой сет</w:t>
      </w:r>
      <w:r>
        <w:rPr>
          <w:rFonts w:ascii="Times New Roman" w:hAnsi="Times New Roman"/>
          <w:sz w:val="28"/>
        </w:rPr>
        <w:t>и автомобильных дорог Камчатского края и отсутствия линий морских пассажирских перевозок, для жителей многих труднодоступных населенных пунктов края авиация является единственным средством транспорта, позволяющим добраться до районного или краевого центра.</w:t>
      </w:r>
    </w:p>
    <w:p w14:paraId="0904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учитывая сложный горный рельеф местности, большую удаленность и разрозненность населенных пунктов Камчатского края друг от друга и от краевого центра, трудно найти альтернативу воздушному транспорту.</w:t>
      </w:r>
    </w:p>
    <w:p w14:paraId="0A04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39. Авиатранспортная система Камчатского региона состоит из аэро</w:t>
      </w:r>
      <w:r>
        <w:rPr>
          <w:rFonts w:ascii="Times New Roman" w:hAnsi="Times New Roman"/>
          <w:sz w:val="28"/>
        </w:rPr>
        <w:t xml:space="preserve">порта «Петропавловск-Камчатский» и сети аэропортов местных воздушных линий, расположенных в населенных пунктах края. На содержании в подведомственных Министерству здравоохранения Камчатского края учреждениях здравоохранения вертолетных площадок не имеется. </w:t>
      </w:r>
    </w:p>
    <w:tbl>
      <w:tblPr>
        <w:tblStyle w:val="Style_3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8"/>
        <w:gridCol w:w="1968"/>
        <w:gridCol w:w="3671"/>
        <w:gridCol w:w="1445"/>
        <w:gridCol w:w="1986"/>
      </w:tblGrid>
      <w:tr>
        <w:trPr>
          <w:tblHeader/>
        </w:trP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 xml:space="preserve">№ </w:t>
            </w: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Наименование аэропорта, координаты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Принимаемые воздушные суда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Размер воздушного поля / покрытие /</w:t>
            </w:r>
          </w:p>
          <w:p w14:paraId="0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класс ВВП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Удаленность от населенного пункта</w:t>
            </w:r>
          </w:p>
        </w:tc>
      </w:tr>
      <w:tr>
        <w:trPr>
          <w:tblHeader/>
        </w:trP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</w:tr>
      <w:tr>
        <w:tc>
          <w:tcPr>
            <w:tcW w:type="dxa" w:w="963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Елизовский муниципальный округ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Международный аэропорт «Петропавловск-Камчатский» (Елизово)</w:t>
            </w:r>
          </w:p>
          <w:p w14:paraId="1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53° 10' сш,</w:t>
            </w:r>
          </w:p>
          <w:p w14:paraId="1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158° 27'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А-310 (все), А-319 и его модификации, А-320 и его модификации, МД-81, Б-757,</w:t>
            </w:r>
          </w:p>
          <w:p w14:paraId="1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Б-747-100, 200, 400,</w:t>
            </w:r>
          </w:p>
          <w:p w14:paraId="1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Б-737-200, 500, 800, 900. </w:t>
            </w:r>
          </w:p>
          <w:p w14:paraId="1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Б-727, Б-767 и его модификации, </w:t>
            </w:r>
          </w:p>
          <w:p w14:paraId="1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Ан-124, Ан 124-100,  </w:t>
            </w:r>
          </w:p>
          <w:p w14:paraId="2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Ан-74,  Ан-12, Ан-140, Ил-96-300, Ил-86, Ил-76, Ил-62,  Ил-18, Ту-154, Ту-134, Ту-204(все), Ту-214, Як-42 (все модификации),  Як-40 и  другие типы ВС 3-4 классов, вертолеты всех типов, зимой и летом, днем и ночью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3400х60м,  железобетон «А», (горный)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 км от Петропавловск-Камчатского,</w:t>
            </w:r>
          </w:p>
          <w:p w14:paraId="2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 км от г.Елизово</w:t>
            </w:r>
          </w:p>
        </w:tc>
      </w:tr>
      <w:tr>
        <w:tc>
          <w:tcPr>
            <w:tcW w:type="dxa" w:w="963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Усть-Камчатский муниципальный округ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Аэропорт МВЛ «Усть-Камчатск»</w:t>
            </w:r>
          </w:p>
          <w:p w14:paraId="2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56° 14' сш,</w:t>
            </w:r>
          </w:p>
          <w:p w14:paraId="2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162° 41'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Як-40, Л-410</w:t>
            </w:r>
          </w:p>
          <w:p w14:paraId="2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Ан-2,</w:t>
            </w:r>
          </w:p>
          <w:p w14:paraId="2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Ан-26,</w:t>
            </w:r>
          </w:p>
          <w:p w14:paraId="2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Ан-28  </w:t>
            </w:r>
          </w:p>
          <w:p w14:paraId="2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Вертолеты Ми-8, Ми-2, </w:t>
            </w:r>
          </w:p>
          <w:p w14:paraId="2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летом, зимой, 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1300х35м, асфальтобетон, «Д»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2,5 км от села</w:t>
            </w:r>
          </w:p>
        </w:tc>
      </w:tr>
      <w:tr>
        <w:tc>
          <w:tcPr>
            <w:tcW w:type="dxa" w:w="963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Соболевский муниципальный округ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Аэропорт МВЛ  «Соболево» </w:t>
            </w:r>
          </w:p>
          <w:p w14:paraId="3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54° 18' сш,</w:t>
            </w:r>
          </w:p>
          <w:p w14:paraId="3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155° 58' вд  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Ан-26, Ан-28, Як-40, Л-410, Ан-2, вертолеты всех типов, летом, зимой, 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1500х75м, грунтовое, </w:t>
            </w:r>
          </w:p>
          <w:p w14:paraId="3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«Д»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1,5 км от села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Аэропорт МВЛ «Озерная»</w:t>
            </w:r>
          </w:p>
          <w:p w14:paraId="3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51° 29' сш,</w:t>
            </w:r>
          </w:p>
          <w:p w14:paraId="3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156° 32'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Як-40, Л-410</w:t>
            </w:r>
          </w:p>
          <w:p w14:paraId="3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Ан-2,Ан-28 вертолеты всех типов, летом, зимой, 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1240х60м, грунтовое (супесь),</w:t>
            </w:r>
          </w:p>
          <w:p w14:paraId="4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«Д»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 км от села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Аэропорт  МВЛ  «Никольское»</w:t>
            </w:r>
          </w:p>
          <w:p w14:paraId="4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55° 10' сш,</w:t>
            </w:r>
          </w:p>
          <w:p w14:paraId="4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166° 02'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Л-410  </w:t>
            </w:r>
          </w:p>
          <w:p w14:paraId="4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Ан-28, вертолеты всех</w:t>
            </w:r>
          </w:p>
          <w:p w14:paraId="4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типов зимой, летом,</w:t>
            </w:r>
          </w:p>
          <w:p w14:paraId="4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900х21м,</w:t>
            </w:r>
          </w:p>
          <w:p w14:paraId="4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грунтовое (грунтощебень),</w:t>
            </w:r>
          </w:p>
          <w:p w14:paraId="4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«Е»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 км от села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Аэропорт  МВЛ «Мильково»  </w:t>
            </w:r>
          </w:p>
          <w:p w14:paraId="5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54° 40' сш,</w:t>
            </w:r>
          </w:p>
          <w:p w14:paraId="5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158° 32'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Ан-74, Як-40, Як-40К,  Ан-26, Ан-26Б-100,   Л-410, Ан-2  и вертолеты всех типов, зимой, летом, днём, ночью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1500х40м, грунтовое,</w:t>
            </w:r>
          </w:p>
          <w:p w14:paraId="5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«Г»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 км от села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Аэропорт </w:t>
            </w: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(вертодром)-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филиал МВЛ «Эссо»</w:t>
            </w:r>
          </w:p>
          <w:p w14:paraId="5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55° 56' сш,</w:t>
            </w:r>
          </w:p>
          <w:p w14:paraId="5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158° 42'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МИ-8П, МИ-8Т, МИ-8МТВ, МИ-2 без ограничений, круглый год, днём.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420х50м., Грунтовое, Не классифицирован 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0,6 км от посёлка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Аэропорт-филиал МВЛ «Манилы» 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Ан-28,</w:t>
            </w:r>
          </w:p>
          <w:p w14:paraId="6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Ан-2 , вертолеты </w:t>
            </w:r>
          </w:p>
          <w:p w14:paraId="6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Ми-8 летом, зимой, днем 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650х60м., грунтовое </w:t>
            </w:r>
          </w:p>
          <w:p w14:paraId="6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«Е»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посёлке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9.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Аэропорт-филиал МВЛ «Оссора»</w:t>
            </w:r>
          </w:p>
          <w:p w14:paraId="6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59° 13' сш,</w:t>
            </w:r>
          </w:p>
          <w:p w14:paraId="6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163° 03'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Ан-74, Ан-26, Як-40, Ан-28, Л-410, Ан-2, Ан-30;  вертолеты  Ми-8 , Ми-2, летом, зимой, днем, ночью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1580х32м асфальтобетон «Г»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посёлке</w:t>
            </w:r>
          </w:p>
        </w:tc>
      </w:tr>
      <w:tr>
        <w:tc>
          <w:tcPr>
            <w:tcW w:type="dxa" w:w="5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</w:t>
            </w:r>
          </w:p>
        </w:tc>
        <w:tc>
          <w:tcPr>
            <w:tcW w:type="dxa" w:w="19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Аэропорт-филиал МВЛ  «Палана»</w:t>
            </w:r>
          </w:p>
          <w:p w14:paraId="6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59° 04' сш,</w:t>
            </w:r>
          </w:p>
          <w:p w14:paraId="7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159° 53'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Ан-2, Ан-28, вертолеты</w:t>
            </w:r>
          </w:p>
          <w:p w14:paraId="7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 летом и зимой, 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650х28м. бетон «Е»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посёлке</w:t>
            </w:r>
          </w:p>
        </w:tc>
      </w:tr>
      <w:tr>
        <w:tc>
          <w:tcPr>
            <w:tcW w:type="dxa" w:w="5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9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Ан-74, Ан-26, Як-40, Л-410 зимой, днём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1900×75, уплотнённый снег, на зимний </w:t>
            </w:r>
          </w:p>
          <w:p w14:paraId="7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период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18 км от поселка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аэропорт-филиал МВЛ «Тигиль»</w:t>
            </w:r>
          </w:p>
          <w:p w14:paraId="7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57° 47' сш,</w:t>
            </w:r>
          </w:p>
          <w:p w14:paraId="7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158° 44'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Ан-74, Як-40, Ан-28, Ан-26,Ан-30,</w:t>
            </w:r>
          </w:p>
          <w:p w14:paraId="7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Л-410, В1900D, САSA212-200,</w:t>
            </w:r>
          </w:p>
          <w:p w14:paraId="7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Ан-2, вертолеты всех типов летом, зимой, 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1790х75м. (возможно удлинение до 2000м) Грунтовое (суглинок) «Г»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посёлке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Региональный аэропорт «Тиличики»</w:t>
            </w:r>
          </w:p>
          <w:p w14:paraId="84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60° 23' сш,</w:t>
            </w:r>
          </w:p>
          <w:p w14:paraId="85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166° 01'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Ан-74; Ан-30; Ан-28,  Ан-2, Л-410; Як-40; вертолеты Ми-8 Ми-2  круглый год, 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1380х28м.  экспл650х28м асфальтобетон «Г»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посёлке</w:t>
            </w:r>
          </w:p>
        </w:tc>
      </w:tr>
      <w:tr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</w:t>
            </w:r>
          </w:p>
        </w:tc>
        <w:tc>
          <w:tcPr>
            <w:tcW w:type="dxa" w:w="1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Усть-Хайрюзовский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аэропорт МУП «Чайка»</w:t>
            </w:r>
          </w:p>
          <w:p w14:paraId="8B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57° 06' сш,</w:t>
            </w:r>
          </w:p>
          <w:p w14:paraId="8C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156° 44' вд</w:t>
            </w:r>
          </w:p>
        </w:tc>
        <w:tc>
          <w:tcPr>
            <w:tcW w:type="dxa" w:w="36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Ан-74,</w:t>
            </w:r>
          </w:p>
          <w:p w14:paraId="8E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Ан-26,</w:t>
            </w:r>
          </w:p>
          <w:p w14:paraId="8F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Як-40, Ан-28,</w:t>
            </w:r>
          </w:p>
          <w:p w14:paraId="90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Л-410,</w:t>
            </w:r>
          </w:p>
          <w:p w14:paraId="91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Ан-2, вертолеты Ми-2; Ми-8; Ми-8МТВ летом, зимой, днем</w:t>
            </w:r>
          </w:p>
        </w:tc>
        <w:tc>
          <w:tcPr>
            <w:tcW w:type="dxa" w:w="14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1500х75м., грунтовое «Г»</w:t>
            </w:r>
          </w:p>
        </w:tc>
        <w:tc>
          <w:tcPr>
            <w:tcW w:type="dxa" w:w="1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40000">
            <w:pPr>
              <w:pStyle w:val="Style_2"/>
              <w:widowControl w:val="0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посёлке</w:t>
            </w:r>
          </w:p>
        </w:tc>
      </w:tr>
    </w:tbl>
    <w:p w14:paraId="94040000">
      <w:pPr>
        <w:pStyle w:val="Style_2"/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95040000">
      <w:pPr>
        <w:pStyle w:val="Style_2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 xml:space="preserve">40. </w:t>
      </w:r>
      <w:r>
        <w:rPr>
          <w:rFonts w:ascii="Times New Roman" w:hAnsi="Times New Roman"/>
          <w:sz w:val="28"/>
        </w:rPr>
        <w:t>Все населенные пункты Камчатского края имеют вертолетные площадки:</w:t>
      </w:r>
    </w:p>
    <w:tbl>
      <w:tblPr>
        <w:tblStyle w:val="Style_3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70"/>
        <w:gridCol w:w="1908"/>
        <w:gridCol w:w="1376"/>
        <w:gridCol w:w="1160"/>
        <w:gridCol w:w="1419"/>
        <w:gridCol w:w="1700"/>
        <w:gridCol w:w="967"/>
      </w:tblGrid>
      <w:tr>
        <w:trPr>
          <w:tblHeader/>
        </w:trP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№</w:t>
            </w:r>
          </w:p>
          <w:p w14:paraId="97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п/п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Расположение относительно ближайших населенных пунктов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Размер ВПП, материал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Нагрузка</w:t>
            </w:r>
          </w:p>
          <w:p w14:paraId="9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 ВПП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Система посадки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Типы принимаемых ВС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Запасы и вид ГСМ</w:t>
            </w:r>
          </w:p>
          <w:p w14:paraId="9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(тонн)</w:t>
            </w:r>
          </w:p>
        </w:tc>
      </w:tr>
      <w:tr>
        <w:trPr>
          <w:tblHeader/>
        </w:trP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793"/>
        </w:trP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в 350-и м восточнее поселка геологов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Бетон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на восточной окраине села Апука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25х25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13-и км юго-восточнее центра влк. Асача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25х25</w:t>
            </w:r>
          </w:p>
          <w:p w14:paraId="B8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долина реки Апука, в 300-х м северо-западнее села Ачай-Ваям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Пенжинский район, в 1-м км юго-западнее поселка Аянка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Тигильский округ,   в 300-х м севернее поселка Воямполка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 правом берегу р. Жупанова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21х17</w:t>
            </w:r>
          </w:p>
          <w:p w14:paraId="D5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верховье реки Шумная, в 10,5 км юго-западнее влк. Кихпиныч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21х21</w:t>
            </w:r>
          </w:p>
          <w:p w14:paraId="D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Брус10х10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Карагинский район, северная окраина поселка Ивашка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Галечник 30х30</w:t>
            </w:r>
          </w:p>
          <w:p w14:paraId="E5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Бетон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Карагинский район, на северо-восточной окраине села Ильпырский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Бетон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северная окраина села Ича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Мелкая галька 21х17, Галечник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Елизовский округ, в 4-х км северо-западнее мыса Калыгирь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Мелкая галька,</w:t>
            </w:r>
          </w:p>
          <w:p w14:paraId="FB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трава 21х17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4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северо-западная окраина села Тиличики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Бетон 25х25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14.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1-м км южнее устья реки Гаванка по р. Жупанова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Гравий 21х17</w:t>
            </w:r>
          </w:p>
          <w:p w14:paraId="0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15.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3-х км юго-восточнее поселка Коряки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21х17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16.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Соболевский округ,  в 600-х метрах юго-восточнее с. Крутогорово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25х25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17.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  в северной части поселка артели старателей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Гравий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18.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Тигильский округ,</w:t>
            </w:r>
          </w:p>
          <w:p w14:paraId="2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 200-и м северо-западнее поселка Лесная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Гравий 21х21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19.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Елизовский округ, 350 м восточнее туристической базы «Налычево»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21х17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на южном берегу озера Курильское, мыс Тугумынк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Гравий 25х25</w:t>
            </w:r>
          </w:p>
          <w:p w14:paraId="3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21.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исток реки Озерная, северо-западная часть оз. Курильское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21х17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22.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на террасе, в 500-х м севернее села Тиличики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Гравий 30х30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23.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Пенжинский район, в 300-х м западнее села Каменское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Бетон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24.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Усть-Большерецкий округ,</w:t>
            </w:r>
          </w:p>
          <w:p w14:paraId="5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7-и км юго-западнее сопки Вилючинская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21х17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25.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Пенжинский район, на северо-западной окраине поселка артели старателей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60х60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26.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Сахалинская область,</w:t>
            </w:r>
          </w:p>
          <w:p w14:paraId="6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остров Парамушир, северная окраина поселка Северо-Курильск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110х20, бетон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Ми-8, днем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27.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Тигильский район, на 300 м восточнее поселка Седанка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28.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Пенжинский район, в 300-х м северо-запад-нее поселка Слаутное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Суглинок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29.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Соболевский округ, в 2-х км южнее села Соболево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21х17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30.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в 400-х м юго-восточнее села Средняя Пахача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Грунт, галька,</w:t>
            </w:r>
          </w:p>
          <w:p w14:paraId="7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песок 150х50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31.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Пенжинский район, юго-восточная окраина села Таловка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Бетон 20х20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32.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верховья р. Средняя Авача, 2 км северо-</w:t>
            </w: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>западнее г.Тимоновская</w:t>
            </w: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 (отм. 1696)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Гравий 21х21</w:t>
            </w:r>
          </w:p>
          <w:p w14:paraId="8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33.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Мильковский округ, в 10-и км севернее влк. Кизимен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21х17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34.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Карагинскй район, 200 м северо-западнее н.п. Тымлат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Гравий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12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35.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кальдере влк. Узон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21х20</w:t>
            </w:r>
          </w:p>
          <w:p w14:paraId="A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36.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33-х км юго-восточнее села Крутогорово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21х20</w:t>
            </w:r>
          </w:p>
          <w:p w14:paraId="A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Бетон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37.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Олюторский район, на западной окраине села Хаилино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Суглинок 150х50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38.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 6-и км северо-западнее горы Ходутка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Грунт 21х17</w:t>
            </w:r>
          </w:p>
          <w:p w14:paraId="BB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Металл 10х10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МИ-8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  <w:tr>
        <w:trPr>
          <w:trHeight w:hRule="atLeast" w:val="1126"/>
        </w:trPr>
        <w:tc>
          <w:tcPr>
            <w:tcW w:type="dxa" w:w="5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39.</w:t>
            </w:r>
          </w:p>
        </w:tc>
        <w:tc>
          <w:tcPr>
            <w:tcW w:type="dxa" w:w="19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Елизовский округ, в 1,3 км западнее н.п. Николаевка</w:t>
            </w:r>
          </w:p>
        </w:tc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110×20, грунт - дерновый покров</w:t>
            </w:r>
          </w:p>
        </w:tc>
        <w:tc>
          <w:tcPr>
            <w:tcW w:type="dxa" w:w="11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13 т</w:t>
            </w:r>
          </w:p>
        </w:tc>
        <w:tc>
          <w:tcPr>
            <w:tcW w:type="dxa" w:w="14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Визуально</w:t>
            </w:r>
          </w:p>
        </w:tc>
        <w:tc>
          <w:tcPr>
            <w:tcW w:type="dxa" w:w="17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Ми-2, Ми-8, днем</w:t>
            </w:r>
          </w:p>
        </w:tc>
        <w:tc>
          <w:tcPr>
            <w:tcW w:type="dxa" w:w="9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5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нет</w:t>
            </w:r>
          </w:p>
        </w:tc>
      </w:tr>
    </w:tbl>
    <w:p w14:paraId="C7050000">
      <w:pPr>
        <w:pStyle w:val="Style_2"/>
        <w:widowControl w:val="0"/>
        <w:spacing w:after="0" w:before="0" w:line="240" w:lineRule="auto"/>
        <w:ind/>
        <w:jc w:val="both"/>
        <w:rPr>
          <w:sz w:val="24"/>
        </w:rPr>
      </w:pPr>
    </w:p>
    <w:p w14:paraId="C805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2.9. Описание процесса формирования заявки на проведение санитарно-авиационной эвакуации </w:t>
      </w:r>
    </w:p>
    <w:p w14:paraId="C9050000">
      <w:pPr>
        <w:pStyle w:val="Style_2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CA05000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41. В Камчатском крае алгоритм действий для выполнения санитарно-авиационной эвакуации утвержден приказом Министерства здравоохранения Камчатского к</w:t>
      </w:r>
      <w:r>
        <w:rPr>
          <w:rFonts w:ascii="Times New Roman" w:hAnsi="Times New Roman"/>
          <w:color w:val="000000"/>
          <w:sz w:val="28"/>
        </w:rPr>
        <w:t>рая от 16.10.2026 № 21-1262</w:t>
      </w:r>
      <w:r>
        <w:rPr>
          <w:rFonts w:ascii="Times New Roman" w:hAnsi="Times New Roman"/>
          <w:color w:val="000000"/>
          <w:sz w:val="28"/>
        </w:rPr>
        <w:t xml:space="preserve"> «О совершенствовании организации оказания специализированной экстренной (санитарно-авиационной) консультативной скорой медицинской помощи населению Камчатского края» (далее – приказ Министерства от 16.10.2026 № 21-1263).</w:t>
      </w:r>
    </w:p>
    <w:p w14:paraId="CB05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42. Ежедневно</w:t>
      </w:r>
      <w:r>
        <w:rPr>
          <w:rFonts w:ascii="Times New Roman" w:hAnsi="Times New Roman"/>
          <w:sz w:val="28"/>
        </w:rPr>
        <w:t xml:space="preserve"> на базе оперативно диспетчерского отдела КГКУЗ «Камчатский территориальный центр медицины катастроф» (далее – </w:t>
      </w:r>
      <w:r>
        <w:rPr>
          <w:rFonts w:ascii="Times New Roman" w:hAnsi="Times New Roman"/>
          <w:sz w:val="28"/>
        </w:rPr>
        <w:t>КТЦМК)</w:t>
      </w:r>
      <w:r>
        <w:rPr>
          <w:rFonts w:ascii="Times New Roman" w:hAnsi="Times New Roman"/>
          <w:sz w:val="28"/>
        </w:rPr>
        <w:t xml:space="preserve"> проводится мониторинг пациентов, поступивших в медицинские организации края, с проведением анализа потребности перевода пациентов из медицинских организац</w:t>
      </w:r>
      <w:r>
        <w:rPr>
          <w:rFonts w:ascii="Times New Roman" w:hAnsi="Times New Roman"/>
          <w:sz w:val="28"/>
        </w:rPr>
        <w:t xml:space="preserve">ий 1 и 2-го уровня в больницы 3-го уровня. Заместителем директора Центра решается вопрос о необходимости привлечения авиации для транспортировки пациентов из районов в краевой центр. В случае возникновения острого состояния пациента в течении дня или ночи </w:t>
      </w:r>
      <w:r>
        <w:rPr>
          <w:rFonts w:ascii="Times New Roman" w:hAnsi="Times New Roman"/>
          <w:sz w:val="28"/>
        </w:rPr>
        <w:t xml:space="preserve">проводится консультация пациента и руководитель или его заместитель направляет письменную заявку в оперативно диспетчерский отдел </w:t>
      </w:r>
      <w:r>
        <w:rPr>
          <w:rFonts w:ascii="Times New Roman" w:hAnsi="Times New Roman"/>
          <w:color w:val="000000"/>
          <w:sz w:val="28"/>
        </w:rPr>
        <w:t>КТЦМК</w:t>
      </w:r>
      <w:r>
        <w:rPr>
          <w:rFonts w:ascii="Times New Roman" w:hAnsi="Times New Roman"/>
          <w:sz w:val="28"/>
        </w:rPr>
        <w:t>. Центром формируется заявка на выполнение санитарного задания и на</w:t>
      </w:r>
      <w:r>
        <w:rPr>
          <w:rFonts w:ascii="Times New Roman" w:hAnsi="Times New Roman"/>
          <w:sz w:val="28"/>
        </w:rPr>
        <w:t>правляется в авиационную компанию для предоставления и подготовки воздушного судна. Порядок взаимодействия Центра и авиационной компании, привлекаемой к выполнению санитарно-авиационной эвакуации, регламентируется в контрактах, заключаемых в рамках Федерал</w:t>
      </w:r>
      <w:r>
        <w:rPr>
          <w:rFonts w:ascii="Times New Roman" w:hAnsi="Times New Roman"/>
          <w:sz w:val="28"/>
        </w:rPr>
        <w:t>ьного закона о контрактной системе. Условием для выполнения санитарного задания является подготовка воздушного судна к вылету в течении 30 минут летом и 60 минут зимой. Данная функция не интегрирована в систему управления службой скорой медицинской помощи.</w:t>
      </w:r>
    </w:p>
    <w:p w14:paraId="CC05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b w:val="0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>43. Типы выполняемых санитарно-авиационных эвакуаций:</w:t>
      </w:r>
    </w:p>
    <w:p w14:paraId="CD05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разработанного положения о выполнении санитарно-авиационной медицинской эвакуации, утвержденного приказом Ми</w:t>
      </w:r>
      <w:r>
        <w:rPr>
          <w:rFonts w:ascii="Times New Roman" w:hAnsi="Times New Roman"/>
          <w:color w:val="000000"/>
          <w:sz w:val="28"/>
        </w:rPr>
        <w:t>нистерства</w:t>
      </w:r>
      <w:r>
        <w:rPr>
          <w:rFonts w:ascii="Times New Roman" w:hAnsi="Times New Roman"/>
          <w:color w:val="000000"/>
          <w:sz w:val="28"/>
        </w:rPr>
        <w:t xml:space="preserve"> от 16.10.2026 № 21-1263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sz w:val="28"/>
        </w:rPr>
        <w:t xml:space="preserve"> медицинская эвакуация с использованием воздушных судов выполняется для пациентов Камчатского края только при острых состояниях.</w:t>
      </w:r>
    </w:p>
    <w:p w14:paraId="CE05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Доля межгоспитальных эвакуаций (из медицинских организаций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1 и 2-го типа в медицинские организации 2-го и 3-го типа) составляет в среднем </w:t>
      </w:r>
      <w:r>
        <w:rPr>
          <w:rFonts w:ascii="Times New Roman" w:hAnsi="Times New Roman"/>
          <w:sz w:val="28"/>
        </w:rPr>
        <w:t>79 процентов.</w:t>
      </w:r>
    </w:p>
    <w:p w14:paraId="CF05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нозологическим формам медицинская эвакуации практически ежегодно сохраняется стабильной:</w:t>
      </w:r>
    </w:p>
    <w:tbl>
      <w:tblPr>
        <w:tblStyle w:val="Style_3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37"/>
        <w:gridCol w:w="5415"/>
        <w:gridCol w:w="2361"/>
      </w:tblGrid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№ </w:t>
            </w:r>
          </w:p>
          <w:p w14:paraId="D1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п/п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Нозологические группы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Процент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Сердечно сосудистые заболевания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33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Травматология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8-10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 xml:space="preserve">Педиатрия+ неонатология 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10-12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Хирургия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10-12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Акушерство-гинекология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7-9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Пульмонология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2-3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Заболевания желудочно-кишечного тракта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10-12</w:t>
            </w:r>
          </w:p>
        </w:tc>
      </w:tr>
      <w:tr>
        <w:tc>
          <w:tcPr>
            <w:tcW w:type="dxa" w:w="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5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Прочие (офтальмология, ЧЛХ, психиатрия, инфекция, токсикология, эндокринология)</w:t>
            </w:r>
          </w:p>
        </w:tc>
        <w:tc>
          <w:tcPr>
            <w:tcW w:type="dxa" w:w="2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5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5-6</w:t>
            </w:r>
          </w:p>
        </w:tc>
      </w:tr>
    </w:tbl>
    <w:p w14:paraId="EF050000">
      <w:pPr>
        <w:pStyle w:val="Style_2"/>
        <w:spacing w:after="0" w:before="0" w:line="240" w:lineRule="auto"/>
        <w:ind w:firstLine="851" w:left="0" w:right="0"/>
        <w:jc w:val="both"/>
        <w:rPr>
          <w:rFonts w:ascii="Times New Roman" w:hAnsi="Times New Roman"/>
          <w:b w:val="1"/>
          <w:sz w:val="28"/>
        </w:rPr>
      </w:pPr>
    </w:p>
    <w:p w14:paraId="F005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44. Информация о реализации мероприятия по обеспечению оказания экстренной медицинской помощи пациентам с применением санитарной авиации </w:t>
      </w:r>
      <w:r>
        <w:rPr>
          <w:rFonts w:ascii="Times New Roman" w:hAnsi="Times New Roman"/>
          <w:b w:val="0"/>
          <w:color w:val="000000"/>
          <w:sz w:val="28"/>
        </w:rPr>
        <w:t>представлена согласно приложению к настоящей Стратегии.</w:t>
      </w:r>
    </w:p>
    <w:p w14:paraId="F1050000">
      <w:pPr>
        <w:pStyle w:val="Style_2"/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shd w:fill="FFE779" w:val="clear"/>
        </w:rPr>
      </w:pPr>
    </w:p>
    <w:p w14:paraId="F2050000">
      <w:pPr>
        <w:pStyle w:val="Style_2"/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3.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Цели, задачи и приоритетные направления реализации Стратегии</w:t>
      </w:r>
    </w:p>
    <w:p w14:paraId="F3050000">
      <w:pPr>
        <w:pStyle w:val="Style_2"/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F405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1"/>
          <w:sz w:val="28"/>
        </w:rPr>
      </w:pPr>
      <w:r>
        <w:rPr>
          <w:rFonts w:ascii="Times New Roman" w:hAnsi="Times New Roman"/>
          <w:sz w:val="28"/>
        </w:rPr>
        <w:t>45. Развитие системы оказания скорой медицинской помощи с использованием санитарной авиации в Камчатском крае на основе единой службы скорой медицинской помощи и медицины катастроф в трёхуровневой системе оказания медицинской помощи в экстренной форм</w:t>
      </w:r>
      <w:r>
        <w:rPr>
          <w:rFonts w:ascii="Times New Roman" w:hAnsi="Times New Roman"/>
          <w:b w:val="0"/>
          <w:i w:val="0"/>
          <w:sz w:val="28"/>
        </w:rPr>
        <w:t>е</w:t>
      </w:r>
      <w:r>
        <w:rPr>
          <w:rFonts w:ascii="Times New Roman" w:hAnsi="Times New Roman"/>
          <w:b w:val="0"/>
          <w:i w:val="0"/>
          <w:sz w:val="28"/>
        </w:rPr>
        <w:t>:</w:t>
      </w:r>
    </w:p>
    <w:p w14:paraId="F5050000">
      <w:pPr>
        <w:pStyle w:val="Style_2"/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tbl>
      <w:tblPr>
        <w:tblStyle w:val="Style_3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448"/>
        <w:gridCol w:w="981"/>
        <w:gridCol w:w="979"/>
        <w:gridCol w:w="948"/>
        <w:gridCol w:w="1021"/>
        <w:gridCol w:w="990"/>
        <w:gridCol w:w="988"/>
      </w:tblGrid>
      <w:tr>
        <w:trPr>
          <w:trHeight w:hRule="atLeast" w:val="200"/>
        </w:trPr>
        <w:tc>
          <w:tcPr>
            <w:tcW w:type="dxa" w:w="34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90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6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Период, год</w:t>
            </w:r>
          </w:p>
        </w:tc>
      </w:tr>
      <w:tr>
        <w:trPr>
          <w:trHeight w:hRule="atLeast" w:val="360"/>
        </w:trPr>
        <w:tc>
          <w:tcPr>
            <w:tcW w:type="dxa" w:w="34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7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2025</w:t>
            </w: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8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2026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9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2027</w:t>
            </w:r>
          </w:p>
        </w:tc>
        <w:tc>
          <w:tcPr>
            <w:tcW w:type="dxa" w:w="10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A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2028</w:t>
            </w:r>
          </w:p>
        </w:tc>
        <w:tc>
          <w:tcPr>
            <w:tcW w:type="dxa" w:w="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B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2029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C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2030</w:t>
            </w:r>
          </w:p>
        </w:tc>
      </w:tr>
      <w:tr>
        <w:trPr>
          <w:trHeight w:hRule="atLeast" w:val="360"/>
        </w:trPr>
        <w:tc>
          <w:tcPr>
            <w:tcW w:type="dxa" w:w="3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D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E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FF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10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360"/>
        </w:trPr>
        <w:tc>
          <w:tcPr>
            <w:tcW w:type="dxa" w:w="3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Число лиц (пациентов), дополнительно эвакуированных с использованием санитарной авиации (ежегодно, человек)</w:t>
            </w:r>
          </w:p>
        </w:tc>
        <w:tc>
          <w:tcPr>
            <w:tcW w:type="dxa" w:w="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5</w:t>
            </w: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71</w:t>
            </w: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614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616</w:t>
            </w:r>
          </w:p>
        </w:tc>
        <w:tc>
          <w:tcPr>
            <w:tcW w:type="dxa" w:w="10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618</w:t>
            </w:r>
          </w:p>
        </w:tc>
        <w:tc>
          <w:tcPr>
            <w:tcW w:type="dxa" w:w="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620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622</w:t>
            </w:r>
          </w:p>
        </w:tc>
      </w:tr>
      <w:tr>
        <w:trPr>
          <w:trHeight w:hRule="atLeast" w:val="360"/>
        </w:trPr>
        <w:tc>
          <w:tcPr>
            <w:tcW w:type="dxa" w:w="34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B06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Доля лиц, госпитализированных по экстренным показаниям в течение первых суток от общего числа больных, к которым совершены вылеты (%)</w:t>
            </w:r>
          </w:p>
        </w:tc>
        <w:tc>
          <w:tcPr>
            <w:tcW w:type="dxa" w:w="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</w:t>
            </w:r>
          </w:p>
        </w:tc>
        <w:tc>
          <w:tcPr>
            <w:tcW w:type="dxa" w:w="9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</w:t>
            </w:r>
          </w:p>
        </w:tc>
        <w:tc>
          <w:tcPr>
            <w:tcW w:type="dxa" w:w="9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</w:t>
            </w:r>
          </w:p>
        </w:tc>
        <w:tc>
          <w:tcPr>
            <w:tcW w:type="dxa" w:w="10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0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</w:t>
            </w:r>
          </w:p>
        </w:tc>
        <w:tc>
          <w:tcPr>
            <w:tcW w:type="dxa" w:w="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28"/>
              <w:bottom w:type="dxa" w:w="0"/>
              <w:right w:type="dxa" w:w="28"/>
            </w:tcMar>
            <w:vAlign w:val="center"/>
          </w:tcPr>
          <w:p w14:paraId="1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pacing w:val="0"/>
                <w:sz w:val="24"/>
              </w:rPr>
              <w:t>90</w:t>
            </w:r>
          </w:p>
        </w:tc>
      </w:tr>
    </w:tbl>
    <w:p w14:paraId="12060000">
      <w:pPr>
        <w:pStyle w:val="Style_2"/>
        <w:spacing w:after="0" w:before="0" w:line="240" w:lineRule="auto"/>
        <w:ind w:firstLine="851" w:left="0" w:right="0"/>
        <w:jc w:val="both"/>
        <w:rPr>
          <w:rFonts w:ascii="Times New Roman" w:hAnsi="Times New Roman"/>
          <w:sz w:val="28"/>
        </w:rPr>
      </w:pPr>
    </w:p>
    <w:p w14:paraId="13060000">
      <w:pPr>
        <w:pStyle w:val="Style_2"/>
        <w:spacing w:after="0" w:before="0" w:line="276" w:lineRule="auto"/>
        <w:ind w:firstLine="709" w:left="0" w:right="0"/>
        <w:jc w:val="both"/>
        <w:rPr>
          <w:rFonts w:ascii="Times New Roman" w:hAnsi="Times New Roman"/>
          <w:b w:val="0"/>
          <w:i w:val="1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46. Целевые показатели </w:t>
      </w:r>
      <w:r>
        <w:rPr>
          <w:rFonts w:ascii="Times New Roman" w:hAnsi="Times New Roman"/>
          <w:b w:val="0"/>
          <w:sz w:val="28"/>
        </w:rPr>
        <w:t>реализации Стратегии</w:t>
      </w:r>
      <w:r>
        <w:rPr>
          <w:rFonts w:ascii="Times New Roman" w:hAnsi="Times New Roman"/>
          <w:b w:val="0"/>
          <w:i w:val="0"/>
          <w:sz w:val="28"/>
        </w:rPr>
        <w:t>:</w:t>
      </w:r>
    </w:p>
    <w:p w14:paraId="14060000">
      <w:pPr>
        <w:pStyle w:val="Style_2"/>
        <w:spacing w:after="0" w:before="0" w:line="240" w:lineRule="auto"/>
        <w:ind w:firstLine="709" w:left="0" w:right="0"/>
        <w:jc w:val="both"/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b w:val="0"/>
          <w:sz w:val="28"/>
        </w:rPr>
        <w:t xml:space="preserve"> ч</w:t>
      </w:r>
      <w:r>
        <w:rPr>
          <w:rFonts w:ascii="Times New Roman" w:hAnsi="Times New Roman"/>
          <w:sz w:val="28"/>
        </w:rPr>
        <w:t>исло лиц (пациентов), дополнительно эвакуированных с использованием санитарной авиации (ежегодно, человек) не менее 622 к 2030 году.</w:t>
      </w:r>
    </w:p>
    <w:p w14:paraId="15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b w:val="0"/>
          <w:sz w:val="28"/>
        </w:rPr>
        <w:t>) д</w:t>
      </w:r>
      <w:r>
        <w:rPr>
          <w:rFonts w:ascii="Times New Roman" w:hAnsi="Times New Roman"/>
          <w:sz w:val="28"/>
        </w:rPr>
        <w:t>оля лиц, госпитализированных по экстренным показаниям в течение первых суток от общего числа больных, к которым совершены выле</w:t>
      </w:r>
      <w:r>
        <w:rPr>
          <w:rFonts w:ascii="Times New Roman" w:hAnsi="Times New Roman"/>
          <w:b w:val="0"/>
          <w:sz w:val="28"/>
        </w:rPr>
        <w:t>ты на уровне 90 процента.</w:t>
      </w:r>
    </w:p>
    <w:p w14:paraId="16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0"/>
          <w:i w:val="0"/>
          <w:sz w:val="28"/>
        </w:rPr>
        <w:t xml:space="preserve">47. Задачи </w:t>
      </w:r>
      <w:r>
        <w:rPr>
          <w:rFonts w:ascii="Times New Roman" w:hAnsi="Times New Roman"/>
          <w:b w:val="0"/>
          <w:sz w:val="28"/>
        </w:rPr>
        <w:t>реализации Стратегии:</w:t>
      </w:r>
    </w:p>
    <w:p w14:paraId="17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ф</w:t>
      </w:r>
      <w:r>
        <w:rPr>
          <w:rFonts w:ascii="Times New Roman" w:hAnsi="Times New Roman"/>
          <w:sz w:val="28"/>
        </w:rPr>
        <w:t>ормирование регионального центра скорой медицинской помощи;</w:t>
      </w:r>
    </w:p>
    <w:p w14:paraId="18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b w:val="0"/>
          <w:sz w:val="28"/>
        </w:rPr>
        <w:t>) с</w:t>
      </w:r>
      <w:r>
        <w:rPr>
          <w:rFonts w:ascii="Times New Roman" w:hAnsi="Times New Roman"/>
          <w:sz w:val="28"/>
        </w:rPr>
        <w:t>оздание единой региональной системы диспетчеризации скорой медицинской помощи;</w:t>
      </w:r>
    </w:p>
    <w:p w14:paraId="19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формирование динамической маршрутизации, учитывающей актуальное состояние и мощности системы здравоохранения Камчатского края;</w:t>
      </w:r>
    </w:p>
    <w:p w14:paraId="1A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4) в</w:t>
      </w:r>
      <w:r>
        <w:rPr>
          <w:rFonts w:ascii="Times New Roman" w:hAnsi="Times New Roman"/>
          <w:sz w:val="28"/>
        </w:rPr>
        <w:t>ыполнение не менее 370 вылетов в год в Камчатском крае дополнительно к вылетам, выполняемым за счет бюджетов субъектов Российской Федерации к концу 2030 года;</w:t>
      </w:r>
    </w:p>
    <w:p w14:paraId="1B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ф</w:t>
      </w:r>
      <w:r>
        <w:rPr>
          <w:rFonts w:ascii="Times New Roman" w:hAnsi="Times New Roman"/>
          <w:sz w:val="28"/>
        </w:rPr>
        <w:t>ормирование округов.</w:t>
      </w:r>
    </w:p>
    <w:p w14:paraId="1C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48.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Мероприятия по развитию санитарной авиации на период до 2030 года:</w:t>
      </w:r>
    </w:p>
    <w:p w14:paraId="1D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1) ф</w:t>
      </w:r>
      <w:r>
        <w:rPr>
          <w:rFonts w:ascii="Times New Roman" w:hAnsi="Times New Roman"/>
          <w:sz w:val="28"/>
        </w:rPr>
        <w:t>ормирование динамической маршрутизации пациентов, эвакуируемых в том числе с использованием санитарной авиации, включая как медицинские организации третьего уровня, так и межрайонные центры второго уровня;</w:t>
      </w:r>
    </w:p>
    <w:p w14:paraId="1E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2) оценка объема годовой потребности субъекта Российской Федерации в санитарно-авиационных эвакуациях</w:t>
      </w:r>
      <w:r>
        <w:rPr>
          <w:rFonts w:ascii="Times New Roman" w:hAnsi="Times New Roman"/>
          <w:b w:val="0"/>
          <w:sz w:val="28"/>
        </w:rPr>
        <w:t>;</w:t>
      </w:r>
    </w:p>
    <w:p w14:paraId="1F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3) о</w:t>
      </w:r>
      <w:r>
        <w:rPr>
          <w:rFonts w:ascii="Times New Roman" w:hAnsi="Times New Roman"/>
          <w:sz w:val="28"/>
        </w:rPr>
        <w:t>ценка дополнительной потребности в кадрах для работы санитарной авиации, включая оценку числа физических лиц, которых дополнительно необходимо направить на обучение по направлению подготовки авиамедицинских бригад;</w:t>
      </w:r>
    </w:p>
    <w:p w14:paraId="20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4)</w:t>
      </w:r>
      <w:r>
        <w:rPr>
          <w:rFonts w:ascii="Times New Roman" w:hAnsi="Times New Roman"/>
          <w:b w:val="0"/>
          <w:sz w:val="28"/>
        </w:rPr>
        <w:t xml:space="preserve"> о</w:t>
      </w:r>
      <w:r>
        <w:rPr>
          <w:rFonts w:ascii="Times New Roman" w:hAnsi="Times New Roman"/>
          <w:sz w:val="28"/>
        </w:rPr>
        <w:t>ценка количества необходимых точек базирования воздушных судов (самолетов, вертолетов), используемых на территории Камчатского края, с целью обеспечения потребности в санитарно-авиационной эвакуации на всей территории</w:t>
      </w:r>
      <w:r>
        <w:rPr>
          <w:rFonts w:ascii="Times New Roman" w:hAnsi="Times New Roman"/>
          <w:b w:val="0"/>
          <w:sz w:val="28"/>
        </w:rPr>
        <w:t>;</w:t>
      </w:r>
    </w:p>
    <w:p w14:paraId="21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5) c</w:t>
      </w:r>
      <w:r>
        <w:rPr>
          <w:rFonts w:ascii="Times New Roman" w:hAnsi="Times New Roman"/>
          <w:sz w:val="28"/>
        </w:rPr>
        <w:t>тратегическое планирование организации медицинской помощи с формированием медицинских округов, учитывая особенности распределения населения, объединяющих несколько районов Камчатского края</w:t>
      </w:r>
      <w:r>
        <w:rPr>
          <w:rFonts w:ascii="Times New Roman" w:hAnsi="Times New Roman"/>
          <w:b w:val="0"/>
          <w:sz w:val="28"/>
        </w:rPr>
        <w:t>;</w:t>
      </w:r>
    </w:p>
    <w:p w14:paraId="22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6) р</w:t>
      </w:r>
      <w:r>
        <w:rPr>
          <w:rFonts w:ascii="Times New Roman" w:hAnsi="Times New Roman"/>
          <w:sz w:val="28"/>
        </w:rPr>
        <w:t>азработка плана по ст</w:t>
      </w:r>
      <w:r>
        <w:rPr>
          <w:rFonts w:ascii="Times New Roman" w:hAnsi="Times New Roman"/>
          <w:sz w:val="28"/>
        </w:rPr>
        <w:t xml:space="preserve">роительству/реконструкции вертолетных (посадочных) площадок при медицинских организациях, в первую очередь при медицинских организациях второго и третьего уровня по трехуровневой системе здравоохранения, или в непосредственной близости от них до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2030 года;</w:t>
      </w:r>
    </w:p>
    <w:p w14:paraId="23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7)</w:t>
      </w:r>
      <w:r>
        <w:rPr>
          <w:rFonts w:ascii="Times New Roman" w:hAnsi="Times New Roman"/>
          <w:b w:val="0"/>
          <w:sz w:val="28"/>
        </w:rPr>
        <w:t xml:space="preserve"> с</w:t>
      </w:r>
      <w:r>
        <w:rPr>
          <w:rFonts w:ascii="Times New Roman" w:hAnsi="Times New Roman"/>
          <w:sz w:val="28"/>
        </w:rPr>
        <w:t>оздание учебно-методического центра по обучению населения оказанию «Первой помощи», на базе КТЦМК</w:t>
      </w:r>
      <w:r>
        <w:rPr>
          <w:rFonts w:ascii="Times New Roman" w:hAnsi="Times New Roman"/>
          <w:b w:val="0"/>
          <w:sz w:val="28"/>
        </w:rPr>
        <w:t>;</w:t>
      </w:r>
    </w:p>
    <w:p w14:paraId="24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8) создание филиала КТЦМК в п. Оссора.</w:t>
      </w:r>
    </w:p>
    <w:p w14:paraId="25060000">
      <w:pPr>
        <w:pStyle w:val="Style_2"/>
        <w:spacing w:after="0" w:before="0" w:line="240" w:lineRule="auto"/>
        <w:ind w:firstLine="851" w:left="0" w:right="0"/>
        <w:jc w:val="both"/>
        <w:rPr>
          <w:rFonts w:ascii="Times New Roman" w:hAnsi="Times New Roman"/>
          <w:sz w:val="28"/>
        </w:rPr>
      </w:pPr>
    </w:p>
    <w:p w14:paraId="26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27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28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9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2A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2B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C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2D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2E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F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0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1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2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3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4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5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6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7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8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9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A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B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C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D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3E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3F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40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106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42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tbl>
      <w:tblPr>
        <w:tblStyle w:val="Style_4"/>
        <w:tblW w:type="auto" w:w="0"/>
        <w:tblLayout w:type="fixed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3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4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5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6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706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к Стратегии 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8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9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A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B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C06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совершенствования экстренной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D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E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4F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0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106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медицинской помощи с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2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3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4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5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606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использованием воздушных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7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8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9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A060000">
            <w:pPr>
              <w:widowControl w:val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53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B060000">
            <w:pPr>
              <w:widowControl w:val="0"/>
              <w:ind w:hanging="8079" w:left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судов до 2030 годов</w:t>
            </w:r>
          </w:p>
        </w:tc>
      </w:tr>
      <w:tr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C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D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E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66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5F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8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0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6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1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2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63060000">
            <w:pPr>
              <w:spacing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6406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p w14:paraId="65060000">
      <w:pPr>
        <w:pStyle w:val="Style_2"/>
        <w:spacing w:after="0" w:before="0" w:line="240" w:lineRule="auto"/>
        <w:ind w:firstLine="708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Основные показатели деятельности санитарной авиации </w:t>
      </w:r>
    </w:p>
    <w:p w14:paraId="66060000">
      <w:pPr>
        <w:pStyle w:val="Style_2"/>
        <w:spacing w:after="0" w:before="0" w:line="240" w:lineRule="auto"/>
        <w:ind w:firstLine="708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Камчатском крае</w:t>
      </w:r>
    </w:p>
    <w:p w14:paraId="6706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8"/>
        </w:rPr>
      </w:pPr>
    </w:p>
    <w:p w14:paraId="68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1. Оказание экстренной медицинско</w:t>
      </w:r>
      <w:r>
        <w:rPr>
          <w:rFonts w:ascii="Times New Roman" w:hAnsi="Times New Roman"/>
          <w:color w:val="000000"/>
          <w:sz w:val="28"/>
        </w:rPr>
        <w:t xml:space="preserve">й помощи гражданам, проживающим в труднодоступных районах Камчатского края с использованием воздушного судна, организовано в краевом государственном казенном учреждении здравоохранения «Камчатский территориальный центр медицины катастроф» (далее – КТЦМК). </w:t>
      </w:r>
    </w:p>
    <w:p w14:paraId="69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 Служба санитарной авиации в Камчатском крае </w:t>
      </w:r>
      <w:r>
        <w:rPr>
          <w:rFonts w:ascii="Times New Roman" w:hAnsi="Times New Roman"/>
          <w:color w:val="000000"/>
          <w:sz w:val="28"/>
        </w:rPr>
        <w:t xml:space="preserve">создана с 1958 года. В 2006 году путем создания юридического лица было выделено в отдельную организацию </w:t>
      </w:r>
      <w:r>
        <w:rPr>
          <w:rFonts w:ascii="Times New Roman" w:hAnsi="Times New Roman"/>
          <w:color w:val="000000"/>
          <w:sz w:val="28"/>
        </w:rPr>
        <w:t>КТЦМК</w:t>
      </w:r>
      <w:r>
        <w:rPr>
          <w:rFonts w:ascii="Times New Roman" w:hAnsi="Times New Roman"/>
          <w:color w:val="000000"/>
          <w:sz w:val="28"/>
        </w:rPr>
        <w:t>, в структуру которого входит отделение экстренной консультативной скорой медицинской помощи.</w:t>
      </w:r>
    </w:p>
    <w:p w14:paraId="6A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Отделение предназначено для оказания экстренной консультативной ме</w:t>
      </w:r>
      <w:r>
        <w:rPr>
          <w:rFonts w:ascii="Times New Roman" w:hAnsi="Times New Roman"/>
          <w:color w:val="000000"/>
          <w:sz w:val="28"/>
        </w:rPr>
        <w:t>дицинской помощи и медицинской эвакуации населения Камчатского края.</w:t>
      </w:r>
    </w:p>
    <w:p w14:paraId="6B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000000"/>
          <w:sz w:val="28"/>
        </w:rPr>
        <w:t>3. Полеты в ночное время: в соответствии с пунктом 473 Федеральных авиационных правил п</w:t>
      </w:r>
      <w:r>
        <w:rPr>
          <w:rFonts w:ascii="Times New Roman" w:hAnsi="Times New Roman"/>
          <w:b w:val="0"/>
          <w:sz w:val="28"/>
        </w:rPr>
        <w:t>роизводства полетов государственной авиации, утвержденных п</w:t>
      </w:r>
      <w:r>
        <w:rPr>
          <w:rFonts w:ascii="Times New Roman" w:hAnsi="Times New Roman"/>
          <w:b w:val="0"/>
          <w:sz w:val="28"/>
        </w:rPr>
        <w:t>риказом Министра обороны РФ от 24.09.2004 № 275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b w:val="0"/>
          <w:sz w:val="28"/>
        </w:rPr>
        <w:t>Внеаэродромные полеты и перелеты в СМУ по ППП разрешаются при наличии не менее одного запасного аэродрома</w:t>
      </w:r>
      <w:r>
        <w:rPr>
          <w:rFonts w:ascii="Times New Roman" w:hAnsi="Times New Roman"/>
          <w:color w:val="000000"/>
          <w:sz w:val="28"/>
        </w:rPr>
        <w:t>». В Камчатском крае таких аэродромов нет.</w:t>
      </w:r>
    </w:p>
    <w:p w14:paraId="6C060000">
      <w:pPr>
        <w:pStyle w:val="Style_2"/>
        <w:tabs>
          <w:tab w:leader="none" w:pos="708" w:val="clear"/>
          <w:tab w:leader="none" w:pos="709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4. Вылет (выезд</w:t>
      </w:r>
      <w:r>
        <w:rPr>
          <w:rFonts w:ascii="Times New Roman" w:hAnsi="Times New Roman"/>
          <w:color w:val="000000"/>
          <w:sz w:val="28"/>
        </w:rPr>
        <w:t>) врачей-специалистов, бр</w:t>
      </w:r>
      <w:r>
        <w:rPr>
          <w:rFonts w:ascii="Times New Roman" w:hAnsi="Times New Roman"/>
          <w:color w:val="000000"/>
          <w:sz w:val="28"/>
        </w:rPr>
        <w:t>игад специализированной медицинской помощи в районы края организуется и осуществляется в кратчайшие сроки. При наличии обстоятельств, препятствующих вылету (неблагоприятные метеоусловия, недостаток светлого времени для полета, запр</w:t>
      </w:r>
      <w:r>
        <w:rPr>
          <w:rFonts w:ascii="Times New Roman" w:hAnsi="Times New Roman"/>
          <w:color w:val="000000"/>
          <w:sz w:val="28"/>
        </w:rPr>
        <w:t>ет полетов и другие обстоятельства) сотрудники учреждения организуют срочные консультации учреждений здравоохранения муниципальных районов края, организуют и осуществляют круглосуточный мониторинг с отражением данных мониторинга в медицинской документации.</w:t>
      </w:r>
    </w:p>
    <w:p w14:paraId="6D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 Число вылетов и количество эвакуированных пациентов в разбивке по годам и типам используемых воздушных судов, Сведения об использовании санитарной авиации при оказании медицинской помощи в Камчатском крае с 2019 года:</w:t>
      </w:r>
    </w:p>
    <w:tbl>
      <w:tblPr>
        <w:tblStyle w:val="Style_3"/>
        <w:tblW w:type="auto" w:w="0"/>
        <w:tblInd w:type="dxa" w:w="-43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47"/>
        <w:gridCol w:w="675"/>
        <w:gridCol w:w="986"/>
        <w:gridCol w:w="1048"/>
        <w:gridCol w:w="1158"/>
        <w:gridCol w:w="851"/>
        <w:gridCol w:w="821"/>
        <w:gridCol w:w="1084"/>
        <w:gridCol w:w="738"/>
        <w:gridCol w:w="1729"/>
      </w:tblGrid>
      <w:tr>
        <w:trPr>
          <w:tblHeader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Год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число вылетов всего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из них внутри субъекта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вылет за пределы субъекта*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вылет самолетом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вылет вертолетом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эвакуированного пациентов всего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из них детей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Авиакомпания выполнявшая</w:t>
            </w: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 xml:space="preserve"> вылеты</w:t>
            </w:r>
          </w:p>
        </w:tc>
      </w:tr>
      <w:tr>
        <w:trPr>
          <w:tblHeader/>
        </w:trP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1.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2019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380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380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100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280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499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115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Российские авиакомпании, Камчатское авиационное предприятие, АО «Витязь-Аэро»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2.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2020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550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550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110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440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681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71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Российские авиакомпании, Камчатское авиационное предприятие, «Витязь-Аэро»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3.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2021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539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539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0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130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409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948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46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Российские авиакомпании, Камчатское авиационное предприятие, «Витязь-Аэро», АО «НССА»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4.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2022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476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475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124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351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660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66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Российские авиакомпании, Камчатское авиационное предприятие, «Витязь-Аэро»; АО «НССА»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5.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2023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527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526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114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412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693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81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Российские авиакомпании, Камчатское авиационное предприятие, ВИТЯЗЬ-АЭРО; АО «НССА»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6.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2024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440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439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1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80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438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685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71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Российские авиакомпании, Камчатское авиационное предприятие, АО «НССА», «Вектор». «Витязь-Аэро»</w:t>
            </w:r>
          </w:p>
        </w:tc>
      </w:tr>
      <w:tr>
        <w:tc>
          <w:tcPr>
            <w:tcW w:type="dxa" w:w="5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7.</w:t>
            </w:r>
          </w:p>
        </w:tc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2025</w:t>
            </w:r>
          </w:p>
        </w:tc>
        <w:tc>
          <w:tcPr>
            <w:tcW w:type="dxa" w:w="9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369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364</w:t>
            </w:r>
          </w:p>
        </w:tc>
        <w:tc>
          <w:tcPr>
            <w:tcW w:type="dxa" w:w="11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</w:t>
            </w:r>
          </w:p>
        </w:tc>
        <w:tc>
          <w:tcPr>
            <w:tcW w:type="dxa" w:w="8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59</w:t>
            </w:r>
          </w:p>
        </w:tc>
        <w:tc>
          <w:tcPr>
            <w:tcW w:type="dxa" w:w="8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310</w:t>
            </w:r>
          </w:p>
        </w:tc>
        <w:tc>
          <w:tcPr>
            <w:tcW w:type="dxa" w:w="1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502</w:t>
            </w:r>
          </w:p>
        </w:tc>
        <w:tc>
          <w:tcPr>
            <w:tcW w:type="dxa" w:w="7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59</w:t>
            </w:r>
          </w:p>
        </w:tc>
        <w:tc>
          <w:tcPr>
            <w:tcW w:type="dxa" w:w="17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pacing w:val="0"/>
                <w:sz w:val="22"/>
              </w:rPr>
              <w:t>Российские авиакомпании, Камчатское авиационное предприятие, АО «НССА»</w:t>
            </w:r>
          </w:p>
        </w:tc>
      </w:tr>
    </w:tbl>
    <w:p w14:paraId="C806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*вылеты за пределы Камчатского кр</w:t>
      </w:r>
      <w:r>
        <w:rPr>
          <w:rFonts w:ascii="Times New Roman" w:hAnsi="Times New Roman"/>
          <w:sz w:val="24"/>
        </w:rPr>
        <w:t>ая осуществляются с целью медицинской эвакуации жителей для госпитализации в Федеральные центры. Также осуществляются вылеты за пределы с целью оказания специализированной помощи и выполнения медицинской эвакуации в Сахалинскую область (г. Северо-Курильск)</w:t>
      </w:r>
    </w:p>
    <w:p w14:paraId="C9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CA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Закупка авиационных услуг 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CB060000">
      <w:pPr>
        <w:pStyle w:val="Style_2"/>
        <w:spacing w:after="0" w:before="0" w:line="240" w:lineRule="auto"/>
        <w:ind w:firstLine="851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В составе отделения экстренной консультативной скорой медицинской помощи, согласно штатного расписания предусмотрены следующие должности:</w:t>
      </w:r>
    </w:p>
    <w:tbl>
      <w:tblPr>
        <w:tblStyle w:val="Style_3"/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35"/>
        <w:gridCol w:w="1822"/>
        <w:gridCol w:w="1398"/>
      </w:tblGrid>
      <w:tr>
        <w:trPr>
          <w:trHeight w:hRule="atLeast" w:val="593"/>
        </w:trPr>
        <w:tc>
          <w:tcPr>
            <w:tcW w:type="dxa" w:w="7957"/>
            <w:gridSpan w:val="2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Наименование должности</w:t>
            </w:r>
          </w:p>
        </w:tc>
        <w:tc>
          <w:tcPr>
            <w:tcW w:type="dxa" w:w="13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Штатные единицы</w:t>
            </w:r>
          </w:p>
        </w:tc>
      </w:tr>
      <w:tr>
        <w:trPr>
          <w:trHeight w:hRule="atLeast" w:val="300"/>
        </w:trPr>
        <w:tc>
          <w:tcPr>
            <w:tcW w:type="dxa" w:w="7957"/>
            <w:gridSpan w:val="2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</w:t>
            </w:r>
          </w:p>
        </w:tc>
        <w:tc>
          <w:tcPr>
            <w:tcW w:type="dxa" w:w="13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</w:t>
            </w:r>
          </w:p>
        </w:tc>
      </w:tr>
      <w:tr>
        <w:trPr>
          <w:trHeight w:hRule="atLeast" w:val="315"/>
        </w:trPr>
        <w:tc>
          <w:tcPr>
            <w:tcW w:type="dxa" w:w="935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Отделение экстренной консультативной скорой медицинской помощи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Заведующий отделением – врач анестезиолог-реаниматолог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1.00</w:t>
            </w:r>
          </w:p>
        </w:tc>
      </w:tr>
      <w:tr>
        <w:trPr>
          <w:trHeight w:hRule="atLeast" w:val="300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Врач анестезиолог-реаниматолог, в т.ч.: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7.25</w:t>
            </w:r>
          </w:p>
        </w:tc>
      </w:tr>
      <w:tr>
        <w:trPr>
          <w:trHeight w:hRule="atLeast" w:val="524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врач анестезиолог-реаниматолог авиамедицинской выездной бригады скорой медицинской помощи в п. Оссора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1.00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Врач скорой медицинской помощи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1.00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 xml:space="preserve">Медицинская сестра-анестезист, в т.ч.: 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8.25</w:t>
            </w:r>
          </w:p>
        </w:tc>
      </w:tr>
      <w:tr>
        <w:trPr>
          <w:trHeight w:hRule="atLeast" w:val="512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медицинская сестра-анестезист авиамедицинской выездной бригады скорой медицинской помощи в п. Оссора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0.50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Фельдшер скорой медицинской помощи, в т.ч.: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6.50</w:t>
            </w:r>
          </w:p>
        </w:tc>
      </w:tr>
      <w:tr>
        <w:trPr>
          <w:trHeight w:hRule="atLeast" w:val="516"/>
        </w:trPr>
        <w:tc>
          <w:tcPr>
            <w:tcW w:type="dxa" w:w="79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фельдшер скорой медицинской помощи авиамедицинской выездной бригады скорой медицинской помощи в п. Оссора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0.50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 xml:space="preserve">Санитар 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2.50</w:t>
            </w:r>
          </w:p>
        </w:tc>
      </w:tr>
      <w:tr>
        <w:trPr>
          <w:trHeight w:hRule="atLeast" w:val="345"/>
        </w:trPr>
        <w:tc>
          <w:tcPr>
            <w:tcW w:type="dxa" w:w="7957"/>
            <w:gridSpan w:val="2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Водитель автомобиля скорой медицинской помощи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7.00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Дезинфектор</w:t>
            </w:r>
          </w:p>
        </w:tc>
        <w:tc>
          <w:tcPr>
            <w:tcW w:type="dxa" w:w="1398"/>
            <w:tcBorders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1.00</w:t>
            </w:r>
          </w:p>
        </w:tc>
      </w:tr>
      <w:tr>
        <w:trPr>
          <w:trHeight w:hRule="atLeast" w:val="294"/>
        </w:trPr>
        <w:tc>
          <w:tcPr>
            <w:tcW w:type="dxa" w:w="7957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ИТОГО, в т.ч.:</w:t>
            </w:r>
          </w:p>
        </w:tc>
        <w:tc>
          <w:tcPr>
            <w:tcW w:type="dxa" w:w="1398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34.50</w:t>
            </w:r>
          </w:p>
        </w:tc>
      </w:tr>
      <w:tr>
        <w:trPr>
          <w:trHeight w:hRule="atLeast" w:val="345"/>
        </w:trPr>
        <w:tc>
          <w:tcPr>
            <w:tcW w:type="dxa" w:w="7957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врачи</w:t>
            </w:r>
          </w:p>
        </w:tc>
        <w:tc>
          <w:tcPr>
            <w:tcW w:type="dxa" w:w="1398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9.25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средний мед. и фарм. персонал</w:t>
            </w:r>
          </w:p>
        </w:tc>
        <w:tc>
          <w:tcPr>
            <w:tcW w:type="dxa" w:w="1398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14.75</w:t>
            </w:r>
          </w:p>
        </w:tc>
      </w:tr>
      <w:tr>
        <w:trPr>
          <w:trHeight w:hRule="atLeast" w:val="315"/>
        </w:trPr>
        <w:tc>
          <w:tcPr>
            <w:tcW w:type="dxa" w:w="7957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младший мед. персонал</w:t>
            </w:r>
          </w:p>
        </w:tc>
        <w:tc>
          <w:tcPr>
            <w:tcW w:type="dxa" w:w="1398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2.50</w:t>
            </w:r>
          </w:p>
        </w:tc>
      </w:tr>
      <w:tr>
        <w:trPr>
          <w:trHeight w:hRule="atLeast" w:val="270"/>
        </w:trPr>
        <w:tc>
          <w:tcPr>
            <w:tcW w:type="dxa" w:w="7957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прочий персонал</w:t>
            </w:r>
          </w:p>
        </w:tc>
        <w:tc>
          <w:tcPr>
            <w:tcW w:type="dxa" w:w="1398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60000">
            <w:pPr>
              <w:pStyle w:val="Style_2"/>
              <w:widowControl w:val="1"/>
              <w:spacing w:after="0" w:before="57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8.00</w:t>
            </w:r>
          </w:p>
        </w:tc>
      </w:tr>
    </w:tbl>
    <w:p w14:paraId="F106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Укомпл</w:t>
      </w:r>
      <w:r>
        <w:rPr>
          <w:rFonts w:ascii="Times New Roman" w:hAnsi="Times New Roman"/>
          <w:sz w:val="28"/>
        </w:rPr>
        <w:t xml:space="preserve">ектованность физическими лицами составляет 16 единиц, в том числе: заведующий отделением – 1 единица, врач анестезиолог-реаниматолог – 2 </w:t>
      </w:r>
      <w:r>
        <w:rPr>
          <w:rFonts w:ascii="Times New Roman" w:hAnsi="Times New Roman"/>
          <w:sz w:val="28"/>
        </w:rPr>
        <w:t>единицы,</w:t>
      </w:r>
      <w:r>
        <w:rPr>
          <w:rFonts w:ascii="Times New Roman" w:hAnsi="Times New Roman"/>
          <w:sz w:val="28"/>
        </w:rPr>
        <w:t xml:space="preserve"> врач скорой медицинской помощи – 1 </w:t>
      </w:r>
      <w:r>
        <w:rPr>
          <w:rFonts w:ascii="Times New Roman" w:hAnsi="Times New Roman"/>
          <w:sz w:val="28"/>
        </w:rPr>
        <w:t>единица,</w:t>
      </w:r>
      <w:r>
        <w:rPr>
          <w:rFonts w:ascii="Times New Roman" w:hAnsi="Times New Roman"/>
          <w:sz w:val="28"/>
        </w:rPr>
        <w:t xml:space="preserve"> медицинская сестра анестезист – 3 </w:t>
      </w:r>
      <w:r>
        <w:rPr>
          <w:rFonts w:ascii="Times New Roman" w:hAnsi="Times New Roman"/>
          <w:sz w:val="28"/>
        </w:rPr>
        <w:t>единицы</w:t>
      </w:r>
      <w:r>
        <w:rPr>
          <w:rFonts w:ascii="Times New Roman" w:hAnsi="Times New Roman"/>
          <w:sz w:val="28"/>
        </w:rPr>
        <w:t xml:space="preserve">, фельдшер скорой медицинской помощи – 3 </w:t>
      </w:r>
      <w:r>
        <w:rPr>
          <w:rFonts w:ascii="Times New Roman" w:hAnsi="Times New Roman"/>
          <w:sz w:val="28"/>
        </w:rPr>
        <w:t>единицы</w:t>
      </w:r>
      <w:r>
        <w:rPr>
          <w:rFonts w:ascii="Times New Roman" w:hAnsi="Times New Roman"/>
          <w:sz w:val="28"/>
        </w:rPr>
        <w:t>, водителей автом</w:t>
      </w:r>
      <w:r>
        <w:rPr>
          <w:rFonts w:ascii="Times New Roman" w:hAnsi="Times New Roman"/>
          <w:sz w:val="28"/>
        </w:rPr>
        <w:t xml:space="preserve">обиля скорой медицинской помощи – 6 </w:t>
      </w:r>
      <w:r>
        <w:rPr>
          <w:rFonts w:ascii="Times New Roman" w:hAnsi="Times New Roman"/>
          <w:sz w:val="28"/>
        </w:rPr>
        <w:t>единиц</w:t>
      </w:r>
      <w:r>
        <w:rPr>
          <w:rFonts w:ascii="Times New Roman" w:hAnsi="Times New Roman"/>
          <w:sz w:val="28"/>
        </w:rPr>
        <w:t>.</w:t>
      </w:r>
    </w:p>
    <w:p w14:paraId="F2060000">
      <w:pPr>
        <w:pStyle w:val="Style_2"/>
        <w:spacing w:after="0" w:before="0" w:line="240" w:lineRule="auto"/>
        <w:ind w:firstLine="708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Остальные должности заняты на условиях совместительства (внешнего и внутреннего). При необходимости врачи специализированного профиля привлекаются на договорных условиях (на выполнение конкретного санитарного задания). </w:t>
      </w:r>
    </w:p>
    <w:p w14:paraId="F3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8. Обеспечение централизованного приема вызовов санитарно-авиационной эвакуации в Камчатском крае осуществляет оперативно-диспетчерский отдел, входящий в структуру </w:t>
      </w:r>
      <w:r>
        <w:rPr>
          <w:rFonts w:ascii="Times New Roman" w:hAnsi="Times New Roman"/>
          <w:color w:val="000000"/>
          <w:sz w:val="28"/>
        </w:rPr>
        <w:t>КТЦМК</w:t>
      </w:r>
      <w:r>
        <w:rPr>
          <w:rFonts w:ascii="Times New Roman" w:hAnsi="Times New Roman"/>
          <w:color w:val="000000"/>
          <w:sz w:val="28"/>
        </w:rPr>
        <w:t xml:space="preserve">. В штатном расписании предусмотрено 5,25 ставки фельдшера по приемам вызовов скорой медицинской помощи и передаче их выездным бригадам скорой медицинской помощи. Работа оперативно-диспетчерского отдела осуществляется в круглосуточном режиме. </w:t>
      </w:r>
    </w:p>
    <w:p w14:paraId="F4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9. Для оказания скорой, в том числе скорой специализированной, медицинской помощи, включая ее оказание на месте вызова скорой медицинской помощи, при осуществлении медицинской эвакуации в режиме повседневной деятельности сформированы 4</w:t>
      </w:r>
      <w:r>
        <w:rPr>
          <w:rFonts w:ascii="Times New Roman" w:hAnsi="Times New Roman"/>
          <w:color w:val="000000"/>
          <w:sz w:val="28"/>
        </w:rPr>
        <w:t xml:space="preserve"> выездные специализированные бригады: выездная экстренная консультативная бригада скорой медицинской помощи, три авиамедицинские выездные бригады скорой медицинской помощи, из них одна авиамедицинская выездная бригада скорой медицинской помощи в п. Оссора.</w:t>
      </w:r>
    </w:p>
    <w:p w14:paraId="F506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10. Сведения о немедицинском персонале, обеспечивающем работу медицинской организации. </w:t>
      </w:r>
      <w:r>
        <w:rPr>
          <w:rFonts w:ascii="Times New Roman" w:hAnsi="Times New Roman"/>
          <w:color w:val="000000"/>
          <w:sz w:val="28"/>
        </w:rPr>
        <w:t>Анализ укомплектованности штатного расписания физическими лицами по состоянию на 01.10.2025:</w:t>
      </w:r>
    </w:p>
    <w:tbl>
      <w:tblPr>
        <w:tblStyle w:val="Style_3"/>
        <w:tblW w:type="auto" w:w="0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694"/>
        <w:gridCol w:w="2267"/>
        <w:gridCol w:w="2268"/>
        <w:gridCol w:w="2125"/>
      </w:tblGrid>
      <w:tr>
        <w:trPr>
          <w:trHeight w:hRule="atLeast" w:val="778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Категории работников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Количество должностей согласно штатному расписанию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Укомплектованность, чел.</w:t>
            </w: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Укомплектованность, %</w:t>
            </w:r>
          </w:p>
          <w:p w14:paraId="F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(графа 3/графа 2)</w:t>
            </w:r>
          </w:p>
        </w:tc>
      </w:tr>
      <w:tr>
        <w:trPr>
          <w:trHeight w:hRule="atLeast" w:val="268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2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3</w:t>
            </w: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4</w:t>
            </w:r>
          </w:p>
        </w:tc>
      </w:tr>
      <w:tr>
        <w:trPr>
          <w:trHeight w:hRule="atLeast" w:val="25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Всего, в том числе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58,75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28</w:t>
            </w: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47,6</w:t>
            </w:r>
          </w:p>
        </w:tc>
      </w:tr>
      <w:tr>
        <w:trPr>
          <w:trHeight w:hRule="atLeast" w:val="25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административно-управленческий персонал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3,0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2,0</w:t>
            </w: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66,7</w:t>
            </w:r>
          </w:p>
        </w:tc>
      </w:tr>
      <w:tr>
        <w:trPr>
          <w:trHeight w:hRule="atLeast" w:val="273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прочий персонал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18,5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11</w:t>
            </w: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59,5</w:t>
            </w:r>
          </w:p>
        </w:tc>
      </w:tr>
      <w:tr>
        <w:trPr>
          <w:trHeight w:hRule="atLeast" w:val="273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из них водители автомобиля скорой медицинской помощи</w:t>
            </w:r>
          </w:p>
        </w:tc>
        <w:tc>
          <w:tcPr>
            <w:tcW w:type="dxa" w:w="22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7,0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6,0</w:t>
            </w:r>
          </w:p>
        </w:tc>
        <w:tc>
          <w:tcPr>
            <w:tcW w:type="dxa" w:w="21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0"/>
                <w:sz w:val="24"/>
              </w:rPr>
              <w:t>85,7</w:t>
            </w:r>
          </w:p>
        </w:tc>
      </w:tr>
    </w:tbl>
    <w:p w14:paraId="0F07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</w:p>
    <w:p w14:paraId="1007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11. Численность про</w:t>
      </w:r>
      <w:r>
        <w:rPr>
          <w:rFonts w:ascii="Times New Roman" w:hAnsi="Times New Roman"/>
          <w:color w:val="000000"/>
          <w:sz w:val="28"/>
        </w:rPr>
        <w:t xml:space="preserve">чего персонала (немедицинского персонала или работников и служащих, не имеющих медицинского образования и выполняющих виды деятельности, не относящиеся к медицинскому процессу) без учета водителей автомобиля скорой медицинской помощи составляет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5 человек. </w:t>
      </w:r>
    </w:p>
    <w:p w14:paraId="1107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12. Доля работников административно-управленческого и вспомогательного персонала к общей численности работников учреждения (без учета водителей автомобиля скорой медицинской помощи) составляет 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25 процентов. </w:t>
      </w:r>
    </w:p>
    <w:p w14:paraId="12070000">
      <w:pPr>
        <w:pStyle w:val="Style_2"/>
        <w:spacing w:after="0" w:before="0" w:line="240" w:lineRule="auto"/>
        <w:ind w:firstLine="709" w:left="0" w:right="0"/>
        <w:jc w:val="both"/>
        <w:rPr>
          <w:rFonts w:ascii="Times New Roman" w:hAnsi="Times New Roman"/>
          <w:color w:val="000000"/>
          <w:sz w:val="28"/>
        </w:rPr>
      </w:pPr>
    </w:p>
    <w:p w14:paraId="13070000">
      <w:pPr>
        <w:spacing w:after="0" w:line="240" w:lineRule="auto"/>
        <w:ind/>
        <w:jc w:val="both"/>
        <w:rPr>
          <w:rFonts w:ascii="Times New Roman" w:hAnsi="Times New Roman"/>
          <w:color w:themeColor="background1" w:val="FFFFFF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418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layoutInCell="true" locked="false" relativeHeight="251658240" simplePos="false">
              <wp:simplePos x="0" y="0"/>
              <wp:positionH relativeFrom="column">
                <wp:posOffset>2996326</wp:posOffset>
              </wp:positionH>
              <wp:positionV relativeFrom="page">
                <wp:posOffset>450215</wp:posOffset>
              </wp:positionV>
              <wp:extent cx="126842" cy="380625"/>
              <wp:wrapSquare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26842" cy="380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anchorCtr="true" bIns="45720" lIns="91440" rIns="91440" tIns="45720" vert="horz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Обычный1"/>
    <w:link w:val="Style_12_ch"/>
  </w:style>
  <w:style w:styleId="Style_12_ch" w:type="character">
    <w:name w:val="Обычный1"/>
    <w:link w:val="Style_12"/>
  </w:style>
  <w:style w:styleId="Style_13" w:type="paragraph">
    <w:name w:val="Balloon Text"/>
    <w:basedOn w:val="Style_2"/>
    <w:link w:val="Style_13_ch"/>
    <w:pPr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2_ch"/>
    <w:link w:val="Style_13"/>
    <w:rPr>
      <w:rFonts w:ascii="Segoe UI" w:hAnsi="Segoe UI"/>
      <w:sz w:val="18"/>
    </w:rPr>
  </w:style>
  <w:style w:styleId="Style_14" w:type="paragraph">
    <w:name w:val="Plain Text"/>
    <w:basedOn w:val="Style_2"/>
    <w:link w:val="Style_14_ch"/>
    <w:pPr>
      <w:spacing w:after="0" w:line="240" w:lineRule="auto"/>
      <w:ind/>
    </w:pPr>
    <w:rPr>
      <w:rFonts w:ascii="Calibri" w:hAnsi="Calibri"/>
    </w:rPr>
  </w:style>
  <w:style w:styleId="Style_14_ch" w:type="character">
    <w:name w:val="Plain Text"/>
    <w:basedOn w:val="Style_2_ch"/>
    <w:link w:val="Style_14"/>
    <w:rPr>
      <w:rFonts w:ascii="Calibri" w:hAnsi="Calibri"/>
    </w:rPr>
  </w:style>
  <w:style w:styleId="Style_15" w:type="paragraph">
    <w:name w:val="toc 3"/>
    <w:next w:val="Style_2"/>
    <w:link w:val="Style_15_ch"/>
    <w:uiPriority w:val="39"/>
    <w:pPr>
      <w:ind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header"/>
    <w:basedOn w:val="Style_2"/>
    <w:link w:val="Style_17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7_ch" w:type="character">
    <w:name w:val="header"/>
    <w:basedOn w:val="Style_2_ch"/>
    <w:link w:val="Style_17"/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0"/>
    </w:rPr>
  </w:style>
  <w:style w:styleId="Style_1_ch" w:type="character">
    <w:name w:val="Header and Footer"/>
    <w:link w:val="Style_1"/>
    <w:rPr>
      <w:rFonts w:ascii="XO Thames" w:hAnsi="XO Thames"/>
      <w:sz w:val="20"/>
    </w:rPr>
  </w:style>
  <w:style w:styleId="Style_23" w:type="paragraph">
    <w:name w:val="footer"/>
    <w:basedOn w:val="Style_2"/>
    <w:link w:val="Style_23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3_ch" w:type="character">
    <w:name w:val="footer"/>
    <w:basedOn w:val="Style_2_ch"/>
    <w:link w:val="Style_23"/>
    <w:rPr>
      <w:rFonts w:ascii="Times New Roman" w:hAnsi="Times New Roman"/>
      <w:sz w:val="28"/>
    </w:rPr>
  </w:style>
  <w:style w:styleId="Style_24" w:type="paragraph">
    <w:name w:val="toc 9"/>
    <w:next w:val="Style_2"/>
    <w:link w:val="Style_24_ch"/>
    <w:uiPriority w:val="39"/>
    <w:pPr>
      <w:ind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ind w:left="1400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2"/>
    <w:link w:val="Style_26_ch"/>
    <w:uiPriority w:val="39"/>
    <w:pPr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2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2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2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Гиперссылка1"/>
    <w:basedOn w:val="Style_16"/>
    <w:link w:val="Style_30_ch"/>
    <w:rPr>
      <w:color w:themeColor="hyperlink" w:val="0563C1"/>
      <w:u w:val="single"/>
    </w:rPr>
  </w:style>
  <w:style w:styleId="Style_30_ch" w:type="character">
    <w:name w:val="Гиперссылка1"/>
    <w:basedOn w:val="Style_16_ch"/>
    <w:link w:val="Style_30"/>
    <w:rPr>
      <w:color w:themeColor="hyperlink" w:val="0563C1"/>
      <w:u w:val="single"/>
    </w:rPr>
  </w:style>
  <w:style w:styleId="Style_31" w:type="paragraph">
    <w:name w:val="heading 2"/>
    <w:next w:val="Style_2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Сетка таблицы1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" w:type="table">
    <w:name w:val="Сетка таблицы2"/>
    <w:basedOn w:val="Style_3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2026-11-05T23:19:10Z</dcterms:modified>
</cp:coreProperties>
</file>