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/>
          <w:sz w:val="28"/>
          <w:highlight w:val="yellow"/>
        </w:rPr>
      </w:pPr>
      <w:r>
        <w:rPr>
          <w:rFonts w:ascii="Times New Roman" w:hAnsi="Times New Roman"/>
          <w:sz w:val="32"/>
          <w:highlight w:val="yellow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8"/>
          <w:highlight w:val="yellow"/>
        </w:rPr>
      </w:r>
    </w:p>
    <w:p>
      <w:pPr>
        <w:jc w:val="center"/>
        <w:spacing w:after="0" w:line="240" w:lineRule="auto"/>
        <w:rPr>
          <w:rFonts w:ascii="Times New Roman" w:hAnsi="Times New Roman"/>
          <w:sz w:val="32"/>
          <w:highlight w:val="yellow"/>
        </w:rPr>
      </w:pPr>
      <w:r>
        <w:rPr>
          <w:rFonts w:ascii="Times New Roman" w:hAnsi="Times New Roman"/>
          <w:sz w:val="32"/>
          <w:highlight w:val="yellow"/>
        </w:rPr>
      </w:r>
      <w:r>
        <w:rPr>
          <w:rFonts w:ascii="Times New Roman" w:hAnsi="Times New Roman"/>
          <w:sz w:val="32"/>
          <w:highlight w:val="yellow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  <w:highlight w:val="yellow"/>
        </w:rPr>
      </w:pPr>
      <w:r>
        <w:rPr>
          <w:rFonts w:ascii="Times New Roman" w:hAnsi="Times New Roman"/>
          <w:b/>
          <w:sz w:val="32"/>
          <w:highlight w:val="yellow"/>
        </w:rPr>
      </w:r>
      <w:r>
        <w:rPr>
          <w:rFonts w:ascii="Times New Roman" w:hAnsi="Times New Roman"/>
          <w:b/>
          <w:sz w:val="32"/>
          <w:highlight w:val="yellow"/>
        </w:rPr>
      </w:r>
    </w:p>
    <w:p>
      <w:pPr>
        <w:spacing w:after="0" w:line="240" w:lineRule="auto"/>
        <w:rPr>
          <w:rFonts w:ascii="Times New Roman" w:hAnsi="Times New Roman"/>
          <w:b/>
          <w:sz w:val="32"/>
          <w:highlight w:val="yellow"/>
        </w:rPr>
      </w:pPr>
      <w:r>
        <w:rPr>
          <w:rFonts w:ascii="Times New Roman" w:hAnsi="Times New Roman"/>
          <w:b/>
          <w:sz w:val="32"/>
          <w:highlight w:val="yellow"/>
        </w:rPr>
      </w:r>
      <w:r>
        <w:rPr>
          <w:rFonts w:ascii="Times New Roman" w:hAnsi="Times New Roman"/>
          <w:b/>
          <w:sz w:val="32"/>
          <w:highlight w:val="yellow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/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jc w:val="center"/>
        <w:spacing w:after="0" w:line="240" w:lineRule="auto"/>
        <w:rPr>
          <w:rStyle w:val="699"/>
          <w:rFonts w:ascii="Times New Roman" w:hAnsi="Times New Roman"/>
          <w:b/>
          <w:color w:val="auto"/>
          <w:sz w:val="28"/>
          <w:szCs w:val="28"/>
        </w:rPr>
      </w:pPr>
      <w:r>
        <w:rPr>
          <w:rStyle w:val="699"/>
          <w:rFonts w:ascii="Times New Roman" w:hAnsi="Times New Roman"/>
          <w:b/>
          <w:color w:val="auto"/>
          <w:sz w:val="28"/>
          <w:szCs w:val="28"/>
        </w:rPr>
        <w:t xml:space="preserve">Об утверждении Порядка предоставления субсидии автономной некоммерческой организации «Комитет семей воинов отечества Камчатского края» </w:t>
      </w:r>
      <w:r>
        <w:rPr>
          <w:rStyle w:val="699"/>
          <w:rFonts w:ascii="Times New Roman" w:hAnsi="Times New Roman"/>
          <w:b/>
          <w:color w:val="auto"/>
          <w:sz w:val="28"/>
          <w:szCs w:val="28"/>
        </w:rPr>
        <w:t xml:space="preserve">на финансовое обеспечение затрат в связи с оказанием услуг по проведению мероприятий, направленных на поддержку ветеранов специальной военной операции и членов их семей</w:t>
      </w:r>
      <w:r>
        <w:rPr>
          <w:rStyle w:val="699"/>
          <w:rFonts w:ascii="Times New Roman" w:hAnsi="Times New Roman"/>
          <w:b/>
          <w:color w:val="auto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auto"/>
          <w:sz w:val="28"/>
          <w:highlight w:val="yellow"/>
        </w:rPr>
      </w:pPr>
      <w:r>
        <w:rPr>
          <w:rFonts w:ascii="Times New Roman" w:hAnsi="Times New Roman"/>
          <w:color w:val="auto"/>
          <w:sz w:val="28"/>
          <w:highlight w:val="yellow"/>
        </w:rPr>
      </w:r>
      <w:r>
        <w:rPr>
          <w:rFonts w:ascii="Times New Roman" w:hAnsi="Times New Roman"/>
          <w:color w:val="auto"/>
          <w:sz w:val="28"/>
          <w:highlight w:val="yellow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auto"/>
          <w:sz w:val="28"/>
          <w:highlight w:val="yellow"/>
        </w:rPr>
      </w:pPr>
      <w:r>
        <w:rPr>
          <w:rFonts w:ascii="Times New Roman" w:hAnsi="Times New Roman"/>
          <w:color w:val="auto"/>
          <w:sz w:val="28"/>
          <w:highlight w:val="yellow"/>
        </w:rPr>
      </w:r>
      <w:r>
        <w:rPr>
          <w:rFonts w:ascii="Times New Roman" w:hAnsi="Times New Roman"/>
          <w:color w:val="auto"/>
          <w:sz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</w:rPr>
      </w:pPr>
      <w:r>
        <w:rPr>
          <w:rStyle w:val="699"/>
          <w:rFonts w:ascii="Times New Roman" w:hAnsi="Times New Roman"/>
          <w:color w:val="auto"/>
          <w:sz w:val="28"/>
        </w:rPr>
        <w:t xml:space="preserve">В соответствии с </w:t>
      </w:r>
      <w:r>
        <w:rPr>
          <w:rStyle w:val="699"/>
          <w:rFonts w:ascii="Times New Roman" w:hAnsi="Times New Roman"/>
          <w:color w:val="auto"/>
          <w:sz w:val="28"/>
        </w:rPr>
        <w:t xml:space="preserve">абзацем вторым </w:t>
      </w:r>
      <w:r>
        <w:rPr>
          <w:rStyle w:val="699"/>
          <w:rFonts w:ascii="Times New Roman" w:hAnsi="Times New Roman"/>
          <w:color w:val="auto"/>
          <w:sz w:val="28"/>
        </w:rPr>
        <w:t xml:space="preserve">пункт</w:t>
      </w:r>
      <w:r>
        <w:rPr>
          <w:rStyle w:val="699"/>
          <w:rFonts w:ascii="Times New Roman" w:hAnsi="Times New Roman"/>
          <w:color w:val="auto"/>
          <w:sz w:val="28"/>
        </w:rPr>
        <w:t xml:space="preserve">а</w:t>
      </w:r>
      <w:r>
        <w:rPr>
          <w:rStyle w:val="699"/>
          <w:rFonts w:ascii="Times New Roman" w:hAnsi="Times New Roman"/>
          <w:color w:val="auto"/>
          <w:sz w:val="28"/>
        </w:rPr>
        <w:t xml:space="preserve"> 2 статьи 78</w:t>
      </w:r>
      <w:r>
        <w:rPr>
          <w:rStyle w:val="699"/>
          <w:rFonts w:ascii="Times New Roman" w:hAnsi="Times New Roman"/>
          <w:color w:val="auto"/>
          <w:sz w:val="28"/>
          <w:vertAlign w:val="superscript"/>
        </w:rPr>
        <w:t xml:space="preserve">1</w:t>
      </w:r>
      <w:r>
        <w:rPr>
          <w:rStyle w:val="699"/>
          <w:rFonts w:ascii="Times New Roman" w:hAnsi="Times New Roman"/>
          <w:color w:val="auto"/>
          <w:sz w:val="28"/>
        </w:rPr>
        <w:t xml:space="preserve">, подпунктом 1 пункта 2 статьи 78</w:t>
      </w:r>
      <w:r>
        <w:rPr>
          <w:rStyle w:val="699"/>
          <w:rFonts w:ascii="Times New Roman" w:hAnsi="Times New Roman"/>
          <w:color w:val="auto"/>
          <w:sz w:val="28"/>
          <w:vertAlign w:val="superscript"/>
        </w:rPr>
        <w:t xml:space="preserve">5</w:t>
      </w:r>
      <w:r>
        <w:rPr>
          <w:rStyle w:val="699"/>
          <w:rFonts w:ascii="Times New Roman" w:hAnsi="Times New Roman"/>
          <w:color w:val="auto"/>
          <w:sz w:val="28"/>
        </w:rPr>
        <w:t xml:space="preserve"> Бюджетного кодекса Российской Федерации,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</w:t>
      </w:r>
      <w:r>
        <w:rPr>
          <w:rStyle w:val="699"/>
          <w:rFonts w:ascii="Times New Roman" w:hAnsi="Times New Roman"/>
          <w:color w:val="auto"/>
          <w:sz w:val="28"/>
        </w:rPr>
        <w:t xml:space="preserve">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</w:t>
      </w:r>
      <w:r>
        <w:rPr>
          <w:rFonts w:ascii="Times New Roman" w:hAnsi="Times New Roman"/>
          <w:color w:val="auto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</w:r>
      <w:r>
        <w:rPr>
          <w:rFonts w:ascii="Times New Roman" w:hAnsi="Times New Roman"/>
          <w:color w:val="auto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ПРАВИТЕЛЬСТВО ПОСТАНОВЛЯЕТ:</w:t>
      </w:r>
      <w:r>
        <w:rPr>
          <w:rFonts w:ascii="Times New Roman" w:hAnsi="Times New Roman"/>
          <w:color w:val="auto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highlight w:val="yellow"/>
        </w:rPr>
      </w:pPr>
      <w:r>
        <w:rPr>
          <w:rFonts w:ascii="Times New Roman" w:hAnsi="Times New Roman"/>
          <w:color w:val="auto"/>
          <w:sz w:val="28"/>
          <w:highlight w:val="yellow"/>
        </w:rPr>
      </w:r>
      <w:r>
        <w:rPr>
          <w:rFonts w:ascii="Times New Roman" w:hAnsi="Times New Roman"/>
          <w:color w:val="auto"/>
          <w:sz w:val="28"/>
          <w:highlight w:val="yellow"/>
        </w:rPr>
      </w:r>
    </w:p>
    <w:p>
      <w:pPr>
        <w:ind w:firstLine="709"/>
        <w:jc w:val="both"/>
        <w:spacing w:after="0" w:line="240" w:lineRule="auto"/>
        <w:rPr>
          <w:rStyle w:val="699"/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</w:rPr>
        <w:t xml:space="preserve">1. Утвердить </w:t>
      </w:r>
      <w:r>
        <w:rPr>
          <w:rFonts w:ascii="Times New Roman" w:hAnsi="Times New Roman"/>
          <w:sz w:val="28"/>
          <w:szCs w:val="28"/>
        </w:rPr>
        <w:t xml:space="preserve">Порядок 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предоставления субсидии автономной некоммерческой организации «Комитет семей воинов отечества Камчатского края» 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на финансовое обеспечение затрат в связи с оказанием услуг по проведению мероприятий, направленных на поддержку ветеранов специальной военной операции и членов их семей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Style w:val="699"/>
          <w:rFonts w:ascii="Times New Roman" w:hAnsi="Times New Roman"/>
          <w:color w:val="auto"/>
          <w:sz w:val="28"/>
        </w:rPr>
        <w:t xml:space="preserve"> согласно </w:t>
      </w:r>
      <w:r>
        <w:rPr>
          <w:rStyle w:val="699"/>
          <w:rFonts w:ascii="Times New Roman" w:hAnsi="Times New Roman"/>
          <w:color w:val="auto"/>
          <w:sz w:val="28"/>
        </w:rPr>
        <w:t xml:space="preserve">приложению</w:t>
      </w:r>
      <w:r>
        <w:rPr>
          <w:rStyle w:val="699"/>
          <w:rFonts w:ascii="Times New Roman" w:hAnsi="Times New Roman"/>
          <w:color w:val="auto"/>
          <w:sz w:val="28"/>
        </w:rPr>
        <w:t xml:space="preserve"> к настоящему постановлению.</w:t>
      </w:r>
      <w:r>
        <w:rPr>
          <w:rStyle w:val="699"/>
          <w:rFonts w:ascii="Times New Roman" w:hAnsi="Times New Roman"/>
          <w:b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2. Настоящее постановление вступает в силу после дня его официального опубликования.</w:t>
      </w:r>
      <w:r>
        <w:rPr>
          <w:rFonts w:ascii="Times New Roman" w:hAnsi="Times New Roman"/>
          <w:color w:val="auto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</w:r>
      <w:r>
        <w:rPr>
          <w:rFonts w:ascii="Times New Roman" w:hAnsi="Times New Roman"/>
          <w:color w:val="auto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</w:r>
      <w:r>
        <w:rPr>
          <w:rFonts w:ascii="Times New Roman" w:hAnsi="Times New Roman"/>
          <w:color w:val="auto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highlight w:val="yellow"/>
        </w:rPr>
      </w:pPr>
      <w:r>
        <w:rPr>
          <w:rFonts w:ascii="Times New Roman" w:hAnsi="Times New Roman"/>
          <w:color w:val="auto"/>
          <w:sz w:val="28"/>
          <w:highlight w:val="yellow"/>
        </w:rPr>
      </w:r>
      <w:r>
        <w:rPr>
          <w:rFonts w:ascii="Times New Roman" w:hAnsi="Times New Roman"/>
          <w:color w:val="auto"/>
          <w:sz w:val="28"/>
          <w:highlight w:val="yellow"/>
        </w:rPr>
      </w:r>
    </w:p>
    <w:tbl>
      <w:tblPr>
        <w:tblW w:w="971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6"/>
        <w:gridCol w:w="2848"/>
        <w:gridCol w:w="2559"/>
      </w:tblGrid>
      <w:tr>
        <w:tblPrEx/>
        <w:trPr>
          <w:trHeight w:val="844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4306" w:type="dxa"/>
            <w:textDirection w:val="lrTb"/>
            <w:noWrap w:val="false"/>
          </w:tcPr>
          <w:p>
            <w:pPr>
              <w:spacing w:after="0" w:line="240" w:lineRule="auto"/>
              <w:rPr>
                <w:rStyle w:val="699"/>
                <w:rFonts w:ascii="Times New Roman" w:hAnsi="Times New Roman"/>
                <w:color w:val="auto"/>
                <w:sz w:val="28"/>
              </w:rPr>
            </w:pPr>
            <w:r>
              <w:rPr>
                <w:rStyle w:val="699"/>
                <w:rFonts w:ascii="Times New Roman" w:hAnsi="Times New Roman"/>
                <w:color w:val="auto"/>
                <w:sz w:val="28"/>
              </w:rPr>
              <w:t xml:space="preserve">Председатель </w:t>
            </w:r>
            <w:r>
              <w:rPr>
                <w:rStyle w:val="699"/>
                <w:rFonts w:ascii="Times New Roman" w:hAnsi="Times New Roman"/>
                <w:color w:val="auto"/>
                <w:sz w:val="28"/>
              </w:rPr>
            </w:r>
          </w:p>
          <w:p>
            <w:pPr>
              <w:spacing w:after="0" w:line="240" w:lineRule="auto"/>
              <w:rPr>
                <w:rStyle w:val="699"/>
                <w:rFonts w:ascii="Times New Roman" w:hAnsi="Times New Roman"/>
                <w:color w:val="auto"/>
                <w:sz w:val="28"/>
              </w:rPr>
            </w:pPr>
            <w:r>
              <w:rPr>
                <w:rStyle w:val="699"/>
                <w:rFonts w:ascii="Times New Roman" w:hAnsi="Times New Roman"/>
                <w:color w:val="auto"/>
                <w:sz w:val="28"/>
              </w:rPr>
              <w:t xml:space="preserve">Правительства </w:t>
            </w:r>
            <w:r>
              <w:rPr>
                <w:rStyle w:val="699"/>
                <w:rFonts w:ascii="Times New Roman" w:hAnsi="Times New Roman"/>
                <w:color w:val="auto"/>
                <w:sz w:val="28"/>
              </w:rPr>
            </w:r>
          </w:p>
          <w:p>
            <w:pPr>
              <w:spacing w:after="0" w:line="240" w:lineRule="auto"/>
              <w:rPr>
                <w:color w:val="auto"/>
              </w:rPr>
            </w:pPr>
            <w:r>
              <w:rPr>
                <w:rStyle w:val="699"/>
                <w:rFonts w:ascii="Times New Roman" w:hAnsi="Times New Roman"/>
                <w:color w:val="auto"/>
                <w:sz w:val="28"/>
              </w:rPr>
              <w:t xml:space="preserve">Камчатского края</w:t>
            </w:r>
            <w:r>
              <w:rPr>
                <w:color w:val="auto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848" w:type="dxa"/>
            <w:textDirection w:val="lrTb"/>
            <w:noWrap w:val="false"/>
          </w:tcPr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</w:r>
            <w:r>
              <w:rPr>
                <w:rFonts w:ascii="Times New Roman" w:hAnsi="Times New Roman"/>
                <w:color w:val="auto"/>
                <w:sz w:val="24"/>
              </w:rPr>
            </w:r>
          </w:p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</w:r>
            <w:r>
              <w:rPr>
                <w:rFonts w:ascii="Times New Roman" w:hAnsi="Times New Roman"/>
                <w:color w:val="auto"/>
                <w:sz w:val="24"/>
              </w:rPr>
            </w:r>
          </w:p>
          <w:p>
            <w:pPr>
              <w:ind w:left="276"/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/>
            <w:bookmarkStart w:id="1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1"/>
            <w:r/>
            <w:r>
              <w:rPr>
                <w:rFonts w:ascii="Times New Roman" w:hAnsi="Times New Roman"/>
                <w:color w:val="auto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2559" w:type="dxa"/>
            <w:textDirection w:val="lrTb"/>
            <w:noWrap w:val="false"/>
          </w:tcPr>
          <w:p>
            <w:pPr>
              <w:spacing w:after="0" w:line="240" w:lineRule="auto"/>
              <w:rPr>
                <w:color w:val="auto"/>
              </w:rPr>
            </w:pPr>
            <w:r>
              <w:rPr>
                <w:color w:val="auto"/>
              </w:rPr>
            </w:r>
            <w:r>
              <w:rPr>
                <w:color w:val="auto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</w:r>
            <w:r>
              <w:rPr>
                <w:rFonts w:ascii="Times New Roman" w:hAnsi="Times New Roman"/>
                <w:color w:val="auto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 xml:space="preserve">Ю.С. Морозова</w:t>
            </w:r>
            <w:r>
              <w:rPr>
                <w:color w:val="auto"/>
              </w:rPr>
            </w:r>
          </w:p>
        </w:tc>
      </w:tr>
    </w:tbl>
    <w:p>
      <w:pPr>
        <w:spacing w:after="0" w:line="240" w:lineRule="auto"/>
      </w:pPr>
      <w:r>
        <w:br w:type="page" w:clear="all"/>
      </w:r>
      <w:r/>
    </w:p>
    <w:tbl>
      <w:tblPr>
        <w:tblStyle w:val="750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blPrEx/>
        <w:trPr/>
        <w:tc>
          <w:tcP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color w:val="auto"/>
                <w:sz w:val="28"/>
                <w:highlight w:val="yellow"/>
              </w:rPr>
            </w:pPr>
            <w:r>
              <w:br w:type="page" w:clear="all"/>
            </w:r>
            <w:r>
              <w:rPr>
                <w:color w:val="auto"/>
                <w:highlight w:val="yellow"/>
              </w:rPr>
              <w:br w:type="page" w:clear="all"/>
            </w:r>
            <w:r>
              <w:rPr>
                <w:rFonts w:ascii="Times New Roman" w:hAnsi="Times New Roman"/>
                <w:color w:val="auto"/>
                <w:sz w:val="28"/>
                <w:highlight w:val="yellow"/>
              </w:rPr>
              <w:br w:type="page" w:clear="all"/>
            </w:r>
            <w:r>
              <w:rPr>
                <w:rFonts w:ascii="Times New Roman" w:hAnsi="Times New Roman"/>
                <w:color w:val="auto"/>
                <w:sz w:val="28"/>
                <w:highlight w:val="yellow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color w:val="auto"/>
                <w:sz w:val="28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28"/>
                <w:highlight w:val="yellow"/>
              </w:rPr>
            </w:r>
            <w:r>
              <w:rPr>
                <w:rFonts w:ascii="Times New Roman" w:hAnsi="Times New Roman"/>
                <w:color w:val="auto"/>
                <w:sz w:val="28"/>
                <w:highlight w:val="yellow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color w:val="auto"/>
                <w:sz w:val="28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28"/>
                <w:highlight w:val="yellow"/>
              </w:rPr>
            </w:r>
            <w:r>
              <w:rPr>
                <w:rFonts w:ascii="Times New Roman" w:hAnsi="Times New Roman"/>
                <w:color w:val="auto"/>
                <w:sz w:val="28"/>
                <w:highlight w:val="yellow"/>
              </w:rPr>
            </w:r>
          </w:p>
        </w:tc>
        <w:tc>
          <w:tcPr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color w:val="auto"/>
                <w:sz w:val="28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28"/>
                <w:highlight w:val="yellow"/>
              </w:rPr>
            </w:r>
            <w:r>
              <w:rPr>
                <w:rFonts w:ascii="Times New Roman" w:hAnsi="Times New Roman"/>
                <w:color w:val="auto"/>
                <w:sz w:val="28"/>
                <w:highlight w:val="yellow"/>
              </w:rPr>
            </w:r>
          </w:p>
        </w:tc>
        <w:tc>
          <w:tcPr>
            <w:gridSpan w:val="4"/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 xml:space="preserve">Приложение к постановлению</w:t>
            </w:r>
            <w:r>
              <w:rPr>
                <w:rFonts w:ascii="Times New Roman" w:hAnsi="Times New Roman"/>
                <w:color w:val="auto"/>
                <w:sz w:val="28"/>
              </w:rPr>
            </w:r>
          </w:p>
        </w:tc>
      </w:tr>
      <w:tr>
        <w:tblPrEx/>
        <w:trPr/>
        <w:tc>
          <w:tcP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color w:val="auto"/>
                <w:sz w:val="28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28"/>
                <w:highlight w:val="yellow"/>
              </w:rPr>
            </w:r>
            <w:r>
              <w:rPr>
                <w:rFonts w:ascii="Times New Roman" w:hAnsi="Times New Roman"/>
                <w:color w:val="auto"/>
                <w:sz w:val="28"/>
                <w:highlight w:val="yellow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color w:val="auto"/>
                <w:sz w:val="28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28"/>
                <w:highlight w:val="yellow"/>
              </w:rPr>
            </w:r>
            <w:r>
              <w:rPr>
                <w:rFonts w:ascii="Times New Roman" w:hAnsi="Times New Roman"/>
                <w:color w:val="auto"/>
                <w:sz w:val="28"/>
                <w:highlight w:val="yellow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color w:val="auto"/>
                <w:sz w:val="28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28"/>
                <w:highlight w:val="yellow"/>
              </w:rPr>
            </w:r>
            <w:r>
              <w:rPr>
                <w:rFonts w:ascii="Times New Roman" w:hAnsi="Times New Roman"/>
                <w:color w:val="auto"/>
                <w:sz w:val="28"/>
                <w:highlight w:val="yellow"/>
              </w:rPr>
            </w:r>
          </w:p>
        </w:tc>
        <w:tc>
          <w:tcPr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color w:val="auto"/>
                <w:sz w:val="28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28"/>
                <w:highlight w:val="yellow"/>
              </w:rPr>
            </w:r>
            <w:r>
              <w:rPr>
                <w:rFonts w:ascii="Times New Roman" w:hAnsi="Times New Roman"/>
                <w:color w:val="auto"/>
                <w:sz w:val="28"/>
                <w:highlight w:val="yellow"/>
              </w:rPr>
            </w:r>
          </w:p>
        </w:tc>
        <w:tc>
          <w:tcPr>
            <w:gridSpan w:val="4"/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 xml:space="preserve">Правительства Камчатского края</w:t>
            </w:r>
            <w:r>
              <w:rPr>
                <w:rFonts w:ascii="Times New Roman" w:hAnsi="Times New Roman"/>
                <w:color w:val="auto"/>
                <w:sz w:val="28"/>
              </w:rPr>
            </w:r>
          </w:p>
        </w:tc>
      </w:tr>
      <w:tr>
        <w:tblPrEx/>
        <w:trPr/>
        <w:tc>
          <w:tcP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rFonts w:ascii="Times New Roman" w:hAnsi="Times New Roman"/>
                <w:color w:val="auto"/>
                <w:sz w:val="28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28"/>
                <w:highlight w:val="yellow"/>
              </w:rPr>
            </w:r>
            <w:r>
              <w:rPr>
                <w:rFonts w:ascii="Times New Roman" w:hAnsi="Times New Roman"/>
                <w:color w:val="auto"/>
                <w:sz w:val="28"/>
                <w:highlight w:val="yellow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rFonts w:ascii="Times New Roman" w:hAnsi="Times New Roman"/>
                <w:color w:val="auto"/>
                <w:sz w:val="28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28"/>
                <w:highlight w:val="yellow"/>
              </w:rPr>
            </w:r>
            <w:r>
              <w:rPr>
                <w:rFonts w:ascii="Times New Roman" w:hAnsi="Times New Roman"/>
                <w:color w:val="auto"/>
                <w:sz w:val="28"/>
                <w:highlight w:val="yellow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rFonts w:ascii="Times New Roman" w:hAnsi="Times New Roman"/>
                <w:color w:val="auto"/>
                <w:sz w:val="28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28"/>
                <w:highlight w:val="yellow"/>
              </w:rPr>
            </w:r>
            <w:r>
              <w:rPr>
                <w:rFonts w:ascii="Times New Roman" w:hAnsi="Times New Roman"/>
                <w:color w:val="auto"/>
                <w:sz w:val="28"/>
                <w:highlight w:val="yellow"/>
              </w:rPr>
            </w:r>
          </w:p>
        </w:tc>
        <w:tc>
          <w:tcPr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rFonts w:ascii="Times New Roman" w:hAnsi="Times New Roman"/>
                <w:color w:val="auto"/>
                <w:sz w:val="28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28"/>
                <w:highlight w:val="yellow"/>
              </w:rPr>
            </w:r>
            <w:r>
              <w:rPr>
                <w:rFonts w:ascii="Times New Roman" w:hAnsi="Times New Roman"/>
                <w:color w:val="auto"/>
                <w:sz w:val="28"/>
                <w:highlight w:val="yellow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 xml:space="preserve">от</w:t>
            </w:r>
            <w:r>
              <w:rPr>
                <w:rFonts w:ascii="Times New Roman" w:hAnsi="Times New Roman"/>
                <w:color w:val="auto"/>
                <w:sz w:val="28"/>
              </w:rPr>
            </w:r>
          </w:p>
        </w:tc>
        <w:tc>
          <w:tcPr>
            <w:tcW w:w="1869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EGDATESTAMP]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  <w:tc>
          <w:tcPr>
            <w:tcW w:w="486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 xml:space="preserve">№</w:t>
            </w:r>
            <w:r>
              <w:rPr>
                <w:rFonts w:ascii="Times New Roman" w:hAnsi="Times New Roman"/>
                <w:color w:val="auto"/>
                <w:sz w:val="28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EGNUMSTAMP]</w:t>
            </w:r>
            <w:r>
              <w:rPr>
                <w:rFonts w:ascii="Times New Roman" w:hAnsi="Times New Roman"/>
                <w:color w:val="auto"/>
                <w:sz w:val="28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color w:val="auto"/>
          <w:sz w:val="28"/>
          <w:highlight w:val="yellow"/>
        </w:rPr>
      </w:pPr>
      <w:r>
        <w:rPr>
          <w:rFonts w:ascii="Times New Roman" w:hAnsi="Times New Roman"/>
          <w:color w:val="auto"/>
          <w:sz w:val="28"/>
          <w:highlight w:val="yellow"/>
        </w:rPr>
      </w:r>
      <w:r>
        <w:rPr>
          <w:rFonts w:ascii="Times New Roman" w:hAnsi="Times New Roman"/>
          <w:color w:val="auto"/>
          <w:sz w:val="28"/>
          <w:highlight w:val="yellow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Порядок 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Style w:val="699"/>
          <w:rFonts w:ascii="Times New Roman" w:hAnsi="Times New Roman"/>
          <w:color w:val="auto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предоставления субсидии 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автономной некоммерческой организации «Комитет семей воинов отечества Камчатского края» 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на финансовое обеспечение затрат в связи с оказанием услуг по проведению мероприятий, направленных на поддержку ветеранов специальной военной операции и членов их семей</w:t>
      </w:r>
      <w:r>
        <w:rPr>
          <w:rStyle w:val="699"/>
          <w:rFonts w:ascii="Times New Roman" w:hAnsi="Times New Roman"/>
          <w:color w:val="auto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yellow"/>
        </w:rPr>
      </w:pPr>
      <w:r>
        <w:rPr>
          <w:rFonts w:ascii="Times New Roman" w:hAnsi="Times New Roman"/>
          <w:color w:val="auto"/>
          <w:sz w:val="28"/>
          <w:szCs w:val="28"/>
          <w:highlight w:val="yellow"/>
        </w:rPr>
      </w:r>
      <w:r>
        <w:rPr>
          <w:rFonts w:ascii="Times New Roman" w:hAnsi="Times New Roman"/>
          <w:color w:val="auto"/>
          <w:sz w:val="28"/>
          <w:szCs w:val="28"/>
          <w:highlight w:val="yellow"/>
        </w:rPr>
      </w:r>
    </w:p>
    <w:p>
      <w:pPr>
        <w:pStyle w:val="752"/>
        <w:numPr>
          <w:ilvl w:val="0"/>
          <w:numId w:val="6"/>
        </w:numPr>
        <w:contextualSpacing w:val="0"/>
        <w:ind w:left="0" w:firstLine="709"/>
        <w:jc w:val="both"/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Настоящий Порядок регулирует вопросы предоставления из краевого бюджета за счет средств краевого бюджета </w:t>
      </w:r>
      <w:r>
        <w:rPr>
          <w:rFonts w:ascii="Times New Roman" w:hAnsi="Times New Roman"/>
          <w:color w:val="auto"/>
          <w:sz w:val="28"/>
          <w:szCs w:val="28"/>
        </w:rPr>
        <w:t xml:space="preserve">субсидии 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автономной некоммерческой организации «Комитет семей воинов отечества Камчатского края» </w:t>
      </w:r>
      <w:r>
        <w:rPr>
          <w:rStyle w:val="699"/>
          <w:rFonts w:ascii="Times New Roman" w:hAnsi="Times New Roman"/>
          <w:sz w:val="28"/>
          <w:szCs w:val="28"/>
        </w:rPr>
        <w:t xml:space="preserve">(далее </w:t>
      </w:r>
      <w:r>
        <w:rPr>
          <w:rStyle w:val="699"/>
          <w:rFonts w:ascii="Times New Roman" w:hAnsi="Times New Roman"/>
          <w:sz w:val="28"/>
          <w:szCs w:val="28"/>
        </w:rPr>
        <w:t xml:space="preserve">– получатель субсидии</w:t>
      </w:r>
      <w:r>
        <w:rPr>
          <w:rFonts w:ascii="Times New Roman" w:hAnsi="Times New Roman"/>
          <w:sz w:val="28"/>
          <w:szCs w:val="28"/>
          <w:lang w:eastAsia="en-US"/>
        </w:rPr>
        <w:t xml:space="preserve">)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в целях достижения результатов комплекса процессных мероприятий «</w:t>
      </w:r>
      <w:r>
        <w:rPr>
          <w:rFonts w:ascii="Times New Roman" w:hAnsi="Times New Roman"/>
          <w:sz w:val="28"/>
          <w:szCs w:val="28"/>
        </w:rPr>
        <w:t xml:space="preserve">Предоставление финансовой поддержки некоммерческим организациям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» государственной </w:t>
      </w:r>
      <w:hyperlink r:id="rId12" w:tooltip="https://login.consultant.ru/link/?req=doc&amp;base=RLAW296&amp;n=203736&amp;dst=143553" w:history="1">
        <w:r>
          <w:rPr>
            <w:rStyle w:val="699"/>
            <w:rFonts w:ascii="Times New Roman" w:hAnsi="Times New Roman"/>
            <w:color w:val="auto"/>
            <w:sz w:val="28"/>
            <w:szCs w:val="28"/>
          </w:rPr>
          <w:t xml:space="preserve">программы</w:t>
        </w:r>
      </w:hyperlink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 Камчатского края «Реализация государственной национальной 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политики и укрепление гражданского единства в Камчатском крае», утвержденной постановлением Правительства Камчатского края от 06.02.2024 № 38-П, 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на финансовое обеспечение затрат в связи с оказанием услуг по проведению мероприятий, направленных </w:t>
      </w:r>
      <w:r>
        <w:rPr>
          <w:rStyle w:val="699"/>
          <w:rFonts w:ascii="Times New Roman" w:hAnsi="Times New Roman"/>
          <w:sz w:val="28"/>
          <w:szCs w:val="28"/>
        </w:rPr>
        <w:t xml:space="preserve">на поддержку </w:t>
      </w:r>
      <w:r>
        <w:rPr>
          <w:rFonts w:ascii="Times New Roman" w:hAnsi="Times New Roman"/>
          <w:sz w:val="28"/>
          <w:szCs w:val="28"/>
        </w:rPr>
        <w:t xml:space="preserve">ветеранов боевых действий, в том числе участников специальной военной операции, </w:t>
      </w:r>
      <w:r>
        <w:rPr>
          <w:rStyle w:val="699"/>
          <w:rFonts w:ascii="Times New Roman" w:hAnsi="Times New Roman"/>
          <w:sz w:val="28"/>
          <w:szCs w:val="28"/>
        </w:rPr>
        <w:t xml:space="preserve">и членов их семей в Камчатском крае, 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а именно: культурных и развлекательных мероприятий, конференци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й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, выстав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ок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, экскурси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й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, мероприяти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й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 в области психологического здоровья (далее – субсидия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, мероприятия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).</w:t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Style w:val="699"/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2. Субсидия носит целевой характер и не может быть израсходована на цели, не предусмотренные настоящим Порядком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.</w:t>
      </w:r>
      <w:r>
        <w:rPr>
          <w:rStyle w:val="699"/>
          <w:rFonts w:ascii="Times New Roman" w:hAnsi="Times New Roman"/>
          <w:color w:val="auto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3. </w:t>
      </w:r>
      <w:r>
        <w:rPr>
          <w:rFonts w:ascii="Times New Roman" w:hAnsi="Times New Roman"/>
          <w:color w:val="auto"/>
          <w:sz w:val="28"/>
          <w:szCs w:val="28"/>
        </w:rPr>
        <w:t xml:space="preserve">Министерство 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по внутренней политике и развитию Корякского округа Камчатского края</w:t>
      </w:r>
      <w:r>
        <w:rPr>
          <w:rFonts w:ascii="Times New Roman" w:hAnsi="Times New Roman"/>
          <w:color w:val="auto"/>
          <w:sz w:val="28"/>
          <w:szCs w:val="28"/>
        </w:rPr>
        <w:t xml:space="preserve"> (далее 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–</w:t>
      </w:r>
      <w:r>
        <w:rPr>
          <w:rFonts w:ascii="Times New Roman" w:hAnsi="Times New Roman"/>
          <w:color w:val="auto"/>
          <w:sz w:val="28"/>
          <w:szCs w:val="28"/>
        </w:rPr>
        <w:t xml:space="preserve"> Министерство) осуществ</w:t>
      </w:r>
      <w:r>
        <w:rPr>
          <w:rFonts w:ascii="Times New Roman" w:hAnsi="Times New Roman"/>
          <w:color w:val="auto"/>
          <w:sz w:val="28"/>
          <w:szCs w:val="28"/>
        </w:rPr>
        <w:t xml:space="preserve">ляет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субсидии.</w:t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Способ</w:t>
      </w:r>
      <w:r>
        <w:rPr>
          <w:rFonts w:ascii="Times New Roman" w:hAnsi="Times New Roman"/>
          <w:color w:val="auto"/>
          <w:sz w:val="28"/>
          <w:szCs w:val="28"/>
        </w:rPr>
        <w:t xml:space="preserve">ом</w:t>
      </w:r>
      <w:r>
        <w:rPr>
          <w:rFonts w:ascii="Times New Roman" w:hAnsi="Times New Roman"/>
          <w:color w:val="auto"/>
          <w:sz w:val="28"/>
          <w:szCs w:val="28"/>
        </w:rPr>
        <w:t xml:space="preserve"> предоставления субсидии </w:t>
      </w:r>
      <w:r>
        <w:rPr>
          <w:rFonts w:ascii="Times New Roman" w:hAnsi="Times New Roman"/>
          <w:color w:val="auto"/>
          <w:sz w:val="28"/>
          <w:szCs w:val="28"/>
        </w:rPr>
        <w:t xml:space="preserve">является </w:t>
      </w:r>
      <w:r>
        <w:rPr>
          <w:rFonts w:ascii="Times New Roman" w:hAnsi="Times New Roman"/>
          <w:color w:val="auto"/>
          <w:sz w:val="28"/>
          <w:szCs w:val="28"/>
        </w:rPr>
        <w:t xml:space="preserve">финансовое обеспечение затрат.</w:t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Информация о субсидии размещается на едином портале бю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джетной системы Российской Федерации в информационно-телекоммуникационной сети «Интернет» (далее соответственно – единый портал, сеть «Интернет») (в разделе единого портала) в порядке, установленном Министерством финансов Российской Федерации, в течение 10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рабочих дней со дня, следующего за днем доведения бюджетных ассигнований на предоставление субсидии до Министерства.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5. </w:t>
      </w:r>
      <w:r>
        <w:rPr>
          <w:rStyle w:val="699"/>
          <w:rFonts w:ascii="Times New Roman" w:hAnsi="Times New Roman"/>
          <w:sz w:val="28"/>
          <w:szCs w:val="28"/>
        </w:rPr>
        <w:t xml:space="preserve">Получателем субсидии в соответствии с Законом Камчатского края </w:t>
      </w:r>
      <w:r>
        <w:rPr>
          <w:rStyle w:val="699"/>
          <w:rFonts w:ascii="Times New Roman" w:hAnsi="Times New Roman"/>
          <w:sz w:val="28"/>
          <w:szCs w:val="28"/>
          <w:highlight w:val="yellow"/>
        </w:rPr>
        <w:t xml:space="preserve">от 26.11.2025 № 537</w:t>
      </w:r>
      <w:r>
        <w:rPr>
          <w:rStyle w:val="699"/>
          <w:rFonts w:ascii="Times New Roman" w:hAnsi="Times New Roman"/>
          <w:sz w:val="28"/>
          <w:szCs w:val="28"/>
        </w:rPr>
        <w:t xml:space="preserve"> «О краевом бюджете на 2027 год и на плановый период 2028 и 2029 годов» 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является социально ориентированная некоммерческая организация – автономная некоммерческая организация «Комитет семей воинов отечества Камчатского края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».</w:t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Style w:val="699"/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К направлениям расходов, источником финансового обеспечения которых является субсидия, относятся: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Style w:val="699"/>
          <w:rFonts w:ascii="Times New Roman" w:hAnsi="Times New Roman"/>
          <w:sz w:val="28"/>
          <w:szCs w:val="28"/>
        </w:rPr>
        <w:suppressLineNumbers w:val="0"/>
      </w:pPr>
      <w:r>
        <w:rPr>
          <w:rStyle w:val="699"/>
          <w:rFonts w:ascii="Times New Roman" w:hAnsi="Times New Roman"/>
          <w:sz w:val="28"/>
          <w:szCs w:val="28"/>
        </w:rPr>
        <w:t xml:space="preserve">1) </w:t>
      </w:r>
      <w:r>
        <w:rPr>
          <w:rStyle w:val="699"/>
          <w:rFonts w:ascii="Times New Roman" w:hAnsi="Times New Roman"/>
          <w:sz w:val="28"/>
          <w:szCs w:val="28"/>
        </w:rPr>
        <w:t xml:space="preserve">затраты на </w:t>
      </w:r>
      <w:r>
        <w:rPr>
          <w:rFonts w:ascii="Times New Roman" w:hAnsi="Times New Roman"/>
          <w:sz w:val="28"/>
          <w:szCs w:val="28"/>
        </w:rPr>
        <w:t xml:space="preserve">оплат</w:t>
      </w:r>
      <w:r>
        <w:rPr>
          <w:rFonts w:ascii="Times New Roman" w:hAnsi="Times New Roman"/>
          <w:sz w:val="28"/>
          <w:szCs w:val="28"/>
        </w:rPr>
        <w:t xml:space="preserve">у</w:t>
      </w:r>
      <w:r>
        <w:rPr>
          <w:rFonts w:ascii="Times New Roman" w:hAnsi="Times New Roman"/>
          <w:sz w:val="28"/>
          <w:szCs w:val="28"/>
        </w:rPr>
        <w:t xml:space="preserve"> труда и взносы по обязательному социальному страхованию на выплаты по оплате труда работников и иные выплаты работникам, осуществляющих деятельность, связанную с оказанием услуг</w:t>
      </w:r>
      <w:r>
        <w:rPr>
          <w:rStyle w:val="699"/>
          <w:rFonts w:ascii="Times New Roman" w:hAnsi="Times New Roman"/>
          <w:sz w:val="28"/>
          <w:szCs w:val="28"/>
        </w:rPr>
        <w:t xml:space="preserve">, указанных в части 1 настоящего Порядка;</w:t>
      </w:r>
      <w:r>
        <w:rPr>
          <w:rStyle w:val="699"/>
          <w:rFonts w:ascii="Times New Roman" w:hAnsi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Style w:val="699"/>
          <w:rFonts w:ascii="Times New Roman" w:hAnsi="Times New Roman"/>
          <w:sz w:val="28"/>
          <w:szCs w:val="28"/>
        </w:rPr>
        <w:suppressLineNumbers w:val="0"/>
      </w:pPr>
      <w:r>
        <w:rPr>
          <w:rStyle w:val="699"/>
          <w:rFonts w:ascii="Times New Roman" w:hAnsi="Times New Roman"/>
          <w:sz w:val="28"/>
          <w:szCs w:val="28"/>
        </w:rPr>
        <w:t xml:space="preserve">2) </w:t>
      </w:r>
      <w:r>
        <w:rPr>
          <w:rStyle w:val="699"/>
          <w:rFonts w:ascii="Times New Roman" w:hAnsi="Times New Roman"/>
          <w:sz w:val="28"/>
          <w:szCs w:val="28"/>
        </w:rPr>
        <w:t xml:space="preserve">оплата </w:t>
      </w:r>
      <w:r>
        <w:rPr>
          <w:rStyle w:val="699"/>
          <w:rFonts w:ascii="Times New Roman" w:hAnsi="Times New Roman"/>
          <w:sz w:val="28"/>
          <w:szCs w:val="28"/>
        </w:rPr>
        <w:t xml:space="preserve">услуг специалистов, привлекаемых получателем субсидии для достижения цел</w:t>
      </w:r>
      <w:r>
        <w:rPr>
          <w:rStyle w:val="699"/>
          <w:rFonts w:ascii="Times New Roman" w:hAnsi="Times New Roman"/>
          <w:sz w:val="28"/>
          <w:szCs w:val="28"/>
        </w:rPr>
        <w:t xml:space="preserve">ей, указанных</w:t>
      </w:r>
      <w:r>
        <w:rPr>
          <w:rStyle w:val="699"/>
          <w:rFonts w:ascii="Times New Roman" w:hAnsi="Times New Roman"/>
          <w:sz w:val="28"/>
          <w:szCs w:val="28"/>
        </w:rPr>
        <w:t xml:space="preserve"> в части 1 настоящего Порядка, в соответствии с заключенными договорами гражданско-правового характера; </w:t>
      </w:r>
      <w:r>
        <w:rPr>
          <w:rStyle w:val="699"/>
          <w:rFonts w:ascii="Times New Roman" w:hAnsi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3</w:t>
      </w:r>
      <w:r>
        <w:rPr>
          <w:rFonts w:ascii="Times New Roman" w:hAnsi="Times New Roman"/>
          <w:color w:val="auto"/>
          <w:sz w:val="28"/>
          <w:szCs w:val="28"/>
        </w:rPr>
        <w:t xml:space="preserve">) </w:t>
      </w:r>
      <w:r>
        <w:rPr>
          <w:rFonts w:ascii="Times New Roman" w:hAnsi="Times New Roman"/>
          <w:color w:val="auto"/>
          <w:sz w:val="28"/>
          <w:szCs w:val="28"/>
        </w:rPr>
        <w:t xml:space="preserve">затраты </w:t>
      </w:r>
      <w:r>
        <w:rPr>
          <w:rFonts w:ascii="Times New Roman" w:hAnsi="Times New Roman"/>
          <w:color w:val="auto"/>
          <w:sz w:val="28"/>
          <w:szCs w:val="28"/>
        </w:rPr>
        <w:t xml:space="preserve">на материально-техническое обеспечение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приобретение канцелярских товаров, полиграфических услуг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комплектующих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компьютерной техники, приобретение и обновление программного обеспечения</w:t>
      </w:r>
      <w:r/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  <w:t xml:space="preserve">);</w:t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none"/>
        </w:rPr>
        <w:suppressLineNumbers w:val="0"/>
      </w:pPr>
      <w:r>
        <w:rPr>
          <w:rStyle w:val="699"/>
          <w:rFonts w:ascii="Times New Roman" w:hAnsi="Times New Roman"/>
          <w:sz w:val="28"/>
          <w:szCs w:val="28"/>
        </w:rPr>
        <w:t xml:space="preserve">4</w:t>
      </w:r>
      <w:r>
        <w:rPr>
          <w:rStyle w:val="699"/>
          <w:rFonts w:ascii="Times New Roman" w:hAnsi="Times New Roman"/>
          <w:sz w:val="28"/>
          <w:szCs w:val="28"/>
        </w:rPr>
        <w:t xml:space="preserve">) </w:t>
      </w:r>
      <w:r>
        <w:rPr>
          <w:rStyle w:val="699"/>
          <w:rFonts w:ascii="Times New Roman" w:hAnsi="Times New Roman"/>
          <w:sz w:val="28"/>
          <w:szCs w:val="28"/>
        </w:rPr>
        <w:t xml:space="preserve">затраты </w:t>
      </w:r>
      <w:r>
        <w:rPr>
          <w:rStyle w:val="699"/>
          <w:rFonts w:ascii="Times New Roman" w:hAnsi="Times New Roman"/>
          <w:sz w:val="28"/>
          <w:szCs w:val="28"/>
        </w:rPr>
        <w:t xml:space="preserve">на услуги связи, услуги банка по расчетно-кассовому обслуживанию, необходимые для </w:t>
      </w:r>
      <w:r>
        <w:rPr>
          <w:rFonts w:ascii="Times New Roman" w:hAnsi="Times New Roman"/>
          <w:sz w:val="28"/>
          <w:szCs w:val="28"/>
        </w:rPr>
        <w:t xml:space="preserve">проведения мероприятий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5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) 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затраты на 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аренд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у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 помещений, необходимых для проведения мероприятий;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  <w:t xml:space="preserve">6) 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  <w:t xml:space="preserve">оплата расходов членов получателя субсидии 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 проезду к месту проведения окружных сборов,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  <w:t xml:space="preserve">всероссийских и региональных мероприятий и обратно (включая оплату услуг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 оформлению проездных документов) – в размере фактических расходов,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подтвержденных проездными документами, но не выше стоимости проезда: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  <w:t xml:space="preserve">а) железнодорожным транспортом: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купейном вагоне скорого фирменного поезда для поездов дальнего 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следования;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плацкартных и общих вагонах (с местами для сидения) на поездах 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пригородного сообщения;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  <w:t xml:space="preserve">б) воздушным транспортом – в салоне экономического класса по тарифам 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  <w:t xml:space="preserve">экономического класса обслуживания;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  <w:t xml:space="preserve">в) автомобильным транспортом – в автобусе при следовании по 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  <w:t xml:space="preserve">маршрутам регулярных перевозок в междугородном сообщении.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7. Условием предоставления субсидии является соответствие получателя субсидии на первое число месяца, в котором подаются указанные в части 8 нас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тоящего Порядка документы, следующим требованиям: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white"/>
        </w:rPr>
        <w:t xml:space="preserve">1) 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енного (через третьих лиц) участия офшорных компаний в совокупности превышает 25 процентов (если иное не пр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Федерации). При расчете доли участия офшорных компаний в капитале российских юридических лиц не учитывается 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ний в капитале других российских юридических лиц, реализованное через участие в капитале указанных публичных акционерных обществ;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2) получатель субсидии не находится в перечне организаций и физических лиц, в отношении которых имеются сведения об их причас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тности к экстремистской деятельности или терроризму;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3) получатель субсидии не находится в составляемых в рамках реализации полномочий, предусмотренных главой </w:t>
      </w:r>
      <w:r>
        <w:rPr>
          <w:rStyle w:val="699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V</w:t>
      </w:r>
      <w:r>
        <w:rPr>
          <w:rStyle w:val="699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II 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Устава ООН, Советом Безопасности ООН или органами, специально созданными решениями Совета Без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4) получатель субсидии не получает средства из краевого бюджета на основании иных нормати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вных правовых актов Камчатского края на цели, установленные частью 1 настоящего Порядка;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5) получатель субсидии не является иностранным агентом в соответствии с Федеральным законом от 14.07.2022 № 255-ФЗ «О контроле за деятельностью лиц, находящихся под и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ностранным влиянием»;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6) у получателя субсидии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юджетной системы Российской Федерации;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7) у получателя субсидии отсутствуют просроченная задолженность по возврату в краевой бюджет иных субсидий, бюджетных инвестиций, а также иная просроченная (неурегулированная) задолженность по денежным обязательствам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 перед Камчатским краем;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8) получатель субсидии не находится в процессе реорганизации (за исключением реорганизации в форме присоединения к получателю субсидии другого юридического лица), ликвидации, в отношении его не введена процедура банкротства, деяте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льность получателя субсидии не приостановлена в порядке, предусмотренном законодательством Российской Федерации; 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9)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Style w:val="699"/>
          <w:rFonts w:ascii="Times New Roman" w:hAnsi="Times New Roman" w:eastAsia="Times New Roman" w:cs="Times New Roman"/>
          <w:color w:val="auto"/>
          <w:sz w:val="28"/>
          <w:szCs w:val="28"/>
        </w:rPr>
        <w:t xml:space="preserve">10) получатель субсидии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осуществляет в</w:t>
      </w:r>
      <w:r>
        <w:rPr>
          <w:rFonts w:ascii="Times New Roman" w:hAnsi="Times New Roman"/>
          <w:color w:val="auto"/>
          <w:sz w:val="28"/>
          <w:szCs w:val="28"/>
        </w:rPr>
        <w:t xml:space="preserve"> соответствии с учредительными документами вид деятельности, предусмотренный подпунктом 9 пункта 1 </w:t>
      </w:r>
      <w:r>
        <w:rPr>
          <w:rFonts w:ascii="Times New Roman" w:hAnsi="Times New Roman"/>
          <w:color w:val="auto"/>
          <w:sz w:val="28"/>
          <w:szCs w:val="28"/>
        </w:rPr>
        <w:br/>
        <w:t xml:space="preserve">статьи 31</w:t>
      </w:r>
      <w:r>
        <w:rPr>
          <w:rFonts w:ascii="Times New Roman" w:hAnsi="Times New Roman"/>
          <w:color w:val="auto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/>
          <w:color w:val="auto"/>
          <w:sz w:val="28"/>
          <w:szCs w:val="28"/>
        </w:rPr>
        <w:t xml:space="preserve"> Федерального закона от 12.01.1996 № 7-ФЗ </w:t>
      </w:r>
      <w:hyperlink r:id="rId13" w:tooltip="https://login.consultant.ru/link/?req=doc&amp;base=LAW&amp;n=493282&amp;dst=1000000001" w:history="1">
        <w:r>
          <w:rPr>
            <w:rFonts w:ascii="Times New Roman" w:hAnsi="Times New Roman"/>
            <w:color w:val="auto"/>
            <w:sz w:val="28"/>
            <w:szCs w:val="28"/>
          </w:rPr>
          <w:t xml:space="preserve">«О некоммерческих организациях</w:t>
        </w:r>
      </w:hyperlink>
      <w:r>
        <w:rPr>
          <w:rFonts w:ascii="Times New Roman" w:hAnsi="Times New Roman"/>
          <w:color w:val="auto"/>
          <w:sz w:val="28"/>
          <w:szCs w:val="28"/>
        </w:rPr>
        <w:t xml:space="preserve">».</w:t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Style w:val="699"/>
          <w:rFonts w:ascii="Times New Roman" w:hAnsi="Times New Roman"/>
          <w:sz w:val="28"/>
          <w:szCs w:val="28"/>
        </w:rPr>
        <w:t xml:space="preserve">8. </w:t>
      </w:r>
      <w:r>
        <w:rPr>
          <w:rFonts w:ascii="Times New Roman" w:hAnsi="Times New Roman"/>
          <w:sz w:val="28"/>
          <w:szCs w:val="28"/>
        </w:rPr>
        <w:t xml:space="preserve">Для</w:t>
      </w:r>
      <w:r>
        <w:rPr>
          <w:rFonts w:ascii="Times New Roman" w:hAnsi="Times New Roman"/>
          <w:sz w:val="28"/>
          <w:szCs w:val="28"/>
        </w:rPr>
        <w:t xml:space="preserve"> получения субсидии получатель субсидии не позднее 20 ноября текущего финансового года представляет нарочным на бумажном носителе в Министерство подписанные и (или) заверенные руководителем получателя субсидии (уполномоченным им лицом) следующие документы:</w:t>
      </w:r>
      <w:r>
        <w:rPr>
          <w:rFonts w:ascii="Times New Roman" w:hAnsi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1) заявление на предоставление субсидии в произвольной форме с указанием счета получателя субсидии, открытого в учреждениях Центрального банка Российской Федерации или кредитных организация</w:t>
      </w:r>
      <w:r>
        <w:rPr>
          <w:rFonts w:ascii="Times New Roman" w:hAnsi="Times New Roman"/>
          <w:sz w:val="28"/>
          <w:szCs w:val="28"/>
        </w:rPr>
        <w:t xml:space="preserve">х</w:t>
      </w:r>
      <w:r>
        <w:rPr>
          <w:rFonts w:ascii="Times New Roman" w:hAnsi="Times New Roman"/>
          <w:sz w:val="28"/>
          <w:szCs w:val="28"/>
        </w:rPr>
        <w:t xml:space="preserve">, содержащую в том числе информацию о соответствии получателя субсидии требованиям, установленным </w:t>
      </w:r>
      <w:hyperlink r:id="rId14" w:tooltip="https://login.consultant.ru/link/?req=doc&amp;base=RLAW296&amp;n=214600&amp;dst=100031" w:history="1">
        <w:r>
          <w:rPr>
            <w:rFonts w:ascii="Times New Roman" w:hAnsi="Times New Roman"/>
            <w:sz w:val="28"/>
            <w:szCs w:val="28"/>
          </w:rPr>
          <w:t xml:space="preserve">частью </w:t>
        </w:r>
      </w:hyperlink>
      <w:r>
        <w:rPr>
          <w:rFonts w:ascii="Times New Roman" w:hAnsi="Times New Roman"/>
          <w:sz w:val="28"/>
          <w:szCs w:val="28"/>
        </w:rPr>
        <w:t xml:space="preserve">7 настоящего Порядка;</w:t>
      </w:r>
      <w:r>
        <w:rPr>
          <w:rFonts w:ascii="Times New Roman" w:hAnsi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2) заверенную копию устава получателя субсидии;</w:t>
      </w:r>
      <w:r>
        <w:rPr>
          <w:rFonts w:ascii="Times New Roman" w:hAnsi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3) копию штатного расписания получателя субсидии;</w:t>
      </w:r>
      <w:r>
        <w:rPr>
          <w:rFonts w:ascii="Times New Roman" w:hAnsi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4) смету по направлениям расходов, предусмотренных частью 6 </w:t>
      </w:r>
      <w:r>
        <w:rPr>
          <w:rFonts w:ascii="Times New Roman" w:hAnsi="Times New Roman" w:cs="Times New Roman"/>
          <w:sz w:val="28"/>
          <w:szCs w:val="28"/>
        </w:rPr>
        <w:t xml:space="preserve">настоящего Порядка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9. Документы, указанные в части 8 настоящего Порядка, подлежат регистрации в день их поступления в Министерство.</w:t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10. Министерство в течение 10 рабочих дней со дня регистрации документов, указанных в </w:t>
      </w:r>
      <w:hyperlink r:id="rId15" w:tooltip="https://login.consultant.ru/link/?req=doc&amp;base=RLAW296&amp;n=214600&amp;dst=100041" w:history="1">
        <w:r>
          <w:rPr>
            <w:rFonts w:ascii="Times New Roman" w:hAnsi="Times New Roman"/>
            <w:color w:val="auto"/>
            <w:sz w:val="28"/>
            <w:szCs w:val="28"/>
          </w:rPr>
          <w:t xml:space="preserve">части </w:t>
        </w:r>
      </w:hyperlink>
      <w:r>
        <w:rPr>
          <w:rFonts w:ascii="Times New Roman" w:hAnsi="Times New Roman"/>
          <w:color w:val="auto"/>
          <w:sz w:val="28"/>
          <w:szCs w:val="28"/>
        </w:rPr>
        <w:t xml:space="preserve">8 настоящего Порядка, рассматривает полноту и достоверность содержащихся в документах сведений, осуществляет проверку получателя субсидии на соответствие требованиям, установленным </w:t>
      </w:r>
      <w:hyperlink r:id="rId16" w:tooltip="https://login.consultant.ru/link/?req=doc&amp;base=RLAW296&amp;n=214600&amp;dst=100031" w:history="1">
        <w:r>
          <w:rPr>
            <w:rFonts w:ascii="Times New Roman" w:hAnsi="Times New Roman"/>
            <w:color w:val="auto"/>
            <w:sz w:val="28"/>
            <w:szCs w:val="28"/>
          </w:rPr>
          <w:t xml:space="preserve">частью </w:t>
        </w:r>
      </w:hyperlink>
      <w:r>
        <w:rPr>
          <w:rFonts w:ascii="Times New Roman" w:hAnsi="Times New Roman"/>
          <w:color w:val="auto"/>
          <w:sz w:val="28"/>
          <w:szCs w:val="28"/>
        </w:rPr>
        <w:t xml:space="preserve">7 настоящего Порядка, посредством получения сведений и информации, размещенной в форме </w:t>
      </w:r>
      <w:r>
        <w:rPr>
          <w:rFonts w:ascii="Times New Roman" w:hAnsi="Times New Roman"/>
          <w:color w:val="auto"/>
          <w:sz w:val="28"/>
          <w:szCs w:val="28"/>
        </w:rPr>
        <w:t xml:space="preserve">открытых данных на официальных сайтах уполномоченных государственных органов в сети «Интернет», направления в уполномоченные государственные органы запросов, а также использования иных форм проверки, не противоречащих законодательству Российской Федерации.</w:t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11. Министерство в течение 10 рабочих дней со дня регистрации документов, указанных в части 8 настоящего Порядка, принимает решение о предоставлении субсидии или об отказе в предоставлении субсидии.</w:t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12. Основаниями для отказа в предоставлении субсидии являются:</w:t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1) несоответствие представленных получателем субсидии документов требованиям, установленным частью 8 настоящего Порядка, или непредставление (представление не в полном объеме) указанных документов;</w:t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2) установление факта недостоверности представленной получателем субсидии информации;</w:t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3) несоответствие получателя субсидии требованиям, установленным частью 7 настоящего Порядка.</w:t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13. В случае принятия решения об отказе в предоставлении субсидии Министерство в течени</w:t>
      </w:r>
      <w:r>
        <w:rPr>
          <w:rFonts w:ascii="Times New Roman" w:hAnsi="Times New Roman"/>
          <w:color w:val="auto"/>
          <w:sz w:val="28"/>
          <w:szCs w:val="28"/>
        </w:rPr>
        <w:t xml:space="preserve">е 3 рабочих дней со дня принятия такого решения направляет получателю субсидии уведомление об отказе в предоставлении субсидии с обоснованием причин отказа посредством почтового отправления или на адрес электронной почты, или иным способом, обеспечивающим </w:t>
      </w:r>
      <w:r>
        <w:rPr>
          <w:rFonts w:ascii="Times New Roman" w:hAnsi="Times New Roman"/>
          <w:color w:val="auto"/>
          <w:sz w:val="28"/>
          <w:szCs w:val="28"/>
        </w:rPr>
        <w:t xml:space="preserve">подтверждение получения указанного уведомления получателем субсидии.</w:t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contextualSpacing w:val="0"/>
        <w:ind w:firstLine="708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14. </w:t>
      </w:r>
      <w:r>
        <w:rPr>
          <w:rFonts w:ascii="Times New Roman" w:hAnsi="Times New Roman"/>
          <w:sz w:val="28"/>
          <w:szCs w:val="28"/>
        </w:rPr>
        <w:t xml:space="preserve">Отказ в предоставлении субсидии не препятствует повторной подаче получателем субсидии документов в порядке и сроки, указанные в 8 настоящего Порядка, после устранения получателем субсидии причин отказа.</w:t>
      </w:r>
      <w:r>
        <w:rPr>
          <w:rFonts w:ascii="Times New Roman" w:hAnsi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1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5</w:t>
      </w:r>
      <w:r>
        <w:rPr>
          <w:rStyle w:val="699"/>
          <w:rFonts w:ascii="Times New Roman" w:hAnsi="Times New Roman"/>
          <w:color w:val="auto"/>
          <w:sz w:val="28"/>
          <w:szCs w:val="28"/>
        </w:rPr>
        <w:t xml:space="preserve">. В случае принятия решения о предоставлении субсидии Министерство </w:t>
      </w:r>
      <w:r>
        <w:rPr>
          <w:rFonts w:ascii="Times New Roman" w:hAnsi="Times New Roman"/>
          <w:color w:val="auto"/>
          <w:sz w:val="28"/>
          <w:szCs w:val="28"/>
        </w:rPr>
        <w:t xml:space="preserve">заключает с получателем субсидии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соглашение о предоставлении субсидии (далее – соглашение) </w:t>
      </w:r>
      <w:r>
        <w:rPr>
          <w:rFonts w:ascii="Times New Roman" w:hAnsi="Times New Roman"/>
          <w:color w:val="auto"/>
          <w:sz w:val="28"/>
          <w:szCs w:val="28"/>
        </w:rPr>
        <w:t xml:space="preserve">на один финансовый год в порядке и сроки, установленные </w:t>
      </w:r>
      <w:hyperlink w:tooltip="#P131" w:anchor="P131" w:history="1">
        <w:r>
          <w:rPr>
            <w:rFonts w:ascii="Times New Roman" w:hAnsi="Times New Roman"/>
            <w:color w:val="auto"/>
            <w:sz w:val="28"/>
            <w:szCs w:val="28"/>
          </w:rPr>
          <w:t xml:space="preserve">частью 1</w:t>
        </w:r>
      </w:hyperlink>
      <w:r>
        <w:rPr>
          <w:rFonts w:ascii="Times New Roman" w:hAnsi="Times New Roman"/>
          <w:color w:val="auto"/>
          <w:sz w:val="28"/>
          <w:szCs w:val="28"/>
        </w:rPr>
        <w:t xml:space="preserve">7</w:t>
      </w:r>
      <w:r>
        <w:rPr>
          <w:rFonts w:ascii="Times New Roman" w:hAnsi="Times New Roman"/>
          <w:color w:val="auto"/>
          <w:sz w:val="28"/>
          <w:szCs w:val="28"/>
        </w:rPr>
        <w:t xml:space="preserve"> настоящего Порядка.</w:t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Соглашение, дополнительное соглашение к </w:t>
      </w:r>
      <w:bookmarkStart w:id="2" w:name="_GoBack"/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ению, в том числе дополнительное соглашение о расторжении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оглашения, заключаются в государственной интеграционной информационной системе управления общественными финансами «Электронный бюджет» (далее </w:t>
      </w:r>
      <w:r>
        <w:rPr>
          <w:rStyle w:val="699"/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ГИИС «Электронный бюджет») в соответствии с типовой формой, утвержденной Министерством финансов </w:t>
      </w:r>
      <w:r>
        <w:rPr>
          <w:rFonts w:ascii="Times New Roman" w:hAnsi="Times New Roman" w:cs="Times New Roman"/>
          <w:sz w:val="28"/>
          <w:szCs w:val="28"/>
        </w:rPr>
        <w:t xml:space="preserve">Камчатского края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. </w:t>
      </w:r>
      <w:r>
        <w:rPr>
          <w:rFonts w:ascii="Times New Roman" w:hAnsi="Times New Roman" w:cs="Times New Roman"/>
          <w:sz w:val="28"/>
          <w:szCs w:val="28"/>
        </w:rPr>
        <w:t xml:space="preserve">Заключение </w:t>
      </w:r>
      <w:r>
        <w:rPr>
          <w:rFonts w:ascii="Times New Roman" w:hAnsi="Times New Roman" w:cs="Times New Roman"/>
          <w:sz w:val="28"/>
          <w:szCs w:val="28"/>
        </w:rPr>
        <w:t xml:space="preserve">со</w:t>
      </w:r>
      <w:r>
        <w:rPr>
          <w:rFonts w:ascii="Times New Roman" w:hAnsi="Times New Roman" w:cs="Times New Roman"/>
          <w:sz w:val="28"/>
          <w:szCs w:val="28"/>
        </w:rPr>
        <w:t xml:space="preserve">глашения осуществляется в следующем порядке и </w:t>
      </w:r>
      <w:r>
        <w:rPr>
          <w:rFonts w:ascii="Times New Roman" w:hAnsi="Times New Roman" w:cs="Times New Roman"/>
          <w:sz w:val="28"/>
          <w:szCs w:val="28"/>
        </w:rPr>
        <w:t xml:space="preserve">сроки: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1) Министерство в течение 5 рабочих дней со дня принятия решения о предоставлении субсидии размещает проект соглашения в ГИИС «Электронный бюджет»;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2) получатель субсидии в течение 5 рабочих дней со дня размещения проекта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оглашения в ГИИС «Электронный бюджет» подписывает проект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оглашения усиленной квалифицированной электронной подписью. В случае, если получатель субсидии не подписал проект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оглашения в течение 5 рабочих дней со дня размещения проекта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оглашения в ГИИС «Электронный бюджет» усиленной квалифицированной электронной подписью, то такой получатель субсидии признается уклонившимся от заключения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3) Министерство в течение 5 рабочих дней со дня подписания получателем субсидии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оглашения, подписывает его со своей стороны в ГИИС «Электронный бюджет» усиленной квалифицированной электронной подписью;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4) с</w:t>
      </w:r>
      <w:r>
        <w:rPr>
          <w:rFonts w:ascii="Times New Roman" w:hAnsi="Times New Roman" w:cs="Times New Roman"/>
          <w:sz w:val="28"/>
          <w:szCs w:val="28"/>
        </w:rPr>
        <w:t xml:space="preserve">оглашение считается заключенным после подписания его Министерством и получателем субсидии в ГИИС «Электронный бюджет».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. Обязательными условиями предоставления субсидии являются: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1) включаемые соответственно в соглашение и договоры (соглашения), заключенные с получателем субсидии: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а) согласие получателя субсидии, лиц, получающих средства на основании договоров (соглашений), заключенных с получателем субсидии (за исключением государственных (муниципальных) у</w:t>
      </w:r>
      <w:r>
        <w:rPr>
          <w:rFonts w:ascii="Times New Roman" w:hAnsi="Times New Roman" w:cs="Times New Roman"/>
          <w:sz w:val="28"/>
          <w:szCs w:val="28"/>
        </w:rPr>
        <w:t xml:space="preserve">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отношении их проверки Министерством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в соответствии со </w:t>
      </w:r>
      <w:hyperlink r:id="rId17" w:tooltip="https://login.consultant.ru/link/?req=doc&amp;base=LAW&amp;n=466790&amp;dst=3704" w:history="1">
        <w:r>
          <w:rPr>
            <w:rFonts w:ascii="Times New Roman" w:hAnsi="Times New Roman" w:cs="Times New Roman"/>
            <w:sz w:val="28"/>
            <w:szCs w:val="28"/>
          </w:rPr>
          <w:t xml:space="preserve">статьями 268</w:t>
        </w:r>
      </w:hyperlink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8" w:tooltip="https://login.consultant.ru/link/?req=doc&amp;base=LAW&amp;n=466790&amp;dst=3722" w:history="1">
        <w:r>
          <w:rPr>
            <w:rFonts w:ascii="Times New Roman" w:hAnsi="Times New Roman" w:cs="Times New Roman"/>
            <w:sz w:val="28"/>
            <w:szCs w:val="28"/>
          </w:rPr>
          <w:t xml:space="preserve">269</w:t>
        </w:r>
      </w:hyperlink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б) запрет приобретения получателем субсидии, а также иными юридическими лицами, получающими средства на основании договоров (соглашений), заключенных с получателем субси</w:t>
      </w:r>
      <w:r>
        <w:rPr>
          <w:rFonts w:ascii="Times New Roman" w:hAnsi="Times New Roman" w:cs="Times New Roman"/>
          <w:sz w:val="28"/>
          <w:szCs w:val="28"/>
        </w:rPr>
        <w:t xml:space="preserve">дии,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2) включаемые в соглашение: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а) согласование новых условий соглашения или расторжение соглашения при </w:t>
      </w:r>
      <w:r>
        <w:rPr>
          <w:rFonts w:ascii="Times New Roman" w:hAnsi="Times New Roman" w:cs="Times New Roman"/>
          <w:sz w:val="28"/>
          <w:szCs w:val="28"/>
        </w:rPr>
        <w:t xml:space="preserve">недостижении</w:t>
      </w:r>
      <w:r>
        <w:rPr>
          <w:rFonts w:ascii="Times New Roman" w:hAnsi="Times New Roman" w:cs="Times New Roman"/>
          <w:sz w:val="28"/>
          <w:szCs w:val="28"/>
        </w:rPr>
        <w:t xml:space="preserve"> согласия по новым условиям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б) принятие получателем субсидии обязательства о достижении значения </w:t>
      </w:r>
      <w:r>
        <w:rPr>
          <w:rFonts w:ascii="Times New Roman" w:hAnsi="Times New Roman" w:cs="Times New Roman"/>
          <w:sz w:val="28"/>
          <w:szCs w:val="28"/>
        </w:rPr>
        <w:t xml:space="preserve">результатов предоставления субсидии;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в) условие о казначейском сопровождении средств;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) принятие получателем субсидии обязательства о представлении отчетов, предусмотренных </w:t>
      </w:r>
      <w:hyperlink w:tooltip="#P180" w:anchor="P180" w:history="1">
        <w:r>
          <w:rPr>
            <w:rFonts w:ascii="Times New Roman" w:hAnsi="Times New Roman" w:cs="Times New Roman"/>
            <w:sz w:val="28"/>
            <w:szCs w:val="28"/>
          </w:rPr>
          <w:t xml:space="preserve">частью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5 настоящего Порядка.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ind w:firstLine="708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9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 случаях, предусмотренных законодательством Российской Федерации и (или) законодательством Камчатского края, в соглашение могут быть внесены изменения</w:t>
      </w:r>
      <w:r>
        <w:rPr>
          <w:rFonts w:ascii="Times New Roman" w:hAnsi="Times New Roman"/>
          <w:sz w:val="28"/>
          <w:szCs w:val="28"/>
        </w:rPr>
        <w:t xml:space="preserve">. Внесение изменений в соглашение оформляется в виде дополнительного соглашения к соглашению (дополнительного соглашения о расторжении соглашения) (при необходимости) в соответствии с типовыми формами, утвержденными Министерством финансов Камчатского края.</w:t>
      </w:r>
      <w:r>
        <w:rPr>
          <w:rFonts w:ascii="Times New Roman" w:hAnsi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Министерство в течение 5 рабочих дней после дня принятия решения о заключении дополнительного соглашения к соглашению, размещает в ГИИС «Электронный бюджет» проект дополнительного соглашения к соглашению.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Получатель субсидии в течение 5 рабочих дней со дня размещения проекта дополнительного соглашения к соглашению в ГИИС «Электронный бюджет», но не позднее 20 декабря текуще</w:t>
      </w:r>
      <w:r>
        <w:rPr>
          <w:rFonts w:ascii="Times New Roman" w:hAnsi="Times New Roman" w:cs="Times New Roman"/>
          <w:sz w:val="28"/>
          <w:szCs w:val="28"/>
        </w:rPr>
        <w:t xml:space="preserve">го финансового года, организует подписани</w:t>
      </w:r>
      <w:r>
        <w:rPr>
          <w:rFonts w:ascii="Times New Roman" w:hAnsi="Times New Roman" w:cs="Times New Roman"/>
          <w:sz w:val="28"/>
          <w:szCs w:val="28"/>
        </w:rPr>
        <w:t xml:space="preserve">е дополнительного соглашения к с</w:t>
      </w:r>
      <w:r>
        <w:rPr>
          <w:rFonts w:ascii="Times New Roman" w:hAnsi="Times New Roman" w:cs="Times New Roman"/>
          <w:sz w:val="28"/>
          <w:szCs w:val="28"/>
        </w:rPr>
        <w:t xml:space="preserve">оглашению усиленной квалифицированной электронной подписью посредством ГИИС «Электронный бюджет».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Министерство в течение 5 рабочих дней со дня подписания усиленной квалифицированной электронной подписью получателем субсидии дополнительного соглашения к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оглашению, но не позднее 20 декабря текущего финансового года, подписывает его со своей стороны усиленной квалифицированной электронной подписью в ГИИС «Электронный бюджет».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20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При реорганизации п</w:t>
      </w:r>
      <w:r>
        <w:rPr>
          <w:rFonts w:ascii="Times New Roman" w:hAnsi="Times New Roman" w:cs="Times New Roman"/>
          <w:sz w:val="28"/>
          <w:szCs w:val="28"/>
        </w:rPr>
        <w:t xml:space="preserve">олучателя субсидии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форме слияния, присоединения или преобразования в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оглашение вносятся изменения путем заключения дополнительного соглашения</w:t>
      </w:r>
      <w:r>
        <w:rPr>
          <w:rFonts w:ascii="Times New Roman" w:hAnsi="Times New Roman" w:cs="Times New Roman"/>
          <w:sz w:val="28"/>
          <w:szCs w:val="28"/>
        </w:rPr>
        <w:t xml:space="preserve"> к соглашению в части перемены лица в обязательстве </w:t>
      </w:r>
      <w:r>
        <w:rPr>
          <w:rFonts w:ascii="Times New Roman" w:hAnsi="Times New Roman" w:cs="Times New Roman"/>
          <w:sz w:val="28"/>
          <w:szCs w:val="28"/>
        </w:rPr>
        <w:t xml:space="preserve">с указанием в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оглашении юридического лица, являющегося правопреемником.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При реорганизации п</w:t>
      </w:r>
      <w:r>
        <w:rPr>
          <w:rFonts w:ascii="Times New Roman" w:hAnsi="Times New Roman" w:cs="Times New Roman"/>
          <w:sz w:val="28"/>
          <w:szCs w:val="28"/>
        </w:rPr>
        <w:t xml:space="preserve">олучателя субсидии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форме разделения, выделения, а также при</w:t>
      </w:r>
      <w:r>
        <w:rPr>
          <w:rFonts w:ascii="Times New Roman" w:hAnsi="Times New Roman" w:cs="Times New Roman"/>
          <w:sz w:val="28"/>
          <w:szCs w:val="28"/>
        </w:rPr>
        <w:t xml:space="preserve"> ликвидации п</w:t>
      </w:r>
      <w:r>
        <w:rPr>
          <w:rFonts w:ascii="Times New Roman" w:hAnsi="Times New Roman" w:cs="Times New Roman"/>
          <w:sz w:val="28"/>
          <w:szCs w:val="28"/>
        </w:rPr>
        <w:t xml:space="preserve">олучателя субсидии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оглашение расторгается с формирова</w:t>
      </w:r>
      <w:r>
        <w:rPr>
          <w:rFonts w:ascii="Times New Roman" w:hAnsi="Times New Roman" w:cs="Times New Roman"/>
          <w:sz w:val="28"/>
          <w:szCs w:val="28"/>
        </w:rPr>
        <w:t xml:space="preserve">нием уведомления о расторжении с</w:t>
      </w:r>
      <w:r>
        <w:rPr>
          <w:rFonts w:ascii="Times New Roman" w:hAnsi="Times New Roman" w:cs="Times New Roman"/>
          <w:sz w:val="28"/>
          <w:szCs w:val="28"/>
        </w:rPr>
        <w:t xml:space="preserve">оглашения в одностороннем порядке и акта об исполнении обязательств по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оглашению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</w:t>
      </w:r>
      <w:r>
        <w:rPr>
          <w:rFonts w:ascii="Times New Roman" w:hAnsi="Times New Roman" w:cs="Times New Roman"/>
          <w:sz w:val="28"/>
          <w:szCs w:val="28"/>
        </w:rPr>
        <w:t xml:space="preserve">средств </w:t>
      </w:r>
      <w:r>
        <w:rPr>
          <w:rFonts w:ascii="Times New Roman" w:hAnsi="Times New Roman" w:cs="Times New Roman"/>
          <w:sz w:val="28"/>
          <w:szCs w:val="28"/>
        </w:rPr>
        <w:t xml:space="preserve">субсидии в краевой бюджет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21. Министерство перечисляет субси</w:t>
      </w:r>
      <w:r>
        <w:rPr>
          <w:rFonts w:ascii="Times New Roman" w:hAnsi="Times New Roman" w:cs="Times New Roman"/>
          <w:sz w:val="28"/>
          <w:szCs w:val="28"/>
        </w:rPr>
        <w:t xml:space="preserve">дию счет, открытый получателем субсидии в учреждениях Центрального банка Российской Федерации или кредитных организациях, реквизиты которого указаны в соглашении, в сроки в соответствии с планом-графиком перечисления субсидии, установленным в приложении к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Субсидия предоставляется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олучателю субсидии в размере, определенном по следующей формуле: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5"/>
        <w:contextualSpacing w:val="0"/>
        <w:ind w:left="0" w:righ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V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  <w:vertAlign w:val="subscript"/>
        </w:rPr>
        <w:t xml:space="preserve">субсидии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 = ∑ R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 ≤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 тыс. рублей,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 где: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</w:p>
    <w:p>
      <w:pPr>
        <w:pStyle w:val="755"/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</w:p>
    <w:p>
      <w:pPr>
        <w:pStyle w:val="755"/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V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  <w:vertAlign w:val="subscript"/>
        </w:rPr>
        <w:t xml:space="preserve">субсидии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 – размер субсидии, предоставляемой получателю субсидии на цели, указанные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части 1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настояще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 Порядк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</w:p>
    <w:p>
      <w:pPr>
        <w:pStyle w:val="755"/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R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– стоимость затрат на проведение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мероприятий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в соответствии с планом мероприятий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, рассчитываем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ая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 по следующей формуле: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</w:p>
    <w:p>
      <w:pPr>
        <w:pStyle w:val="755"/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ffffff"/>
        </w:rPr>
      </w:r>
    </w:p>
    <w:p>
      <w:pPr>
        <w:pStyle w:val="755"/>
        <w:contextualSpacing w:val="0"/>
        <w:ind w:left="0" w:righ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ffffff"/>
        </w:rPr>
        <w:t xml:space="preserve">R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ffffff"/>
        </w:rPr>
        <w:t xml:space="preserve"> = ОТ+УС+МТ+ОС+АП+ОП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ffffff"/>
        </w:rPr>
        <w:t xml:space="preserve">, где: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ffffff"/>
        </w:rPr>
      </w:r>
    </w:p>
    <w:p>
      <w:pPr>
        <w:pStyle w:val="755"/>
        <w:contextualSpacing w:val="0"/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– затраты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оплату труда работников получателя субсидии, включая взносы по обязательному социальному страхованию на выплаты по оплате труда работников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иные выплаты работникам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получателя субсидии,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осуществляющи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деятельность, связанную с оказанием услуг</w:t>
      </w:r>
      <w:r>
        <w:rPr>
          <w:rStyle w:val="699"/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указанных в </w:t>
        <w:br/>
      </w:r>
      <w:r>
        <w:rPr>
          <w:rStyle w:val="699"/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части 1 настоящего Порядка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УС – затраты на услуги специалистов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; 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МТ 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затраты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материально-техническое обеспечение (приобретение канцелярских товаров, полиграфических услуг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комплектующих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компьютерной техники, приобретение и обновление программного обеспечения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необходимое для проведения мероприятий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ОС – 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оплата 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услуг связи, 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«И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нтернета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услуг банка по расчетно-кассовому обслуживанию, необходимы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х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проведения мероприятий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АП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затраты на 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аренд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у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  <w:t xml:space="preserve"> помещений, необходимых для проведения мероприятий;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  <w:t xml:space="preserve">ОП – 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  <w:t xml:space="preserve">оплата расходов членов получателя субсидии 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 проезду к месту проведения окружных сборов,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none"/>
        </w:rPr>
        <w:t xml:space="preserve">всероссийских и региональных мероприятий и обратно;</w:t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</w:r>
      <w:r>
        <w:rPr>
          <w:rStyle w:val="699"/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white"/>
        </w:rPr>
        <w:t xml:space="preserve">Х – размер субсидии </w:t>
      </w:r>
      <w:r>
        <w:rPr>
          <w:rStyle w:val="699"/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пределах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лимитов бюджетных обязательств, доведенных до Министерства.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Результатами предоставления субсидии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на 31 декабря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текущего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года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являются проведение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мероприятий,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 указанных в части 1 настоящего Порядка.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24.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Значения результатов предоставления субсидии устанавливаются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со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глашением.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25. </w:t>
      </w:r>
      <w:r>
        <w:rPr>
          <w:rFonts w:ascii="Times New Roman" w:hAnsi="Times New Roman" w:cs="Times New Roman"/>
          <w:sz w:val="28"/>
          <w:szCs w:val="28"/>
        </w:rPr>
        <w:t xml:space="preserve">Получатель субсидии ежеквартально не позднее </w:t>
      </w:r>
      <w:r>
        <w:rPr>
          <w:rFonts w:ascii="Times New Roman" w:hAnsi="Times New Roman" w:cs="Times New Roman"/>
          <w:sz w:val="28"/>
          <w:szCs w:val="28"/>
        </w:rPr>
        <w:t xml:space="preserve">15 календарного </w:t>
      </w:r>
      <w:r>
        <w:rPr>
          <w:rFonts w:ascii="Times New Roman" w:hAnsi="Times New Roman" w:cs="Times New Roman"/>
          <w:sz w:val="28"/>
          <w:szCs w:val="28"/>
        </w:rPr>
        <w:t xml:space="preserve">дня, следующего за отчетным кварталом, представляет в ГИИС «Электронный бюджет» по формам, определенным типов</w:t>
      </w:r>
      <w:r>
        <w:rPr>
          <w:rFonts w:ascii="Times New Roman" w:hAnsi="Times New Roman" w:cs="Times New Roman"/>
          <w:sz w:val="28"/>
          <w:szCs w:val="28"/>
        </w:rPr>
        <w:t xml:space="preserve">ой</w:t>
      </w:r>
      <w:r>
        <w:rPr>
          <w:rFonts w:ascii="Times New Roman" w:hAnsi="Times New Roman" w:cs="Times New Roman"/>
          <w:sz w:val="28"/>
          <w:szCs w:val="28"/>
        </w:rPr>
        <w:t xml:space="preserve"> форм</w:t>
      </w:r>
      <w:r>
        <w:rPr>
          <w:rFonts w:ascii="Times New Roman" w:hAnsi="Times New Roman" w:cs="Times New Roman"/>
          <w:sz w:val="28"/>
          <w:szCs w:val="28"/>
        </w:rPr>
        <w:t xml:space="preserve">ой</w:t>
      </w:r>
      <w:r>
        <w:rPr>
          <w:rFonts w:ascii="Times New Roman" w:hAnsi="Times New Roman" w:cs="Times New Roman"/>
          <w:sz w:val="28"/>
          <w:szCs w:val="28"/>
        </w:rPr>
        <w:t xml:space="preserve"> соглашени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, установленн</w:t>
      </w:r>
      <w:r>
        <w:rPr>
          <w:rFonts w:ascii="Times New Roman" w:hAnsi="Times New Roman" w:cs="Times New Roman"/>
          <w:sz w:val="28"/>
          <w:szCs w:val="28"/>
        </w:rPr>
        <w:t xml:space="preserve">ой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Министерством финансов </w:t>
      </w:r>
      <w:r>
        <w:rPr>
          <w:rFonts w:ascii="Times New Roman" w:hAnsi="Times New Roman" w:cs="Times New Roman"/>
          <w:sz w:val="28"/>
          <w:szCs w:val="28"/>
        </w:rPr>
        <w:t xml:space="preserve">Камчатского края</w:t>
      </w:r>
      <w:r>
        <w:rPr>
          <w:rFonts w:ascii="Times New Roman" w:hAnsi="Times New Roman" w:cs="Times New Roman"/>
          <w:sz w:val="28"/>
          <w:szCs w:val="28"/>
        </w:rPr>
        <w:t xml:space="preserve">, следующие отчеты: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1) отчет о достижении значения результатов предоставления субсидии;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2) отчет об осуществлении расходов, источником финансового обеспечения которых является субсидия, с приложением документов, подтверждающих фактически произведенные расходы.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26.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 в течение 10 рабочих дней со дня получения отчетов, указанных в </w:t>
      </w:r>
      <w:hyperlink w:tooltip="#P180" w:anchor="P180" w:history="1">
        <w:r>
          <w:rPr>
            <w:rFonts w:ascii="Times New Roman" w:hAnsi="Times New Roman" w:cs="Times New Roman"/>
            <w:sz w:val="28"/>
            <w:szCs w:val="28"/>
          </w:rPr>
          <w:t xml:space="preserve">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проверку отчетов, устанавливает полноту и достоверность сведений, содержащихся в отчетах.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Отчет считается принятым после подписания его усиленной квалифицированной э</w:t>
      </w:r>
      <w:r>
        <w:rPr>
          <w:rFonts w:ascii="Times New Roman" w:hAnsi="Times New Roman" w:cs="Times New Roman"/>
          <w:sz w:val="28"/>
          <w:szCs w:val="28"/>
        </w:rPr>
        <w:t xml:space="preserve">лектронной подписью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Министерства (уполномоченного им лица) в ГИИС «Электронный бюджет».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Отчет считается непринятым после направления получателю субсидии протокола, подписанного усиленной квалифицированной электронной подписью руководителя Министерства (уполномоченного им лица) в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ГИИС «Электронный бюджет», в связи с непредставлением (представлением не в полном объеме) отчета, некорректным заполнением (</w:t>
      </w:r>
      <w:r>
        <w:rPr>
          <w:rFonts w:ascii="Times New Roman" w:hAnsi="Times New Roman" w:cs="Times New Roman"/>
          <w:sz w:val="28"/>
          <w:szCs w:val="28"/>
        </w:rPr>
        <w:t xml:space="preserve">незаполнением</w:t>
      </w:r>
      <w:r>
        <w:rPr>
          <w:rFonts w:ascii="Times New Roman" w:hAnsi="Times New Roman" w:cs="Times New Roman"/>
          <w:sz w:val="28"/>
          <w:szCs w:val="28"/>
        </w:rPr>
        <w:t xml:space="preserve">) получателем субсидии всех обязательных для заполнения граф, предусмотренных в отчете.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Министерство в протоколе, направленном получателю субсидии, устанавливает срок представления скорректированного отчета.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27. Министерство проводит мониторинг достижения результатов предоставления субсидии исходя из достижения значения результатов предоставления субсидии, определенного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оглашением, и событий, отражающих факт завершения соответствующего мероприятия по получению результатов предоставления субсидии (контрольная точка), в порядке и по формам, установленным Министерством финансов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28. Министерство осуществляет в отношении получателя субсидии, а также лиц, получивших средства на основании договоров (соглашений), за</w:t>
      </w:r>
      <w:r>
        <w:rPr>
          <w:rFonts w:ascii="Times New Roman" w:hAnsi="Times New Roman" w:cs="Times New Roman"/>
          <w:sz w:val="28"/>
          <w:szCs w:val="28"/>
        </w:rPr>
        <w:t xml:space="preserve">ключенных с получателем субсидии, проверки соблюдения ими условий и порядка предоставления субсидии, в том числе в части достижения результатов предоставления субсидии, а органы государственного финансового контроля осуществляют проверки в соответствии со </w:t>
      </w:r>
      <w:hyperlink r:id="rId19" w:tooltip="https://login.consultant.ru/link/?req=doc&amp;base=LAW&amp;n=466790&amp;dst=3704" w:history="1">
        <w:r>
          <w:rPr>
            <w:rFonts w:ascii="Times New Roman" w:hAnsi="Times New Roman" w:cs="Times New Roman"/>
            <w:sz w:val="28"/>
            <w:szCs w:val="28"/>
          </w:rPr>
          <w:t xml:space="preserve">статьями 268</w:t>
        </w:r>
      </w:hyperlink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20" w:tooltip="https://login.consultant.ru/link/?req=doc&amp;base=LAW&amp;n=466790&amp;dst=3722" w:history="1">
        <w:r>
          <w:rPr>
            <w:rFonts w:ascii="Times New Roman" w:hAnsi="Times New Roman" w:cs="Times New Roman"/>
            <w:sz w:val="28"/>
            <w:szCs w:val="28"/>
          </w:rPr>
          <w:t xml:space="preserve">269</w:t>
        </w:r>
      </w:hyperlink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Министерство оформляет результаты проверок в порядке, установленном </w:t>
      </w:r>
      <w:hyperlink r:id="rId21" w:tooltip="https://login.consultant.ru/link/?req=doc&amp;base=LAW&amp;n=489036&amp;dst=100155" w:history="1">
        <w:r>
          <w:rPr>
            <w:rFonts w:ascii="Times New Roman" w:hAnsi="Times New Roman" w:cs="Times New Roman"/>
            <w:sz w:val="28"/>
            <w:szCs w:val="28"/>
          </w:rPr>
          <w:t xml:space="preserve">пунктами 48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</w:t>
      </w:r>
      <w:hyperlink r:id="rId22" w:tooltip="https://login.consultant.ru/link/?req=doc&amp;base=LAW&amp;n=489036&amp;dst=100190" w:history="1">
        <w:r>
          <w:rPr>
            <w:rFonts w:ascii="Times New Roman" w:hAnsi="Times New Roman" w:cs="Times New Roman"/>
            <w:sz w:val="28"/>
            <w:szCs w:val="28"/>
          </w:rPr>
          <w:t xml:space="preserve">59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стандарта внутреннего государственного </w:t>
      </w:r>
      <w:r>
        <w:rPr>
          <w:rFonts w:ascii="Times New Roman" w:hAnsi="Times New Roman" w:cs="Times New Roman"/>
          <w:sz w:val="28"/>
          <w:szCs w:val="28"/>
        </w:rPr>
        <w:t xml:space="preserve">(муниципального) финансового контроля «Проведение проверок, ревизий и обследований и оформление их результатов», утвержденного постановлением Правительства Российской Федерации от 17.08.2020 № 1235.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29. В случае нарушения получателем субсидии условий </w:t>
      </w:r>
      <w:r>
        <w:rPr>
          <w:rFonts w:ascii="Times New Roman" w:hAnsi="Times New Roman" w:cs="Times New Roman"/>
          <w:sz w:val="28"/>
          <w:szCs w:val="28"/>
        </w:rPr>
        <w:t xml:space="preserve">и порядка, установленных при предоставлении субсидии, выявленного в том числе по фактам проверок, проведенных Министерством и (или) органами государственного финансового контроля, а также в случае недостижения значения результатов предоставления субсидии, </w:t>
      </w:r>
      <w:r>
        <w:rPr>
          <w:rFonts w:ascii="Times New Roman" w:hAnsi="Times New Roman" w:cs="Times New Roman"/>
          <w:sz w:val="28"/>
          <w:szCs w:val="28"/>
        </w:rPr>
        <w:t xml:space="preserve">средства </w:t>
      </w:r>
      <w:r>
        <w:rPr>
          <w:rFonts w:ascii="Times New Roman" w:hAnsi="Times New Roman" w:cs="Times New Roman"/>
          <w:sz w:val="28"/>
          <w:szCs w:val="28"/>
        </w:rPr>
        <w:t xml:space="preserve">субсиди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подлеж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т возврату в краевой бюджет в следующем порядке и сроки: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1) в случае выявления нарушения органами государственного финансового контроля </w:t>
      </w:r>
      <w:r>
        <w:rPr>
          <w:rStyle w:val="699"/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представления и (или) предписания органа государственного финансового контроля в сроки, указанные в представлении и (или) предписании;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2) в случае выявления нарушения Министерством </w:t>
      </w:r>
      <w:r>
        <w:rPr>
          <w:rStyle w:val="699"/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в течение 20 рабочих дней со дня получения требования Министерства;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3) в иных случаях </w:t>
      </w:r>
      <w:r>
        <w:rPr>
          <w:rStyle w:val="699"/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в течение 20 рабочих дней со дня выявления нарушения.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30. Получатель субсидии обязан возвратить </w:t>
      </w:r>
      <w:r>
        <w:rPr>
          <w:rFonts w:ascii="Times New Roman" w:hAnsi="Times New Roman" w:cs="Times New Roman"/>
          <w:sz w:val="28"/>
          <w:szCs w:val="28"/>
        </w:rPr>
        <w:t xml:space="preserve">средства </w:t>
      </w:r>
      <w:r>
        <w:rPr>
          <w:rFonts w:ascii="Times New Roman" w:hAnsi="Times New Roman" w:cs="Times New Roman"/>
          <w:sz w:val="28"/>
          <w:szCs w:val="28"/>
        </w:rPr>
        <w:t xml:space="preserve">субсиди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в краевой бюджет в следующих размерах: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1) в случае нарушения целей предоставления субсидии </w:t>
      </w:r>
      <w:r>
        <w:rPr>
          <w:rStyle w:val="699"/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в размере нецелевого использования денежных средств;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2) в случае нарушения условий и порядка предоставления субсидии </w:t>
      </w:r>
      <w:r>
        <w:rPr>
          <w:rStyle w:val="699"/>
          <w:rFonts w:ascii="Times New Roman" w:hAnsi="Times New Roman"/>
          <w:sz w:val="28"/>
          <w:szCs w:val="28"/>
        </w:rPr>
        <w:t xml:space="preserve">– </w:t>
      </w:r>
      <w:r>
        <w:rPr>
          <w:rStyle w:val="699"/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полном объеме;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3) в случае недостижения значения результатов предоставления субсидии, установленного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оглашением, </w:t>
      </w:r>
      <w:r>
        <w:rPr>
          <w:rStyle w:val="699"/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в размере, определенном по следующей формуле: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jc w:val="center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V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возврата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 xml:space="preserve">V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субсидии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m:oMath>
        <m:f>
          <m:fPr>
            <m:ctrlPr>
              <w:rPr>
                <w:rFonts w:hint="default" w:ascii="Cambria Math" w:hAnsi="Cambria Math" w:eastAsia="Cambria Math" w:cs="Cambria Math"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hint="default" w:ascii="Cambria Math" w:hAnsi="Cambria Math" w:eastAsia="Cambria Math" w:cs="Cambria Math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>
                    <m:sty m:val="p"/>
                  </m:rPr>
                  <m:t>1 –</m:t>
                </m:r>
                <m:f>
                  <m:fPr>
                    <m:ctrlPr>
                      <w:rPr>
                        <w:rFonts w:hint="default" w:ascii="Cambria Math" w:hAnsi="Cambria Math" w:eastAsia="Cambria Math" w:cs="Cambria Math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>
                        <m:sty m:val="p"/>
                      </m:rPr>
                      <m:t>S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vertAlign w:val="subscript"/>
                      </w:rPr>
                      <m:rPr>
                        <m:sty m:val="p"/>
                      </m:rPr>
                      <m:t>факт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>
                        <m:sty m:val="p"/>
                      </m:rPr>
                      <m:t>S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vertAlign w:val="subscript"/>
                      </w:rPr>
                      <m:rPr>
                        <m:sty m:val="p"/>
                      </m:rPr>
                      <m:t>план</m:t>
                    </m:r>
                  </m:den>
                </m:f>
              </m:e>
            </m:d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n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, где: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V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возврата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99"/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размер средств субсидии, подлежащих возврату;</w:t>
      </w:r>
      <m:oMath>
        <m:r>
          <w:rPr>
            <w:rFonts w:ascii="Cambria Math" w:hAnsi="Cambria Math" w:cs="Times New Roman"/>
            <w:sz w:val="28"/>
            <w:szCs w:val="28"/>
          </w:rPr>
          <m:rPr/>
          <m:t> </m:t>
        </m:r>
      </m:oMath>
      <w:r/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V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субсидии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99"/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размер субсидии, предоставленной получателю субсидии;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S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факт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99"/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фактически достигнутое значение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</w:rPr>
        <w:t xml:space="preserve">-ого результата предоставления субсидии, установленного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оглашением;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S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99"/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плановое значение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</w:rPr>
        <w:t xml:space="preserve">-ого результата предоставления субсидии, установленного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оглашением;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n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общее</w:t>
      </w:r>
      <w:r>
        <w:rPr>
          <w:rFonts w:ascii="Times New Roman" w:hAnsi="Times New Roman" w:cs="Times New Roman"/>
          <w:sz w:val="28"/>
          <w:szCs w:val="28"/>
        </w:rPr>
        <w:t xml:space="preserve"> количество результатов предоставления субсидии, установленных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оглашением.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31. Письменное требование о возврате </w:t>
      </w:r>
      <w:r>
        <w:rPr>
          <w:rFonts w:ascii="Times New Roman" w:hAnsi="Times New Roman" w:cs="Times New Roman"/>
          <w:sz w:val="28"/>
          <w:szCs w:val="28"/>
        </w:rPr>
        <w:t xml:space="preserve">средств </w:t>
      </w:r>
      <w:r>
        <w:rPr>
          <w:rFonts w:ascii="Times New Roman" w:hAnsi="Times New Roman" w:cs="Times New Roman"/>
          <w:sz w:val="28"/>
          <w:szCs w:val="28"/>
        </w:rPr>
        <w:t xml:space="preserve">субсидии в краевой бюджет направляется Министерством получателю субсидии в течение 20 рабочих дней со дня выявления наруше</w:t>
      </w:r>
      <w:r>
        <w:rPr>
          <w:rFonts w:ascii="Times New Roman" w:hAnsi="Times New Roman" w:cs="Times New Roman"/>
          <w:sz w:val="28"/>
          <w:szCs w:val="28"/>
        </w:rPr>
        <w:t xml:space="preserve">ний по фактам проверок, проведенных Министерством и (или) органами государственного финансового контроля, посредством почтового отправления, нарочным способом, на адрес электронной почты или иным способом, обеспечивающим подтверждение получения указанного </w:t>
      </w:r>
      <w:r>
        <w:rPr>
          <w:rFonts w:ascii="Times New Roman" w:hAnsi="Times New Roman" w:cs="Times New Roman"/>
          <w:sz w:val="28"/>
          <w:szCs w:val="28"/>
        </w:rPr>
        <w:t xml:space="preserve">требования получателем субсидии.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32. При невозврате средств субсидии в сроки, установленные </w:t>
      </w:r>
      <w:hyperlink w:tooltip="#P190" w:anchor="P190" w:history="1">
        <w:r>
          <w:rPr>
            <w:rFonts w:ascii="Times New Roman" w:hAnsi="Times New Roman" w:cs="Times New Roman"/>
            <w:sz w:val="28"/>
            <w:szCs w:val="28"/>
          </w:rPr>
          <w:t xml:space="preserve">частью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29 настоящего Порядка, Министерство принимает необходим</w:t>
      </w:r>
      <w:r>
        <w:rPr>
          <w:rFonts w:ascii="Times New Roman" w:hAnsi="Times New Roman" w:cs="Times New Roman"/>
          <w:sz w:val="28"/>
          <w:szCs w:val="28"/>
        </w:rPr>
        <w:t xml:space="preserve">ые меры по взысканию подлежащей возврату в краевой бюджет субсидии в судебном порядке в срок не позднее 30 рабочих дней со дня, когда Министерству стало известно о неисполнении получателем субсидии обязанности возвратить средства субсидии в краевой бюджет.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33. В случае нарушений, выявленных в том </w:t>
      </w:r>
      <w:r>
        <w:rPr>
          <w:rFonts w:ascii="Times New Roman" w:hAnsi="Times New Roman" w:cs="Times New Roman"/>
          <w:sz w:val="28"/>
          <w:szCs w:val="28"/>
        </w:rPr>
        <w:t xml:space="preserve">числе по фактам проверок, проведенных Министерством и (или) органами государственного финансового контроля, лица, получившие средства на основании договоров (соглашений), заключенных с получателем субсидии, обязаны возвратить в сроки, не превышающие сроки,</w:t>
      </w:r>
      <w:r>
        <w:rPr>
          <w:rFonts w:ascii="Times New Roman" w:hAnsi="Times New Roman" w:cs="Times New Roman"/>
          <w:sz w:val="28"/>
          <w:szCs w:val="28"/>
        </w:rPr>
        <w:t xml:space="preserve"> указанные в части 29 настоящего Порядка, средства субсидии на счет получателя субсидии в целях последующего возврата указанных средств получателем субсидии в краевой бюджет в срок не позднее 10 рабочих дней со дня поступления денежных средств на его счет.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Письменное требование о возврате средств, полученных за счет средств субсидии, направляется получателем субсидии лицам, получившим средства на основании договоров (соглашений), заключенных с получателем субсидии, </w:t>
      </w:r>
      <w:r>
        <w:rPr>
          <w:rFonts w:ascii="Times New Roman" w:hAnsi="Times New Roman" w:cs="Times New Roman"/>
          <w:sz w:val="28"/>
          <w:szCs w:val="28"/>
        </w:rPr>
        <w:br/>
        <w:t xml:space="preserve">и нарушившим порядок и условия предоставления субсидии, в течение </w:t>
      </w:r>
      <w:r>
        <w:rPr>
          <w:rFonts w:ascii="Times New Roman" w:hAnsi="Times New Roman" w:cs="Times New Roman"/>
          <w:sz w:val="28"/>
          <w:szCs w:val="28"/>
        </w:rPr>
        <w:br/>
        <w:t xml:space="preserve">15 рабочих дней со дня выявления нарушений по фактам проверок, проведенных Министерством и (или) органами государственного финансового контроля.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34. В случае невозврата лицами, указанными в части 33 настоя</w:t>
      </w:r>
      <w:r>
        <w:rPr>
          <w:rFonts w:ascii="Times New Roman" w:hAnsi="Times New Roman" w:cs="Times New Roman"/>
          <w:sz w:val="28"/>
          <w:szCs w:val="28"/>
        </w:rPr>
        <w:t xml:space="preserve">щего Порядка, средств, полученных за счет средств субсидии, на счет получателя субсидии, получатель субсидии принимает необходимые меры по взысканию подлежащих возврату в краевой бюджет средств, полученных за счет средств субсидии, в судебном порядке в сро</w:t>
      </w:r>
      <w:r>
        <w:rPr>
          <w:rFonts w:ascii="Times New Roman" w:hAnsi="Times New Roman" w:cs="Times New Roman"/>
          <w:sz w:val="28"/>
          <w:szCs w:val="28"/>
        </w:rPr>
        <w:t xml:space="preserve">к не позднее 30 рабочих дней со дня, когда получателю субсидии стало известно о неисполнении указанными лицами обязанности возвратить средства, полученные на основании договоров (соглашений), заключенных с получателем субсидии, на счет получателя субсидии.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5. В случае установления факта недостижения значений показателей, необходимых для достижения результата предоставления субсидии, установленных соглашением, получатель субсидии уплачивает штраф в доход краевого бюджета, размер которог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 определяется в соответствии с расчетом размера штрафных санкций, направленных на взыскание сумм, использованных получателем субсидии в соответствии с частью 37 настоящего Порядка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в порядке, установленном бюджетным законодательством Российской Федерации.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36.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Письменное требование о возврате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средств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субсидии в краевой бюджет направляется Министерством получателю субсидии в течение 20 рабочих дней со дня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установления факта недостижения значений показателей, необходимых для достижения результата предоставления субсидии, установленных соглашением,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посредством почтового отправления, нарочным способом, на адрес электронной почты или иным способом, обеспечивающим подтверждение получения указанного требования получателем субсидии.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37.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Размер штрафных санкций, направленных на взыскание сумм, использованных получателем субсидии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определяется по формуле: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 w:val="0"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114550" cy="419100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668982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2114550" cy="4190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66.50pt;height:33.00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де: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n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количество результатов предоставления субсидии;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04775" cy="171450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181596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104774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8.25pt;height:13.50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достигнутое значение i-го результата предоставления субсидии, указанного в соглашении, на дату окончания текущего финансового года;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23825" cy="171450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821165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123824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9.75pt;height:13.50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плановое значение i-го результата предоставления субсидии, указанного в соглашении;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2875" cy="171450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657913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142875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11.25pt;height:13.50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удельный вес i-го результата предоставления субсидии, указанного в соглашении;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V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размер средств субсидии, использованный получателем субсидии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дату окончания текущего финансового года;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N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количество дней пользования субсидии;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размер ключевой ставки, устанавливаемой Центральным банком Российской Федерации, действующей на момент установления факта недостижения результата предоставления субсидии.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51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38. Остаток субсидии, неиспользованный в году предоставления субсидии, подлежит возврату в краевой бюджет на лицевой счет Министерства не позднее </w:t>
      </w:r>
      <w:r>
        <w:rPr>
          <w:rFonts w:ascii="Times New Roman" w:hAnsi="Times New Roman" w:cs="Times New Roman"/>
          <w:sz w:val="28"/>
          <w:szCs w:val="28"/>
        </w:rPr>
        <w:t xml:space="preserve">15 февраля финансового года, следующего за годом предоставления с</w:t>
      </w:r>
      <w:r>
        <w:rPr>
          <w:rFonts w:ascii="Times New Roman" w:hAnsi="Times New Roman" w:cs="Times New Roman"/>
          <w:sz w:val="28"/>
          <w:szCs w:val="28"/>
        </w:rPr>
        <w:t xml:space="preserve">убсидии.</w:t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567" w:right="851" w:bottom="1134" w:left="1418" w:header="680" w:footer="794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40803050406030204"/>
  </w:font>
  <w:font w:name="TimesNewRomanPSMT">
    <w:panose1 w:val="02020603050405020304"/>
  </w:font>
  <w:font w:name="Segoe UI">
    <w:panose1 w:val="020B0502040504020204"/>
  </w:font>
  <w:font w:name="Calibri">
    <w:panose1 w:val="020F050202020403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519498943"/>
      <w:docPartObj>
        <w:docPartGallery w:val="Page Numbers (Top of Page)"/>
        <w:docPartUnique w:val="true"/>
      </w:docPartObj>
      <w:rPr/>
    </w:sdtPr>
    <w:sdtContent>
      <w:p>
        <w:pPr>
          <w:pStyle w:val="713"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</w:rPr>
          <w:t xml:space="preserve">6</w:t>
        </w:r>
        <w:r>
          <w:rPr>
            <w:rFonts w:ascii="Times New Roman" w:hAnsi="Times New Roman"/>
            <w:sz w:val="28"/>
            <w:szCs w:val="28"/>
          </w:rPr>
          <w:fldChar w:fldCharType="end"/>
        </w:r>
        <w:r>
          <w:rPr>
            <w:rFonts w:ascii="Times New Roman" w:hAnsi="Times New Roman"/>
            <w:sz w:val="28"/>
            <w:szCs w:val="28"/>
          </w:rPr>
        </w:r>
      </w:p>
    </w:sdtContent>
  </w:sdt>
  <w:p>
    <w:pPr>
      <w:pStyle w:val="713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32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96"/>
    <w:link w:val="69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96"/>
    <w:link w:val="692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96"/>
    <w:link w:val="69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96"/>
    <w:link w:val="69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96"/>
    <w:link w:val="69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90"/>
    <w:next w:val="69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96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90"/>
    <w:next w:val="69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96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90"/>
    <w:next w:val="69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96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90"/>
    <w:next w:val="69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96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696"/>
    <w:link w:val="740"/>
    <w:uiPriority w:val="10"/>
    <w:rPr>
      <w:sz w:val="48"/>
      <w:szCs w:val="48"/>
    </w:rPr>
  </w:style>
  <w:style w:type="character" w:styleId="38">
    <w:name w:val="Subtitle Char"/>
    <w:basedOn w:val="696"/>
    <w:link w:val="737"/>
    <w:uiPriority w:val="11"/>
    <w:rPr>
      <w:sz w:val="24"/>
      <w:szCs w:val="24"/>
    </w:rPr>
  </w:style>
  <w:style w:type="paragraph" w:styleId="39">
    <w:name w:val="Quote"/>
    <w:basedOn w:val="690"/>
    <w:next w:val="69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90"/>
    <w:next w:val="69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96"/>
    <w:link w:val="713"/>
    <w:uiPriority w:val="99"/>
  </w:style>
  <w:style w:type="character" w:styleId="46">
    <w:name w:val="Footer Char"/>
    <w:basedOn w:val="696"/>
    <w:link w:val="743"/>
    <w:uiPriority w:val="99"/>
  </w:style>
  <w:style w:type="paragraph" w:styleId="47">
    <w:name w:val="Caption"/>
    <w:basedOn w:val="690"/>
    <w:next w:val="69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96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9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9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9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9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96"/>
    <w:uiPriority w:val="99"/>
    <w:unhideWhenUsed/>
    <w:rPr>
      <w:vertAlign w:val="superscript"/>
    </w:rPr>
  </w:style>
  <w:style w:type="paragraph" w:styleId="179">
    <w:name w:val="endnote text"/>
    <w:basedOn w:val="69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96"/>
    <w:uiPriority w:val="99"/>
    <w:semiHidden/>
    <w:unhideWhenUsed/>
    <w:rPr>
      <w:vertAlign w:val="superscript"/>
    </w:rPr>
  </w:style>
  <w:style w:type="paragraph" w:styleId="191">
    <w:name w:val="TOC Heading"/>
    <w:uiPriority w:val="39"/>
    <w:unhideWhenUsed/>
  </w:style>
  <w:style w:type="paragraph" w:styleId="192">
    <w:name w:val="table of figures"/>
    <w:basedOn w:val="690"/>
    <w:next w:val="690"/>
    <w:uiPriority w:val="99"/>
    <w:unhideWhenUsed/>
    <w:pPr>
      <w:spacing w:after="0" w:afterAutospacing="0"/>
    </w:pPr>
  </w:style>
  <w:style w:type="paragraph" w:styleId="690" w:default="1">
    <w:name w:val="Normal"/>
    <w:qFormat/>
  </w:style>
  <w:style w:type="paragraph" w:styleId="691">
    <w:name w:val="Heading 1"/>
    <w:next w:val="690"/>
    <w:link w:val="718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692">
    <w:name w:val="Heading 2"/>
    <w:next w:val="690"/>
    <w:link w:val="745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693">
    <w:name w:val="Heading 3"/>
    <w:next w:val="690"/>
    <w:link w:val="708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694">
    <w:name w:val="Heading 4"/>
    <w:next w:val="690"/>
    <w:link w:val="742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695">
    <w:name w:val="Heading 5"/>
    <w:next w:val="690"/>
    <w:link w:val="717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696" w:default="1">
    <w:name w:val="Default Paragraph Font"/>
    <w:uiPriority w:val="1"/>
    <w:semiHidden/>
    <w:unhideWhenUsed/>
  </w:style>
  <w:style w:type="table" w:styleId="69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8" w:default="1">
    <w:name w:val="No List"/>
    <w:uiPriority w:val="99"/>
    <w:semiHidden/>
    <w:unhideWhenUsed/>
  </w:style>
  <w:style w:type="character" w:styleId="699" w:customStyle="1">
    <w:name w:val="Обычный1"/>
  </w:style>
  <w:style w:type="paragraph" w:styleId="700">
    <w:name w:val="toc 2"/>
    <w:next w:val="690"/>
    <w:link w:val="701"/>
    <w:uiPriority w:val="39"/>
    <w:pPr>
      <w:ind w:left="200"/>
    </w:pPr>
    <w:rPr>
      <w:rFonts w:ascii="XO Thames" w:hAnsi="XO Thames"/>
      <w:sz w:val="28"/>
    </w:rPr>
  </w:style>
  <w:style w:type="character" w:styleId="701" w:customStyle="1">
    <w:name w:val="Оглавление 2 Знак"/>
    <w:link w:val="700"/>
    <w:rPr>
      <w:rFonts w:ascii="XO Thames" w:hAnsi="XO Thames"/>
      <w:sz w:val="28"/>
    </w:rPr>
  </w:style>
  <w:style w:type="paragraph" w:styleId="702">
    <w:name w:val="toc 4"/>
    <w:next w:val="690"/>
    <w:link w:val="703"/>
    <w:uiPriority w:val="39"/>
    <w:pPr>
      <w:ind w:left="600"/>
    </w:pPr>
    <w:rPr>
      <w:rFonts w:ascii="XO Thames" w:hAnsi="XO Thames"/>
      <w:sz w:val="28"/>
    </w:rPr>
  </w:style>
  <w:style w:type="character" w:styleId="703" w:customStyle="1">
    <w:name w:val="Оглавление 4 Знак"/>
    <w:link w:val="702"/>
    <w:rPr>
      <w:rFonts w:ascii="XO Thames" w:hAnsi="XO Thames"/>
      <w:sz w:val="28"/>
    </w:rPr>
  </w:style>
  <w:style w:type="paragraph" w:styleId="704">
    <w:name w:val="toc 6"/>
    <w:next w:val="690"/>
    <w:link w:val="705"/>
    <w:uiPriority w:val="39"/>
    <w:pPr>
      <w:ind w:left="1000"/>
    </w:pPr>
    <w:rPr>
      <w:rFonts w:ascii="XO Thames" w:hAnsi="XO Thames"/>
      <w:sz w:val="28"/>
    </w:rPr>
  </w:style>
  <w:style w:type="character" w:styleId="705" w:customStyle="1">
    <w:name w:val="Оглавление 6 Знак"/>
    <w:link w:val="704"/>
    <w:rPr>
      <w:rFonts w:ascii="XO Thames" w:hAnsi="XO Thames"/>
      <w:sz w:val="28"/>
    </w:rPr>
  </w:style>
  <w:style w:type="paragraph" w:styleId="706">
    <w:name w:val="toc 7"/>
    <w:next w:val="690"/>
    <w:link w:val="707"/>
    <w:uiPriority w:val="39"/>
    <w:pPr>
      <w:ind w:left="1200"/>
    </w:pPr>
    <w:rPr>
      <w:rFonts w:ascii="XO Thames" w:hAnsi="XO Thames"/>
      <w:sz w:val="28"/>
    </w:rPr>
  </w:style>
  <w:style w:type="character" w:styleId="707" w:customStyle="1">
    <w:name w:val="Оглавление 7 Знак"/>
    <w:link w:val="706"/>
    <w:rPr>
      <w:rFonts w:ascii="XO Thames" w:hAnsi="XO Thames"/>
      <w:sz w:val="28"/>
    </w:rPr>
  </w:style>
  <w:style w:type="character" w:styleId="708" w:customStyle="1">
    <w:name w:val="Заголовок 3 Знак"/>
    <w:link w:val="693"/>
    <w:rPr>
      <w:rFonts w:ascii="XO Thames" w:hAnsi="XO Thames"/>
      <w:b/>
      <w:sz w:val="26"/>
    </w:rPr>
  </w:style>
  <w:style w:type="paragraph" w:styleId="709">
    <w:name w:val="Plain Text"/>
    <w:basedOn w:val="690"/>
    <w:link w:val="710"/>
    <w:pPr>
      <w:spacing w:after="0" w:line="240" w:lineRule="auto"/>
    </w:pPr>
    <w:rPr>
      <w:rFonts w:ascii="Calibri" w:hAnsi="Calibri"/>
    </w:rPr>
  </w:style>
  <w:style w:type="character" w:styleId="710" w:customStyle="1">
    <w:name w:val="Текст Знак"/>
    <w:basedOn w:val="699"/>
    <w:link w:val="709"/>
    <w:rPr>
      <w:rFonts w:ascii="Calibri" w:hAnsi="Calibri"/>
    </w:rPr>
  </w:style>
  <w:style w:type="paragraph" w:styleId="711" w:customStyle="1">
    <w:name w:val="Гиперссылка1"/>
    <w:basedOn w:val="735"/>
    <w:link w:val="712"/>
    <w:rPr>
      <w:color w:val="0563c1" w:themeColor="hyperlink"/>
      <w:u w:val="single"/>
    </w:rPr>
  </w:style>
  <w:style w:type="character" w:styleId="712" w:customStyle="1">
    <w:name w:val="Гиперссылка1"/>
    <w:basedOn w:val="736"/>
    <w:link w:val="711"/>
    <w:rPr>
      <w:color w:val="0563c1" w:themeColor="hyperlink"/>
      <w:u w:val="single"/>
    </w:rPr>
  </w:style>
  <w:style w:type="paragraph" w:styleId="713">
    <w:name w:val="Header"/>
    <w:basedOn w:val="690"/>
    <w:link w:val="714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14" w:customStyle="1">
    <w:name w:val="Верхний колонтитул Знак"/>
    <w:basedOn w:val="699"/>
    <w:link w:val="713"/>
    <w:uiPriority w:val="99"/>
  </w:style>
  <w:style w:type="paragraph" w:styleId="715">
    <w:name w:val="toc 3"/>
    <w:next w:val="690"/>
    <w:link w:val="716"/>
    <w:uiPriority w:val="39"/>
    <w:pPr>
      <w:ind w:left="400"/>
    </w:pPr>
    <w:rPr>
      <w:rFonts w:ascii="XO Thames" w:hAnsi="XO Thames"/>
      <w:sz w:val="28"/>
    </w:rPr>
  </w:style>
  <w:style w:type="character" w:styleId="716" w:customStyle="1">
    <w:name w:val="Оглавление 3 Знак"/>
    <w:link w:val="715"/>
    <w:rPr>
      <w:rFonts w:ascii="XO Thames" w:hAnsi="XO Thames"/>
      <w:sz w:val="28"/>
    </w:rPr>
  </w:style>
  <w:style w:type="character" w:styleId="717" w:customStyle="1">
    <w:name w:val="Заголовок 5 Знак"/>
    <w:link w:val="695"/>
    <w:rPr>
      <w:rFonts w:ascii="XO Thames" w:hAnsi="XO Thames"/>
      <w:b/>
    </w:rPr>
  </w:style>
  <w:style w:type="character" w:styleId="718" w:customStyle="1">
    <w:name w:val="Заголовок 1 Знак"/>
    <w:link w:val="691"/>
    <w:rPr>
      <w:rFonts w:ascii="XO Thames" w:hAnsi="XO Thames"/>
      <w:b/>
      <w:sz w:val="32"/>
    </w:rPr>
  </w:style>
  <w:style w:type="paragraph" w:styleId="719" w:customStyle="1">
    <w:name w:val="Гиперссылка2"/>
    <w:link w:val="720"/>
    <w:rPr>
      <w:color w:val="0000ff"/>
      <w:u w:val="single"/>
    </w:rPr>
  </w:style>
  <w:style w:type="character" w:styleId="720">
    <w:name w:val="Hyperlink"/>
    <w:link w:val="719"/>
    <w:rPr>
      <w:color w:val="0000ff"/>
      <w:u w:val="single"/>
    </w:rPr>
  </w:style>
  <w:style w:type="paragraph" w:styleId="721" w:customStyle="1">
    <w:name w:val="Footnote"/>
    <w:link w:val="722"/>
    <w:pPr>
      <w:ind w:firstLine="851"/>
      <w:jc w:val="both"/>
    </w:pPr>
    <w:rPr>
      <w:rFonts w:ascii="XO Thames" w:hAnsi="XO Thames"/>
    </w:rPr>
  </w:style>
  <w:style w:type="character" w:styleId="722" w:customStyle="1">
    <w:name w:val="Footnote"/>
    <w:link w:val="721"/>
    <w:rPr>
      <w:rFonts w:ascii="XO Thames" w:hAnsi="XO Thames"/>
    </w:rPr>
  </w:style>
  <w:style w:type="paragraph" w:styleId="723">
    <w:name w:val="toc 1"/>
    <w:next w:val="690"/>
    <w:link w:val="724"/>
    <w:uiPriority w:val="39"/>
    <w:rPr>
      <w:rFonts w:ascii="XO Thames" w:hAnsi="XO Thames"/>
      <w:b/>
      <w:sz w:val="28"/>
    </w:rPr>
  </w:style>
  <w:style w:type="character" w:styleId="724" w:customStyle="1">
    <w:name w:val="Оглавление 1 Знак"/>
    <w:link w:val="723"/>
    <w:rPr>
      <w:rFonts w:ascii="XO Thames" w:hAnsi="XO Thames"/>
      <w:b/>
      <w:sz w:val="28"/>
    </w:rPr>
  </w:style>
  <w:style w:type="paragraph" w:styleId="725" w:customStyle="1">
    <w:name w:val="Header and Footer"/>
    <w:link w:val="726"/>
    <w:pPr>
      <w:jc w:val="both"/>
      <w:spacing w:line="240" w:lineRule="auto"/>
    </w:pPr>
    <w:rPr>
      <w:rFonts w:ascii="XO Thames" w:hAnsi="XO Thames"/>
      <w:sz w:val="20"/>
    </w:rPr>
  </w:style>
  <w:style w:type="character" w:styleId="726" w:customStyle="1">
    <w:name w:val="Header and Footer"/>
    <w:link w:val="725"/>
    <w:rPr>
      <w:rFonts w:ascii="XO Thames" w:hAnsi="XO Thames"/>
      <w:sz w:val="20"/>
    </w:rPr>
  </w:style>
  <w:style w:type="paragraph" w:styleId="727">
    <w:name w:val="toc 9"/>
    <w:next w:val="690"/>
    <w:link w:val="728"/>
    <w:uiPriority w:val="39"/>
    <w:pPr>
      <w:ind w:left="1600"/>
    </w:pPr>
    <w:rPr>
      <w:rFonts w:ascii="XO Thames" w:hAnsi="XO Thames"/>
      <w:sz w:val="28"/>
    </w:rPr>
  </w:style>
  <w:style w:type="character" w:styleId="728" w:customStyle="1">
    <w:name w:val="Оглавление 9 Знак"/>
    <w:link w:val="727"/>
    <w:rPr>
      <w:rFonts w:ascii="XO Thames" w:hAnsi="XO Thames"/>
      <w:sz w:val="28"/>
    </w:rPr>
  </w:style>
  <w:style w:type="paragraph" w:styleId="729">
    <w:name w:val="toc 8"/>
    <w:next w:val="690"/>
    <w:link w:val="730"/>
    <w:uiPriority w:val="39"/>
    <w:pPr>
      <w:ind w:left="1400"/>
    </w:pPr>
    <w:rPr>
      <w:rFonts w:ascii="XO Thames" w:hAnsi="XO Thames"/>
      <w:sz w:val="28"/>
    </w:rPr>
  </w:style>
  <w:style w:type="character" w:styleId="730" w:customStyle="1">
    <w:name w:val="Оглавление 8 Знак"/>
    <w:link w:val="729"/>
    <w:rPr>
      <w:rFonts w:ascii="XO Thames" w:hAnsi="XO Thames"/>
      <w:sz w:val="28"/>
    </w:rPr>
  </w:style>
  <w:style w:type="paragraph" w:styleId="731">
    <w:name w:val="toc 5"/>
    <w:next w:val="690"/>
    <w:link w:val="732"/>
    <w:uiPriority w:val="39"/>
    <w:pPr>
      <w:ind w:left="800"/>
    </w:pPr>
    <w:rPr>
      <w:rFonts w:ascii="XO Thames" w:hAnsi="XO Thames"/>
      <w:sz w:val="28"/>
    </w:rPr>
  </w:style>
  <w:style w:type="character" w:styleId="732" w:customStyle="1">
    <w:name w:val="Оглавление 5 Знак"/>
    <w:link w:val="731"/>
    <w:rPr>
      <w:rFonts w:ascii="XO Thames" w:hAnsi="XO Thames"/>
      <w:sz w:val="28"/>
    </w:rPr>
  </w:style>
  <w:style w:type="paragraph" w:styleId="733" w:customStyle="1">
    <w:name w:val="Обычный1"/>
    <w:link w:val="734"/>
  </w:style>
  <w:style w:type="character" w:styleId="734" w:customStyle="1">
    <w:name w:val="Обычный1"/>
    <w:link w:val="733"/>
  </w:style>
  <w:style w:type="paragraph" w:styleId="735" w:customStyle="1">
    <w:name w:val="Основной шрифт абзаца1"/>
    <w:link w:val="736"/>
  </w:style>
  <w:style w:type="character" w:styleId="736" w:customStyle="1">
    <w:name w:val="Основной шрифт абзаца1"/>
    <w:link w:val="735"/>
  </w:style>
  <w:style w:type="paragraph" w:styleId="737">
    <w:name w:val="Subtitle"/>
    <w:next w:val="690"/>
    <w:link w:val="738"/>
    <w:uiPriority w:val="11"/>
    <w:qFormat/>
    <w:pPr>
      <w:jc w:val="both"/>
    </w:pPr>
    <w:rPr>
      <w:rFonts w:ascii="XO Thames" w:hAnsi="XO Thames"/>
      <w:i/>
      <w:sz w:val="24"/>
    </w:rPr>
  </w:style>
  <w:style w:type="character" w:styleId="738" w:customStyle="1">
    <w:name w:val="Подзаголовок Знак"/>
    <w:link w:val="737"/>
    <w:rPr>
      <w:rFonts w:ascii="XO Thames" w:hAnsi="XO Thames"/>
      <w:i/>
      <w:sz w:val="24"/>
    </w:rPr>
  </w:style>
  <w:style w:type="paragraph" w:styleId="739" w:customStyle="1">
    <w:name w:val="Основной шрифт абзаца2"/>
  </w:style>
  <w:style w:type="paragraph" w:styleId="740">
    <w:name w:val="Title"/>
    <w:next w:val="690"/>
    <w:link w:val="741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741" w:customStyle="1">
    <w:name w:val="Заголовок Знак"/>
    <w:link w:val="740"/>
    <w:rPr>
      <w:rFonts w:ascii="XO Thames" w:hAnsi="XO Thames"/>
      <w:b/>
      <w:caps/>
      <w:sz w:val="40"/>
    </w:rPr>
  </w:style>
  <w:style w:type="character" w:styleId="742" w:customStyle="1">
    <w:name w:val="Заголовок 4 Знак"/>
    <w:link w:val="694"/>
    <w:rPr>
      <w:rFonts w:ascii="XO Thames" w:hAnsi="XO Thames"/>
      <w:b/>
      <w:sz w:val="24"/>
    </w:rPr>
  </w:style>
  <w:style w:type="paragraph" w:styleId="743">
    <w:name w:val="Footer"/>
    <w:basedOn w:val="690"/>
    <w:link w:val="744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744" w:customStyle="1">
    <w:name w:val="Нижний колонтитул Знак"/>
    <w:basedOn w:val="699"/>
    <w:link w:val="743"/>
    <w:rPr>
      <w:rFonts w:ascii="Times New Roman" w:hAnsi="Times New Roman"/>
      <w:sz w:val="28"/>
    </w:rPr>
  </w:style>
  <w:style w:type="character" w:styleId="745" w:customStyle="1">
    <w:name w:val="Заголовок 2 Знак"/>
    <w:link w:val="692"/>
    <w:rPr>
      <w:rFonts w:ascii="XO Thames" w:hAnsi="XO Thames"/>
      <w:b/>
      <w:sz w:val="28"/>
    </w:rPr>
  </w:style>
  <w:style w:type="paragraph" w:styleId="746">
    <w:name w:val="Balloon Text"/>
    <w:basedOn w:val="690"/>
    <w:link w:val="747"/>
    <w:pPr>
      <w:spacing w:after="0" w:line="240" w:lineRule="auto"/>
    </w:pPr>
    <w:rPr>
      <w:rFonts w:ascii="Segoe UI" w:hAnsi="Segoe UI"/>
      <w:sz w:val="18"/>
    </w:rPr>
  </w:style>
  <w:style w:type="character" w:styleId="747" w:customStyle="1">
    <w:name w:val="Текст выноски Знак"/>
    <w:basedOn w:val="699"/>
    <w:link w:val="746"/>
    <w:rPr>
      <w:rFonts w:ascii="Segoe UI" w:hAnsi="Segoe UI"/>
      <w:sz w:val="18"/>
    </w:rPr>
  </w:style>
  <w:style w:type="table" w:styleId="748" w:customStyle="1">
    <w:name w:val="Сетка таблицы1"/>
    <w:basedOn w:val="697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9" w:customStyle="1">
    <w:name w:val="Сетка таблицы2"/>
    <w:basedOn w:val="697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50">
    <w:name w:val="Table Grid"/>
    <w:basedOn w:val="697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51" w:customStyle="1">
    <w:name w:val="ConsPlusNormal"/>
    <w:pPr>
      <w:spacing w:after="0" w:line="240" w:lineRule="auto"/>
      <w:widowControl w:val="off"/>
    </w:pPr>
    <w:rPr>
      <w:rFonts w:ascii="Calibri" w:hAnsi="Calibri" w:cs="Calibri" w:eastAsiaTheme="minorEastAsia"/>
      <w:color w:val="auto"/>
      <w:szCs w:val="22"/>
    </w:rPr>
  </w:style>
  <w:style w:type="paragraph" w:styleId="752">
    <w:name w:val="List Paragraph"/>
    <w:basedOn w:val="690"/>
    <w:link w:val="754"/>
    <w:qFormat/>
    <w:pPr>
      <w:contextualSpacing/>
      <w:ind w:left="720"/>
    </w:pPr>
  </w:style>
  <w:style w:type="paragraph" w:styleId="753" w:customStyle="1">
    <w:name w:val="ConsPlusTitle"/>
    <w:pPr>
      <w:spacing w:after="0" w:line="240" w:lineRule="auto"/>
      <w:widowControl w:val="off"/>
    </w:pPr>
    <w:rPr>
      <w:rFonts w:ascii="Calibri" w:hAnsi="Calibri" w:cs="Calibri" w:eastAsiaTheme="minorEastAsia"/>
      <w:b/>
      <w:color w:val="auto"/>
      <w:szCs w:val="22"/>
    </w:rPr>
  </w:style>
  <w:style w:type="character" w:styleId="754" w:customStyle="1">
    <w:name w:val="Абзац списка Знак"/>
    <w:basedOn w:val="696"/>
    <w:link w:val="752"/>
  </w:style>
  <w:style w:type="paragraph" w:styleId="755">
    <w:name w:val="Normal (Web)"/>
    <w:basedOn w:val="690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jpg"/><Relationship Id="rId12" Type="http://schemas.openxmlformats.org/officeDocument/2006/relationships/hyperlink" Target="https://login.consultant.ru/link/?req=doc&amp;base=RLAW296&amp;n=203736&amp;dst=143553" TargetMode="External"/><Relationship Id="rId13" Type="http://schemas.openxmlformats.org/officeDocument/2006/relationships/hyperlink" Target="https://login.consultant.ru/link/?req=doc&amp;base=LAW&amp;n=493282&amp;dst=1000000001" TargetMode="External"/><Relationship Id="rId14" Type="http://schemas.openxmlformats.org/officeDocument/2006/relationships/hyperlink" Target="https://login.consultant.ru/link/?req=doc&amp;base=RLAW296&amp;n=214600&amp;dst=100031" TargetMode="External"/><Relationship Id="rId15" Type="http://schemas.openxmlformats.org/officeDocument/2006/relationships/hyperlink" Target="https://login.consultant.ru/link/?req=doc&amp;base=RLAW296&amp;n=214600&amp;dst=100041" TargetMode="External"/><Relationship Id="rId16" Type="http://schemas.openxmlformats.org/officeDocument/2006/relationships/hyperlink" Target="https://login.consultant.ru/link/?req=doc&amp;base=RLAW296&amp;n=214600&amp;dst=100031" TargetMode="External"/><Relationship Id="rId17" Type="http://schemas.openxmlformats.org/officeDocument/2006/relationships/hyperlink" Target="https://login.consultant.ru/link/?req=doc&amp;base=LAW&amp;n=466790&amp;dst=3704" TargetMode="External"/><Relationship Id="rId18" Type="http://schemas.openxmlformats.org/officeDocument/2006/relationships/hyperlink" Target="https://login.consultant.ru/link/?req=doc&amp;base=LAW&amp;n=466790&amp;dst=3722" TargetMode="External"/><Relationship Id="rId19" Type="http://schemas.openxmlformats.org/officeDocument/2006/relationships/hyperlink" Target="https://login.consultant.ru/link/?req=doc&amp;base=LAW&amp;n=466790&amp;dst=3704" TargetMode="External"/><Relationship Id="rId20" Type="http://schemas.openxmlformats.org/officeDocument/2006/relationships/hyperlink" Target="https://login.consultant.ru/link/?req=doc&amp;base=LAW&amp;n=466790&amp;dst=3722" TargetMode="External"/><Relationship Id="rId21" Type="http://schemas.openxmlformats.org/officeDocument/2006/relationships/hyperlink" Target="https://login.consultant.ru/link/?req=doc&amp;base=LAW&amp;n=489036&amp;dst=100155" TargetMode="External"/><Relationship Id="rId22" Type="http://schemas.openxmlformats.org/officeDocument/2006/relationships/hyperlink" Target="https://login.consultant.ru/link/?req=doc&amp;base=LAW&amp;n=489036&amp;dst=100190" TargetMode="External"/><Relationship Id="rId23" Type="http://schemas.openxmlformats.org/officeDocument/2006/relationships/image" Target="media/image2.png"/><Relationship Id="rId24" Type="http://schemas.openxmlformats.org/officeDocument/2006/relationships/image" Target="media/image3.png"/><Relationship Id="rId25" Type="http://schemas.openxmlformats.org/officeDocument/2006/relationships/image" Target="media/image4.png"/><Relationship Id="rId26" Type="http://schemas.openxmlformats.org/officeDocument/2006/relationships/image" Target="media/image5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15DA9-58FD-4AE7-870D-C566BBA03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Усманова Екатерина Александровна</dc:creator>
  <cp:lastModifiedBy>usmanovaea</cp:lastModifiedBy>
  <cp:revision>11</cp:revision>
  <dcterms:created xsi:type="dcterms:W3CDTF">2025-11-23T23:25:00Z</dcterms:created>
  <dcterms:modified xsi:type="dcterms:W3CDTF">2026-11-03T07:55:43Z</dcterms:modified>
</cp:coreProperties>
</file>