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ИНСПЕКЦИЯ ГОСУДАРСТВЕННОГО СТРОИТЕЛЬНОГО НАДЗОРА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8"/>
                <w:szCs w:val="28"/>
              </w:rPr>
              <w:t xml:space="preserve">[Дата регистрации] № [Номер до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77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49"/>
      </w:tblGrid>
      <w:tr>
        <w:tblPrEx/>
        <w:trPr>
          <w:trHeight w:val="29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49" w:type="dxa"/>
            <w:textDirection w:val="lrTb"/>
            <w:noWrap w:val="false"/>
          </w:tcPr>
          <w:p>
            <w:pPr>
              <w:jc w:val="center"/>
              <w:spacing w:after="28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«Об утверждении Положения о порядке сообщения государственными гражданскими служащими Инспекции государственного строительного надзора Камчатского края о получении подарка в связи с протокольными</w:t>
            </w:r>
            <w:r>
              <w:rPr>
                <w:rFonts w:ascii="Times New Roman" w:hAnsi="Times New Roman"/>
                <w:b/>
                <w:sz w:val="28"/>
              </w:rPr>
              <w:t xml:space="preserve">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      </w:r>
            <w:r>
              <w:rPr>
                <w:rFonts w:ascii="Times New Roman" w:hAnsi="Times New Roman"/>
                <w:b/>
                <w:sz w:val="28"/>
              </w:rPr>
              <w:t xml:space="preserve">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</w:r>
          </w:p>
        </w:tc>
      </w:tr>
    </w:tbl>
    <w:p>
      <w:pPr>
        <w:pStyle w:val="887"/>
        <w:ind w:firstLine="708"/>
        <w:jc w:val="both"/>
        <w:spacing w:before="0" w:beforeAutospacing="0" w:after="0" w:afterAutospacing="0"/>
        <w:shd w:val="clear" w:color="auto" w:fill="ffff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shd w:val="clear" w:color="auto" w:fill="ffffff"/>
        </w:rPr>
        <w:t xml:space="preserve">В соответствии со статьей 575 Гр</w:t>
      </w:r>
      <w:r>
        <w:rPr>
          <w:sz w:val="28"/>
          <w:szCs w:val="28"/>
          <w:highlight w:val="none"/>
          <w:shd w:val="clear" w:color="auto" w:fill="ffffff"/>
        </w:rPr>
        <w:t xml:space="preserve">ажданского кодекса Российской Федерации, статьей 17 Федерального закона от 27.07.2004 № 79-ФЗ </w:t>
        <w:br/>
        <w:t xml:space="preserve">«О государственной гражданской службе Российской Федерации», постановлением Правительства Российской Федерации от 09.01.2014 № 10 </w:t>
        <w:br/>
        <w:t xml:space="preserve">«О порядке сообщения отдельным</w:t>
      </w:r>
      <w:r>
        <w:rPr>
          <w:sz w:val="28"/>
          <w:szCs w:val="28"/>
          <w:highlight w:val="none"/>
          <w:shd w:val="clear" w:color="auto" w:fill="ffffff"/>
        </w:rPr>
        <w:t xml:space="preserve">и категориями лиц о получении подарка </w:t>
        <w:br/>
        <w:t xml:space="preserve">в связи с протокольными мероприятиями, служебными командировками </w:t>
        <w:br/>
        <w:t xml:space="preserve">и другими официальными мероприятиями, участие в которых связано </w:t>
        <w:br/>
        <w:t xml:space="preserve">с исполнением ими служебных (должностных) обязанностей, сдаче и оценке подарка, реализ</w:t>
      </w:r>
      <w:r>
        <w:rPr>
          <w:sz w:val="28"/>
          <w:szCs w:val="28"/>
          <w:highlight w:val="none"/>
          <w:shd w:val="clear" w:color="auto" w:fill="ffffff"/>
        </w:rPr>
        <w:t xml:space="preserve">ации (выкупа) и зачислении средств, вырученных </w:t>
        <w:br/>
        <w:t xml:space="preserve">от его реализации», с учетом постановления Губернатора Камчатского края от 01.04.2014 № 37 «Об утверждении Положения о порядке сообщения отдельными категориями лиц о получении подарка в связи с протокольными </w:t>
      </w:r>
      <w:r>
        <w:rPr>
          <w:sz w:val="28"/>
          <w:szCs w:val="28"/>
          <w:highlight w:val="none"/>
          <w:shd w:val="clear" w:color="auto" w:fill="ffffff"/>
        </w:rPr>
        <w:t xml:space="preserve">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7"/>
        <w:ind w:firstLine="708"/>
        <w:jc w:val="both"/>
        <w:spacing w:before="0" w:beforeAutospacing="0" w:after="0" w:afterAutospacing="0"/>
        <w:shd w:val="clear" w:color="auto" w:fill="ffff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shd w:val="clear" w:color="auto" w:fill="ffffff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after="280" w:line="27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afterAutospacing="0" w:line="240" w:lineRule="auto"/>
        <w:widowControl w:val="off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1. </w:t>
      </w:r>
      <w:r>
        <w:rPr>
          <w:rFonts w:ascii="Times New Roman" w:hAnsi="Times New Roman"/>
          <w:sz w:val="28"/>
        </w:rPr>
        <w:t xml:space="preserve">Утвердить Положение о порядке сообщения государственными гражданскими служащими Инспекции государственного строительного надзора Камчатского края о получении подарка в связи с протокольными мероприятиями, служеб</w:t>
      </w:r>
      <w:r>
        <w:rPr>
          <w:rFonts w:ascii="Times New Roman" w:hAnsi="Times New Roman"/>
          <w:sz w:val="28"/>
        </w:rPr>
        <w:t xml:space="preserve">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</w:t>
        <w:br/>
        <w:t xml:space="preserve">и зачислении средств, вырученных от его реализации (далее – Положение) </w:t>
      </w:r>
      <w:r>
        <w:rPr>
          <w:rFonts w:ascii="Times New Roman" w:hAnsi="Times New Roman"/>
          <w:b w:val="0"/>
          <w:bCs w:val="0"/>
          <w:sz w:val="28"/>
        </w:rPr>
        <w:t xml:space="preserve"> согласно приложению к настоящему приказу.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highlight w:val="none"/>
        </w:rPr>
        <w:t xml:space="preserve">2. 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Определить главного бухгалтера Инспекции государственного строительного надзора Камчатского края уполномоченным должностным лицом, осуществляющи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м прием подарков, полученных лицами, в отношении которых руководитель Инспекции государственного строительного надзора Камчатского края осуществляет полномочия представителя нанимателя, установленные частью 3 постановления Губернатора Камчатского края </w:t>
        <w:br/>
        <w:t xml:space="preserve">от 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29.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11.2019 № 92 «Об осуществлении полномочий представителя нанимателя (работодателя)»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 в связи с протокольными мероприятиями, служебными 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командировками и другими официальными мероприятиями, участие в которых связано с исполнением служебных (должностных) обязанностей, их оценку для принятия к бухгалтерскому учету, а также принимающим решения о реализации подарков (далее – главный бухгалтер).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3. Определить заместителя руководителя Инспекции </w:t>
      </w:r>
      <w:r>
        <w:rPr>
          <w:rFonts w:ascii="Times New Roman" w:hAnsi="Times New Roman"/>
          <w:sz w:val="28"/>
          <w:highlight w:val="none"/>
        </w:rPr>
        <w:t xml:space="preserve">государственного строительного надзора Камчатского края – заместителя главного государственного инспек</w:t>
      </w:r>
      <w:r>
        <w:rPr>
          <w:rFonts w:ascii="Times New Roman" w:hAnsi="Times New Roman"/>
          <w:sz w:val="28"/>
          <w:highlight w:val="none"/>
        </w:rPr>
        <w:t xml:space="preserve">тора государственного строительного надзора Камчатского края уполномоченным должностным лицом, ответственным за регистрацию уведомлений о получении государственными гражданскими служащими Инспекции государственного строительного надзора Камчатского края  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в отношении которых руководитель Инспекции государственного строительного надзора Камчатского края осуществляет полномочия представителя нанимателя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 и направление уведомлений в постоянно действующую комиссию по поступлению и выбытию активов в Инспекции государственного строительного надзора Камчатского края.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4. Настоящий  </w:t>
      </w:r>
      <w:r>
        <w:rPr>
          <w:rFonts w:ascii="Times New Roman" w:hAnsi="Times New Roman"/>
          <w:sz w:val="28"/>
          <w:highlight w:val="none"/>
        </w:rPr>
        <w:t xml:space="preserve">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8"/>
      </w:tblGrid>
      <w:tr>
        <w:tblPrEx/>
        <w:trPr>
          <w:trHeight w:val="3027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</w:t>
            </w:r>
            <w:r>
              <w:rPr>
                <w:rFonts w:ascii="Times New Roman" w:hAnsi="Times New Roman"/>
                <w:sz w:val="28"/>
              </w:rPr>
              <w:t xml:space="preserve">рио руководителя </w:t>
            </w:r>
            <w:r>
              <w:rPr>
                <w:rFonts w:ascii="Times New Roman" w:hAnsi="Times New Roman"/>
                <w:sz w:val="28"/>
              </w:rPr>
              <w:t xml:space="preserve">Инспекции государственного строительного надзора</w:t>
            </w:r>
            <w:r>
              <w:rPr>
                <w:rFonts w:ascii="Times New Roman" w:hAnsi="Times New Roman"/>
                <w:sz w:val="28"/>
              </w:rPr>
              <w:t xml:space="preserve"> Камчатского края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– главного государственного инспектора государственного строительного надзора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8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  <w:r>
              <w:rPr>
                <w:rFonts w:ascii="Times New Roman" w:hAnsi="Times New Roman"/>
                <w:sz w:val="26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</w:rPr>
              <w:t xml:space="preserve">Н.Г. Кашина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r/>
      <w:r/>
    </w:p>
    <w:p>
      <w:r/>
      <w:r/>
    </w:p>
    <w:tbl>
      <w:tblPr>
        <w:tblStyle w:val="877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приказу Инспекции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государственного строительного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vMerge w:val="restart"/>
            <w:textDirection w:val="lrTb"/>
            <w:noWrap w:val="false"/>
          </w:tcPr>
          <w:p>
            <w:pPr>
              <w:ind w:left="8079" w:hanging="8079"/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vMerge w:val="restart"/>
            <w:textDirection w:val="lrTb"/>
            <w:noWrap w:val="false"/>
          </w:tcPr>
          <w:p>
            <w:pPr>
              <w:ind w:left="8079" w:hanging="8079"/>
              <w:spacing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надзора Камчатского края 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 w:line="240" w:lineRule="auto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ind w:left="0" w:right="0" w:firstLine="0"/>
        <w:jc w:val="left"/>
        <w:shd w:val="clear" w:color="ffffff" w:fill="ffffff"/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Положение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о</w:t>
      </w:r>
      <w:r>
        <w:rPr>
          <w:rFonts w:ascii="Times New Roman" w:hAnsi="Times New Roman"/>
          <w:sz w:val="28"/>
        </w:rPr>
        <w:t xml:space="preserve"> порядке сообщения государственными гражданскими служащими Инспекции государственного строительного надзора Камчатского края о получении подарка в связи с протокольными 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</w:t>
        <w:br/>
        <w:t xml:space="preserve">и оценке подарка, реализации (выкупе) </w:t>
        <w:br/>
        <w:t xml:space="preserve">и зачислении средств, вырученных от его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Общие 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1. 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Настоящее Положение определяет порядок сообщения государственными гражданскими служащими Инспекции государственного строительного надзора Камчатского края (далее – Инспекция ГСН Камчатского края), </w:t>
      </w:r>
      <w:r>
        <w:rPr>
          <w:rFonts w:ascii="Times New Roman" w:hAnsi="Times New Roman"/>
          <w:b w:val="0"/>
          <w:bCs w:val="0"/>
          <w:sz w:val="28"/>
          <w:highlight w:val="none"/>
        </w:rPr>
        <w:t xml:space="preserve">в отношении которых руководитель Инспекции ГСН Камчатского края осуществляет полномочия представителя нанимателя,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получении подарка </w:t>
        <w:br/>
        <w:t xml:space="preserve">в связи с протокольными мероприятиями, служебными командировками </w:t>
        <w:br/>
        <w:t xml:space="preserve">и другими официальными мероприя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тиями, участие в которых связано с их должностным положением или исполнением ими служебных (должностных) обязанностей (далее </w:t>
      </w:r>
      <w:r>
        <w:rPr>
          <w:rFonts w:ascii="Times New Roman" w:hAnsi="Times New Roman"/>
          <w:sz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подарок), порядок сдачи и оценки подарка, реализации (выкупа) и зачисления средств, вырученных от его реализации.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2. Для целей настоящего Положения используются следующие понятия: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1) 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подарок, полученный в связи с протокольными мероприятиями, служебными командировками и другими официальными мероприятиями </w:t>
      </w:r>
      <w:r>
        <w:rPr>
          <w:rFonts w:ascii="Times New Roman" w:hAnsi="Times New Roman"/>
          <w:sz w:val="28"/>
          <w:highlight w:val="none"/>
        </w:rPr>
        <w:t xml:space="preserve">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подарок, полученный должностным лицом от физических (юридических) лиц, которые осуществляют дарение,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качестве поощрения (награды);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2) 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highlight w:val="none"/>
        </w:rPr>
        <w:t xml:space="preserve">–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получение должностным лицом лично или через посредника </w:t>
        <w:br/>
        <w:t xml:space="preserve">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обязанностей в случаях, установленных федеральными законами, законами Камчатского края и иными нормативными правовыми актами Камчатского края, определяющими особенности правового положения и специфику профессиональной служебной и трудовой деятельности указ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анных лиц.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3. Должностные лица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 Должностное лицо обязано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</w:t>
        <w:br/>
        <w:t xml:space="preserve">с исполнением ими служебных (должностных) обязанносте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й в порядке, предусмотренном </w:t>
      </w:r>
      <w:hyperlink r:id="rId11" w:tooltip="https://internet.garant.ru/#/document/70557294/entry/100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Типовым положением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</w:t>
        <w:br/>
        <w:t xml:space="preserve">и оце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нке подарка, реализации (выкупе) и зачислении средств, вырученных </w:t>
        <w:br/>
        <w:t xml:space="preserve">от его реализации, утвержденным </w:t>
      </w:r>
      <w:hyperlink r:id="rId12" w:tooltip="https://internet.garant.ru/#/document/70557294/entry/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Постановлением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Правительства Российской Федерации от 09.01.2014 № 10 (далее </w:t>
      </w:r>
      <w:r>
        <w:rPr>
          <w:rFonts w:ascii="Times New Roman" w:hAnsi="Times New Roman"/>
          <w:sz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уведомление) согласно </w:t>
      </w:r>
      <w:hyperlink r:id="rId13" w:tooltip="https://internet.garant.ru/#/document/410477098/entry/110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приложению 1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</w:t>
        <w:br/>
        <w:t xml:space="preserve">к настоящему Положению.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5. Уведомление составляется в 2 экземплярах и представляет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ся (направляется) не позднее 3 рабочих дней со дня получения должностным лицом подарка в адрес руководителя Инспекции ГСН Камчатского края. </w:t>
        <w:br/>
        <w:t xml:space="preserve">К уведомлению прилагаются документ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ы (при их наличии), подтверждающие стоимость подарка (кассовый чек, товарный чек, иной документ об оплате (приобретении) подарка).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случае если подарок получен во время служебной командировки, уведомление представляется (направляется) не позднее 3 рабочих дней со дня возвращения лица, получившего подарок, из служебной командировки.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При невозможности подачи уведомления в сроки, указанные в </w:t>
      </w:r>
      <w:hyperlink r:id="rId14" w:tooltip="https://internet.garant.ru/#/document/410477098/entry/105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абзацах первом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и </w:t>
      </w:r>
      <w:hyperlink r:id="rId15" w:tooltip="https://internet.garant.ru/#/document/410477098/entry/152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втором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настоящей части, по причине, не зависящей от должностного лица, оно представляется (направляется) не позднее следующего дня после ее устранения.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6. Первый экземпляр уведомления, зарегистрированный уполномоченным должностным лицом, в журнале регистрации уведомлений согласно </w:t>
      </w:r>
      <w:hyperlink r:id="rId16" w:tooltip="https://internet.garant.ru/#/document/410477098/entry/120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приложению 2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к настоящему Положению, направляется </w:t>
      </w:r>
      <w:r>
        <w:rPr>
          <w:rFonts w:ascii="Times New Roman" w:hAnsi="Times New Roman"/>
          <w:b w:val="0"/>
          <w:bCs w:val="0"/>
          <w:color w:val="auto"/>
          <w:sz w:val="28"/>
          <w:highlight w:val="none"/>
        </w:rPr>
        <w:t xml:space="preserve">постоянно действующую комиссию по поступлению и выбытию активов в Инспекции ГСН Камчатского края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</w:rPr>
        <w:t xml:space="preserve">–</w:t>
      </w:r>
      <w:r/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комиссия).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Второй экземпляр уведомления с отметкой о его регистрации возвращается должностному лицу.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7. Должностное лицо обязано передать подарок, стоимость которого подтверждается документами и превышает 3 тысячи рублей либо стоимость которого неизвестна, на хранение главному бухгалтеру, осуществляющему прием подарков на хран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ение по акту приема-передачи согласно </w:t>
      </w:r>
      <w:hyperlink r:id="rId17" w:tooltip="https://internet.garant.ru/#/document/410477098/entry/130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приложению 3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к настоящему Положению, не позднее 5 рабочих дней со дня регистрации уведомления.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8. До передачи подарка по акту приёма-передачи, ответственность за утрату или повреждение подарка, в соответствии с законодательством Российской Федерации, несет лицо, получившее подарок.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9. Главный б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ухгалтер направляет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уполномоченному должностному лицу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копии уведомления и акта приема-передачи подарка не позднее 10 рабочих дней со дня подписания акта приема-передачи.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10. Комиссия в целях принятия к бухгалтерскому учету подарка в порядке, установленном законодательством Российской Федерации, проводит определение его стоимости на основе рыночной цены, действующей на дату принятия к учету подарка, или цены на аналогичную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11. Подарок возвращается сдавшему его лицу по акту приема-передачи (возврата) согласно </w:t>
      </w:r>
      <w:hyperlink r:id="rId18" w:tooltip="https://internet.garant.ru/#/document/410477098/entry/140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приложению 4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к настоящему Положению в случае, если его стоимость не превышает 3 тысяч рублей.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12. Главный бухгалтер обеспечивает включение в установленном порядке принятого к бухгалтерскому учету подарка, стоимость которого превышает </w:t>
        <w:br/>
        <w:t xml:space="preserve">3 тысячи рублей, в реестр имущества, находящегося в государственной собственности Камчатского края.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13. Должностное лицо, сдавшее подарок, может его выкупить, направив на имя руководителя Инспекции ГСН Камчатского края заявление о выкупе подарка согласно </w:t>
      </w:r>
      <w:hyperlink r:id="rId19" w:tooltip="https://internet.garant.ru/#/document/410477098/entry/150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приложению 5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к настоящему Положению не позднее 2 месяцев со дня сдачи подарка.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14. Комиссия в течени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 3 месяцев со дня поступления заявления о выкупе подарка с соответствующей резолюцией руководителя Инспекции ГСН Камчатского края организует оценку стоимости подарка для реализации (выкупа) и уведомляет в письменной форме лицо, подавшее заявление, о резул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15. В случае, если в отношении подарка, изготовленного из драгоценных металлов и (или) драгоценных камней, от должностного лица не поступило заявление о выкупе подарка либо при отказе от выкупа такого подарка, подарок, изготовленный из драгоценных металлов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(или) драгоценных камней, подлежит передаче главным бухгалтером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16. Подарок, в отношении которого не поступило заявление о выкупе, может использоваться Инспекцией ГСН Камчатского края с учетом заключения комиссии.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17. В случае нецелесо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образности использования подарка руководителем Инспекции ГСН Камчатского края на основании представления комиссии принимается решение о реализации подарка и проведении оценки его стоимости для реализации (выкупа), осуществляемой комиссией посредством пров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едения торгов в порядке, предусмотренном законодательством Российской Федерации.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18. Оценка стоимости подарка для реализации (выкупа), предусмотренная </w:t>
      </w:r>
      <w:hyperlink r:id="rId20" w:tooltip="https://internet.garant.ru/#/document/410477098/entry/114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частями 14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и </w:t>
      </w:r>
      <w:hyperlink r:id="rId21" w:tooltip="https://internet.garant.ru/#/document/410477098/entry/117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17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настоящего Положения, осуществляется </w:t>
        <w:br/>
        <w:t xml:space="preserve">в соответствии с </w:t>
      </w:r>
      <w:hyperlink r:id="rId22" w:tooltip="https://internet.garant.ru/#/document/12112509/entry/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Российской Федерации об оценочной деятельности.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19. В случае если под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арок не выкуплен или не реализован, руководителем Инспекции ГСН Камчатского края на основании представления комиссии принимается решение о повторной реализации подарка, либо о его безвозмездной передаче на баланс благотворительной организации, либо о его у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ничтожении в соответствии с законодательством Российской Федерации.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20. Средства, вырученные от реализации (выкупа) подарка, зачисляются в доход краевого бюджета в порядке, установленном </w:t>
      </w:r>
      <w:hyperlink r:id="rId23" w:tooltip="https://internet.garant.ru/#/document/12112604/entry/0" w:history="1">
        <w:r>
          <w:rPr>
            <w:rStyle w:val="860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бюджетным законодательством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 Российской Федерации.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Положению о порядке сообщения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гражданскими служащими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Инспекции ГСН Камчатского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получении подарка в связи с протокольными 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ероприятиями, служебными командировками другими официальными мероприятиями, участие в которых связано с исполнением ими служебных (должностных)обязанностей, сдаче 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 получении подарка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 «__»__________20__г.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  <w:t xml:space="preserve">Извещаю о получении подарка(ов)_________________на______________</w:t>
        <w:br/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t xml:space="preserve">дата получения, наименование протокольного мероприятия, служебной командировки, другого официального мероприятия, место и дата проведения)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87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409"/>
        <w:gridCol w:w="2551"/>
        <w:gridCol w:w="2551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Наименование подарка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09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Характеристика подарка, его описание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Количество предметов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Стоимость в рублях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09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09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8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09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51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Приложение: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Лицо, представившее уведомление: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(подпись) (расшифровка подписи)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Лицо принявшее уведомление: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(подпись) (расшифровка подписи)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Регистрационный номер в журнале регистрации уведомлений_______________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 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Положению о порядке сообщения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гражданскими служащими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Инспекции ГСН Камчатского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получении подарка в связи с протокольными 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ероприятиями, служебными командировками другими официальными мероприятиями, участие в которых связано с исполнением ими служебных (должностных)обязанностей, сдаче 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Журнал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center"/>
        <w:spacing w:after="0" w:afterAutospacing="0" w:line="240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регистрации уведомлений должностных лиц о получении подарка в связи с протокольными мероприятиями, служебными командировками и другими официаль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ными мероприятиями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участие в которых связано с исполнением ими служебных (должностных) обязанностей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877"/>
        <w:tblW w:w="0" w:type="auto"/>
        <w:tblInd w:w="-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1843"/>
        <w:gridCol w:w="1843"/>
        <w:gridCol w:w="1701"/>
        <w:gridCol w:w="1843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Дата регистрации уведомления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Фамилия Имя Отчество лица, представившего уведомление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Должность лица, представившего уведомление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Фамилия Имя Отчество</w:t>
            </w:r>
            <w:r>
              <w:rPr>
                <w:rFonts w:ascii="Times New Roman" w:hAnsi="Times New Roman" w:eastAsia="Times New Roman" w:cs="Times New Roman"/>
              </w:rPr>
              <w:t xml:space="preserve">, регистратора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Подпись регистратора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trHeight w:val="14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5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5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59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50" w:type="dxa"/>
            <w:vAlign w:val="top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59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1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43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 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Положению о порядке сообщения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гражданскими служащими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Инспекции ГСН Камчатского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получении подарка в связи с протокольными 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ероприятиями, служебными командировками другими официальными мероприятиями, участие в которых связано с исполнением ими служебных (должностных)обязанностей, сдаче 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приема -передачи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№______от «__»__________20__г.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  <w:t xml:space="preserve">Мы, нижеподписавшиеся, составили настоящий акт о том, что _________</w:t>
        <w:br/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(должность, фамилия, имя, отчество (при наличии) должностного лица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сдал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 материально ответственное лицо_______________________________________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(должность, фамилия, имя, отчество (при наличии) должностного лица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инял на ответственное хранение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следующие подарки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left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87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96"/>
        <w:gridCol w:w="1938"/>
        <w:gridCol w:w="1368"/>
        <w:gridCol w:w="1482"/>
        <w:gridCol w:w="3306"/>
      </w:tblGrid>
      <w:tr>
        <w:tblPrEx/>
        <w:trPr>
          <w:trHeight w:val="101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9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Наименование подарка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3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Характеристика подарка, его описание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6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Количество предметов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Стоимость в рублях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0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Регистрационный номер в журнале регистрации уведомлений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96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3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68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06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4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9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93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6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 w:afterAutospacing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06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Сдал на хранение Принял на хранение: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(подпись) (расшифровка подписи)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Принято к учету: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(дата и номер решения комиссии) 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Исполнитель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(подпись) (расшифровка подписи)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 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Положению о порядке сообщения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гражданскими служащими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Инспекции ГСН Камчатского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получении подарка в связи с протокольными 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ероприятиями, служебными командировками другими официальными мероприятиями, участие в которых связано с исполнением ими служебных (должностных)обязанностей, сдаче 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0"/>
        <w:jc w:val="righ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Акт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приема -передачи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(возврата)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№______от «__»__________20__г.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ab/>
        <w:t xml:space="preserve">Материально ответственное лицо___________________________________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(должность, фамилия, имя, отчество (при наличии) должностного лица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на основании 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170" w:lineRule="exact"/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(документ об определении стоимости подарка, не превышающей 3 тыс. рублей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)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</w:r>
    </w:p>
    <w:p>
      <w:pPr>
        <w:contextualSpacing/>
        <w:ind w:left="0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возвращает _______________________________подарок стоимостью_________.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after="0" w:afterAutospacing="0" w:line="240" w:lineRule="auto"/>
        <w:tabs>
          <w:tab w:val="left" w:pos="2049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(Ф.И.О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none"/>
        </w:rPr>
        <w:t xml:space="preserve">)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Выдал: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(подпись) (расшифровка подписи)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Принял: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18"/>
          <w:szCs w:val="18"/>
          <w:highlight w:val="none"/>
        </w:rPr>
        <w:t xml:space="preserve">(подпись) (расшифровка подписи)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«__»_______20__г.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Приложение 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4677" w:right="0" w:firstLine="0"/>
        <w:jc w:val="left"/>
        <w:spacing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Положению о порядке сообщения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государственными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гражданскими служащими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Инспекции ГСН Камчатского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 получении подарка в связи с протокольными 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z w:val="28"/>
        </w:rPr>
        <w:t xml:space="preserve">ероприятиями, служебными командировками другими официальными мероприятиями, участие в которых связано с исполнением ими служебных (должностных)обязанностей, сдаче  и оценке подарка, реализации (выкупе) и зачислении средств, вырученных от его реализации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выкупе подарка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8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708"/>
        <w:jc w:val="both"/>
        <w:shd w:val="clear" w:color="ffffff" w:fill="ffffff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Заявляю о желании выкупить подарок, полученный мною на___________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color w:val="auto"/>
          <w:sz w:val="16"/>
          <w:szCs w:val="1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16"/>
          <w:szCs w:val="16"/>
        </w:rPr>
        <w:t xml:space="preserve">(наименование протокольного мероприятия, служебной командировки или другого официального мероприятия, место и дата его проведения)</w:t>
      </w:r>
      <w:r>
        <w:rPr>
          <w:rFonts w:ascii="Times New Roman" w:hAnsi="Times New Roman" w:cs="Times New Roman"/>
          <w:color w:val="auto"/>
          <w:sz w:val="16"/>
          <w:szCs w:val="16"/>
        </w:rPr>
      </w:r>
      <w:r>
        <w:rPr>
          <w:rFonts w:ascii="Times New Roman" w:hAnsi="Times New Roman" w:cs="Times New Roman"/>
          <w:color w:val="auto"/>
          <w:sz w:val="16"/>
          <w:szCs w:val="16"/>
        </w:rPr>
      </w:r>
    </w:p>
    <w:p>
      <w:pPr>
        <w:ind w:left="0" w:right="0" w:firstLine="0"/>
        <w:jc w:val="both"/>
        <w:spacing w:after="0" w:afterAutospacing="0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 переданный в_______________________________________________________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center"/>
        <w:spacing w:after="0" w:afterAutospacing="0"/>
        <w:shd w:val="clear" w:color="ffffff" w:fill="ffffff"/>
        <w:rPr>
          <w:rFonts w:ascii="Times New Roman" w:hAnsi="Times New Roman" w:cs="Times New Roman"/>
          <w:color w:val="auto"/>
          <w:sz w:val="16"/>
          <w:szCs w:val="1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16"/>
          <w:szCs w:val="16"/>
        </w:rPr>
        <w:t xml:space="preserve">(наименование)</w:t>
      </w:r>
      <w:r>
        <w:rPr>
          <w:rFonts w:ascii="Times New Roman" w:hAnsi="Times New Roman" w:cs="Times New Roman"/>
          <w:color w:val="auto"/>
          <w:sz w:val="16"/>
          <w:szCs w:val="16"/>
        </w:rPr>
      </w:r>
      <w:r>
        <w:rPr>
          <w:rFonts w:ascii="Times New Roman" w:hAnsi="Times New Roman" w:cs="Times New Roman"/>
          <w:color w:val="auto"/>
          <w:sz w:val="16"/>
          <w:szCs w:val="16"/>
        </w:rPr>
      </w:r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 акту приема-передачи от "__" __________ 20__ г. № _________.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_______________ ____________________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(подпись) (расшифровка подписи)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mes New Roman" w:hAnsi="Times New Roman" w:cs="Times New Roman"/>
          <w:color w:val="auto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"__" __________ 20__ г.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96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4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3</w:t>
    </w:r>
    <w:r>
      <w:rPr>
        <w:rFonts w:ascii="Times New Roman" w:hAnsi="Times New Roman"/>
        <w:sz w:val="28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5">
    <w:name w:val="Heading 1 Char"/>
    <w:basedOn w:val="857"/>
    <w:link w:val="85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6">
    <w:name w:val="Heading 2 Char"/>
    <w:basedOn w:val="857"/>
    <w:link w:val="853"/>
    <w:uiPriority w:val="9"/>
    <w:rPr>
      <w:rFonts w:ascii="Liberation Sans" w:hAnsi="Liberation Sans" w:eastAsia="Liberation Sans" w:cs="Liberation Sans"/>
      <w:sz w:val="34"/>
    </w:rPr>
  </w:style>
  <w:style w:type="character" w:styleId="697">
    <w:name w:val="Heading 3 Char"/>
    <w:basedOn w:val="857"/>
    <w:link w:val="85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8">
    <w:name w:val="Heading 4 Char"/>
    <w:basedOn w:val="857"/>
    <w:link w:val="85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9">
    <w:name w:val="Heading 5 Char"/>
    <w:basedOn w:val="857"/>
    <w:link w:val="8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0">
    <w:name w:val="Heading 6"/>
    <w:basedOn w:val="851"/>
    <w:next w:val="851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1">
    <w:name w:val="Heading 6 Char"/>
    <w:basedOn w:val="857"/>
    <w:link w:val="70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2">
    <w:name w:val="Heading 7"/>
    <w:basedOn w:val="851"/>
    <w:next w:val="851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3">
    <w:name w:val="Heading 7 Char"/>
    <w:basedOn w:val="857"/>
    <w:link w:val="70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4">
    <w:name w:val="Heading 8"/>
    <w:basedOn w:val="851"/>
    <w:next w:val="851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5">
    <w:name w:val="Heading 8 Char"/>
    <w:basedOn w:val="857"/>
    <w:link w:val="70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6">
    <w:name w:val="Heading 9"/>
    <w:basedOn w:val="851"/>
    <w:next w:val="851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7">
    <w:name w:val="Heading 9 Char"/>
    <w:basedOn w:val="857"/>
    <w:link w:val="70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>
    <w:name w:val="Title Char"/>
    <w:basedOn w:val="857"/>
    <w:link w:val="873"/>
    <w:uiPriority w:val="10"/>
    <w:rPr>
      <w:sz w:val="48"/>
      <w:szCs w:val="48"/>
    </w:rPr>
  </w:style>
  <w:style w:type="character" w:styleId="709">
    <w:name w:val="Subtitle Char"/>
    <w:basedOn w:val="857"/>
    <w:link w:val="876"/>
    <w:uiPriority w:val="11"/>
    <w:rPr>
      <w:sz w:val="24"/>
      <w:szCs w:val="24"/>
    </w:rPr>
  </w:style>
  <w:style w:type="paragraph" w:styleId="710">
    <w:name w:val="Quote"/>
    <w:basedOn w:val="851"/>
    <w:next w:val="85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51"/>
    <w:next w:val="85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57"/>
    <w:link w:val="864"/>
    <w:uiPriority w:val="99"/>
  </w:style>
  <w:style w:type="character" w:styleId="715">
    <w:name w:val="Footer Char"/>
    <w:basedOn w:val="857"/>
    <w:link w:val="874"/>
    <w:uiPriority w:val="99"/>
  </w:style>
  <w:style w:type="paragraph" w:styleId="716">
    <w:name w:val="Caption"/>
    <w:basedOn w:val="851"/>
    <w:next w:val="851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857"/>
    <w:link w:val="716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0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1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5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6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7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2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51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57"/>
    <w:uiPriority w:val="99"/>
    <w:unhideWhenUsed/>
    <w:rPr>
      <w:vertAlign w:val="superscript"/>
    </w:rPr>
  </w:style>
  <w:style w:type="paragraph" w:styleId="846">
    <w:name w:val="endnote text"/>
    <w:basedOn w:val="85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57"/>
    <w:uiPriority w:val="99"/>
    <w:semiHidden/>
    <w:unhideWhenUsed/>
    <w:rPr>
      <w:vertAlign w:val="superscript"/>
    </w:r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spacing w:after="160" w:line="264" w:lineRule="auto"/>
    </w:pPr>
    <w:rPr>
      <w:color w:val="000000"/>
      <w:sz w:val="22"/>
    </w:rPr>
  </w:style>
  <w:style w:type="paragraph" w:styleId="852">
    <w:name w:val="Heading 1"/>
    <w:next w:val="851"/>
    <w:uiPriority w:val="9"/>
    <w:qFormat/>
    <w:pPr>
      <w:jc w:val="both"/>
      <w:spacing w:before="120" w:after="120" w:line="264" w:lineRule="auto"/>
      <w:outlineLvl w:val="0"/>
    </w:pPr>
    <w:rPr>
      <w:rFonts w:ascii="XO Thames" w:hAnsi="XO Thames"/>
      <w:b/>
      <w:color w:val="000000"/>
      <w:sz w:val="32"/>
    </w:rPr>
  </w:style>
  <w:style w:type="paragraph" w:styleId="853">
    <w:name w:val="Heading 2"/>
    <w:next w:val="851"/>
    <w:uiPriority w:val="9"/>
    <w:qFormat/>
    <w:pPr>
      <w:jc w:val="both"/>
      <w:spacing w:before="120" w:after="120" w:line="264" w:lineRule="auto"/>
      <w:outlineLvl w:val="1"/>
    </w:pPr>
    <w:rPr>
      <w:rFonts w:ascii="XO Thames" w:hAnsi="XO Thames"/>
      <w:b/>
      <w:color w:val="000000"/>
      <w:sz w:val="28"/>
    </w:rPr>
  </w:style>
  <w:style w:type="paragraph" w:styleId="854">
    <w:name w:val="Heading 3"/>
    <w:next w:val="851"/>
    <w:uiPriority w:val="9"/>
    <w:qFormat/>
    <w:pPr>
      <w:jc w:val="both"/>
      <w:spacing w:before="120" w:after="120" w:line="264" w:lineRule="auto"/>
      <w:outlineLvl w:val="2"/>
    </w:pPr>
    <w:rPr>
      <w:rFonts w:ascii="XO Thames" w:hAnsi="XO Thames"/>
      <w:b/>
      <w:color w:val="000000"/>
      <w:sz w:val="26"/>
    </w:rPr>
  </w:style>
  <w:style w:type="paragraph" w:styleId="855">
    <w:name w:val="Heading 4"/>
    <w:next w:val="851"/>
    <w:uiPriority w:val="9"/>
    <w:qFormat/>
    <w:pPr>
      <w:jc w:val="both"/>
      <w:spacing w:before="120" w:after="120" w:line="264" w:lineRule="auto"/>
      <w:outlineLvl w:val="3"/>
    </w:pPr>
    <w:rPr>
      <w:rFonts w:ascii="XO Thames" w:hAnsi="XO Thames"/>
      <w:b/>
      <w:color w:val="000000"/>
      <w:sz w:val="24"/>
    </w:rPr>
  </w:style>
  <w:style w:type="paragraph" w:styleId="856">
    <w:name w:val="Heading 5"/>
    <w:next w:val="851"/>
    <w:uiPriority w:val="9"/>
    <w:qFormat/>
    <w:pPr>
      <w:jc w:val="both"/>
      <w:spacing w:before="120" w:after="120" w:line="264" w:lineRule="auto"/>
      <w:outlineLvl w:val="4"/>
    </w:pPr>
    <w:rPr>
      <w:rFonts w:ascii="XO Thames" w:hAnsi="XO Thames"/>
      <w:b/>
      <w:color w:val="000000"/>
      <w:sz w:val="22"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character" w:styleId="860">
    <w:name w:val="Hyperlink"/>
    <w:qFormat/>
    <w:rPr>
      <w:color w:val="0563c1" w:themeColor="hyperlink"/>
      <w:u w:val="single"/>
    </w:rPr>
  </w:style>
  <w:style w:type="paragraph" w:styleId="861">
    <w:name w:val="Balloon Text"/>
    <w:basedOn w:val="851"/>
    <w:qFormat/>
    <w:pPr>
      <w:spacing w:after="0" w:line="240" w:lineRule="auto"/>
    </w:pPr>
    <w:rPr>
      <w:rFonts w:ascii="Segoe UI" w:hAnsi="Segoe UI"/>
      <w:sz w:val="18"/>
    </w:rPr>
  </w:style>
  <w:style w:type="paragraph" w:styleId="862">
    <w:name w:val="Plain Text"/>
    <w:basedOn w:val="851"/>
    <w:qFormat/>
    <w:pPr>
      <w:spacing w:after="0" w:line="240" w:lineRule="auto"/>
    </w:pPr>
    <w:rPr>
      <w:rFonts w:ascii="Calibri" w:hAnsi="Calibri"/>
    </w:rPr>
  </w:style>
  <w:style w:type="paragraph" w:styleId="863">
    <w:name w:val="toc 8"/>
    <w:next w:val="851"/>
    <w:uiPriority w:val="39"/>
    <w:qFormat/>
    <w:pPr>
      <w:ind w:left="1400"/>
      <w:spacing w:after="160" w:line="264" w:lineRule="auto"/>
    </w:pPr>
    <w:rPr>
      <w:rFonts w:ascii="XO Thames" w:hAnsi="XO Thames"/>
      <w:color w:val="000000"/>
      <w:sz w:val="28"/>
    </w:rPr>
  </w:style>
  <w:style w:type="paragraph" w:styleId="864">
    <w:name w:val="Header"/>
    <w:basedOn w:val="851"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65">
    <w:name w:val="toc 9"/>
    <w:next w:val="851"/>
    <w:uiPriority w:val="39"/>
    <w:qFormat/>
    <w:pPr>
      <w:ind w:left="1600"/>
      <w:spacing w:after="160" w:line="264" w:lineRule="auto"/>
    </w:pPr>
    <w:rPr>
      <w:rFonts w:ascii="XO Thames" w:hAnsi="XO Thames"/>
      <w:color w:val="000000"/>
      <w:sz w:val="28"/>
    </w:rPr>
  </w:style>
  <w:style w:type="paragraph" w:styleId="866">
    <w:name w:val="toc 7"/>
    <w:next w:val="851"/>
    <w:uiPriority w:val="39"/>
    <w:qFormat/>
    <w:pPr>
      <w:ind w:left="1200"/>
      <w:spacing w:after="160" w:line="264" w:lineRule="auto"/>
    </w:pPr>
    <w:rPr>
      <w:rFonts w:ascii="XO Thames" w:hAnsi="XO Thames"/>
      <w:color w:val="000000"/>
      <w:sz w:val="28"/>
    </w:rPr>
  </w:style>
  <w:style w:type="paragraph" w:styleId="867">
    <w:name w:val="toc 1"/>
    <w:next w:val="851"/>
    <w:uiPriority w:val="39"/>
    <w:qFormat/>
    <w:pPr>
      <w:spacing w:after="160" w:line="264" w:lineRule="auto"/>
    </w:pPr>
    <w:rPr>
      <w:rFonts w:ascii="XO Thames" w:hAnsi="XO Thames"/>
      <w:b/>
      <w:color w:val="000000"/>
      <w:sz w:val="28"/>
    </w:rPr>
  </w:style>
  <w:style w:type="paragraph" w:styleId="868">
    <w:name w:val="toc 6"/>
    <w:next w:val="851"/>
    <w:uiPriority w:val="39"/>
    <w:qFormat/>
    <w:pPr>
      <w:ind w:left="1000"/>
      <w:spacing w:after="160" w:line="264" w:lineRule="auto"/>
    </w:pPr>
    <w:rPr>
      <w:rFonts w:ascii="XO Thames" w:hAnsi="XO Thames"/>
      <w:color w:val="000000"/>
      <w:sz w:val="28"/>
    </w:rPr>
  </w:style>
  <w:style w:type="paragraph" w:styleId="869">
    <w:name w:val="toc 3"/>
    <w:next w:val="851"/>
    <w:uiPriority w:val="39"/>
    <w:qFormat/>
    <w:pPr>
      <w:ind w:left="400"/>
      <w:spacing w:after="160" w:line="264" w:lineRule="auto"/>
    </w:pPr>
    <w:rPr>
      <w:rFonts w:ascii="XO Thames" w:hAnsi="XO Thames"/>
      <w:color w:val="000000"/>
      <w:sz w:val="28"/>
    </w:rPr>
  </w:style>
  <w:style w:type="paragraph" w:styleId="870">
    <w:name w:val="toc 2"/>
    <w:next w:val="851"/>
    <w:uiPriority w:val="39"/>
    <w:qFormat/>
    <w:pPr>
      <w:ind w:left="200"/>
      <w:spacing w:after="160" w:line="264" w:lineRule="auto"/>
    </w:pPr>
    <w:rPr>
      <w:rFonts w:ascii="XO Thames" w:hAnsi="XO Thames"/>
      <w:color w:val="000000"/>
      <w:sz w:val="28"/>
    </w:rPr>
  </w:style>
  <w:style w:type="paragraph" w:styleId="871">
    <w:name w:val="toc 4"/>
    <w:next w:val="851"/>
    <w:uiPriority w:val="39"/>
    <w:qFormat/>
    <w:pPr>
      <w:ind w:left="600"/>
      <w:spacing w:after="160" w:line="264" w:lineRule="auto"/>
    </w:pPr>
    <w:rPr>
      <w:rFonts w:ascii="XO Thames" w:hAnsi="XO Thames"/>
      <w:color w:val="000000"/>
      <w:sz w:val="28"/>
    </w:rPr>
  </w:style>
  <w:style w:type="paragraph" w:styleId="872">
    <w:name w:val="toc 5"/>
    <w:next w:val="851"/>
    <w:uiPriority w:val="39"/>
    <w:qFormat/>
    <w:pPr>
      <w:ind w:left="800"/>
      <w:spacing w:after="160" w:line="264" w:lineRule="auto"/>
    </w:pPr>
    <w:rPr>
      <w:rFonts w:ascii="XO Thames" w:hAnsi="XO Thames"/>
      <w:color w:val="000000"/>
      <w:sz w:val="28"/>
    </w:rPr>
  </w:style>
  <w:style w:type="paragraph" w:styleId="873">
    <w:name w:val="Title"/>
    <w:next w:val="851"/>
    <w:uiPriority w:val="10"/>
    <w:qFormat/>
    <w:pPr>
      <w:jc w:val="center"/>
      <w:spacing w:before="567" w:after="567" w:line="264" w:lineRule="auto"/>
    </w:pPr>
    <w:rPr>
      <w:rFonts w:ascii="XO Thames" w:hAnsi="XO Thames"/>
      <w:b/>
      <w:caps/>
      <w:color w:val="000000"/>
      <w:sz w:val="40"/>
    </w:rPr>
  </w:style>
  <w:style w:type="paragraph" w:styleId="874">
    <w:name w:val="Footer"/>
    <w:basedOn w:val="851"/>
    <w:qFormat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75">
    <w:name w:val="Normal (Web)"/>
    <w:basedOn w:val="85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876">
    <w:name w:val="Subtitle"/>
    <w:next w:val="851"/>
    <w:uiPriority w:val="11"/>
    <w:qFormat/>
    <w:pPr>
      <w:jc w:val="both"/>
      <w:spacing w:after="160" w:line="264" w:lineRule="auto"/>
    </w:pPr>
    <w:rPr>
      <w:rFonts w:ascii="XO Thames" w:hAnsi="XO Thames"/>
      <w:i/>
      <w:color w:val="000000"/>
      <w:sz w:val="24"/>
    </w:rPr>
  </w:style>
  <w:style w:type="table" w:styleId="877">
    <w:name w:val="Table Grid"/>
    <w:basedOn w:val="858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8" w:customStyle="1">
    <w:name w:val="Endnote"/>
    <w:link w:val="879"/>
    <w:qFormat/>
    <w:pPr>
      <w:ind w:firstLine="851"/>
      <w:jc w:val="both"/>
      <w:spacing w:after="160" w:line="264" w:lineRule="auto"/>
    </w:pPr>
    <w:rPr>
      <w:rFonts w:ascii="XO Thames" w:hAnsi="XO Thames"/>
      <w:color w:val="000000"/>
      <w:sz w:val="22"/>
    </w:rPr>
  </w:style>
  <w:style w:type="character" w:styleId="879" w:customStyle="1">
    <w:name w:val="Endnote1"/>
    <w:link w:val="878"/>
    <w:qFormat/>
    <w:rPr>
      <w:rFonts w:ascii="XO Thames" w:hAnsi="XO Thames"/>
      <w:sz w:val="22"/>
    </w:rPr>
  </w:style>
  <w:style w:type="paragraph" w:styleId="880" w:customStyle="1">
    <w:name w:val="Footnote"/>
    <w:link w:val="881"/>
    <w:qFormat/>
    <w:pPr>
      <w:ind w:firstLine="851"/>
      <w:jc w:val="both"/>
      <w:spacing w:after="160" w:line="264" w:lineRule="auto"/>
    </w:pPr>
    <w:rPr>
      <w:rFonts w:ascii="XO Thames" w:hAnsi="XO Thames"/>
      <w:color w:val="000000"/>
      <w:sz w:val="22"/>
    </w:rPr>
  </w:style>
  <w:style w:type="character" w:styleId="881" w:customStyle="1">
    <w:name w:val="Footnote1"/>
    <w:link w:val="880"/>
    <w:qFormat/>
    <w:rPr>
      <w:rFonts w:ascii="XO Thames" w:hAnsi="XO Thames"/>
      <w:sz w:val="22"/>
    </w:rPr>
  </w:style>
  <w:style w:type="paragraph" w:styleId="882" w:customStyle="1">
    <w:name w:val="Header and Footer"/>
    <w:link w:val="883"/>
    <w:qFormat/>
    <w:pPr>
      <w:jc w:val="both"/>
      <w:spacing w:after="160"/>
    </w:pPr>
    <w:rPr>
      <w:rFonts w:ascii="XO Thames" w:hAnsi="XO Thames"/>
      <w:color w:val="000000"/>
      <w:sz w:val="28"/>
    </w:rPr>
  </w:style>
  <w:style w:type="character" w:styleId="883" w:customStyle="1">
    <w:name w:val="Header and Footer1"/>
    <w:link w:val="882"/>
    <w:qFormat/>
    <w:rPr>
      <w:rFonts w:ascii="XO Thames" w:hAnsi="XO Thames"/>
      <w:sz w:val="28"/>
    </w:rPr>
  </w:style>
  <w:style w:type="paragraph" w:styleId="884">
    <w:name w:val="No Spacing"/>
    <w:qFormat/>
    <w:rPr>
      <w:color w:val="000000"/>
      <w:sz w:val="22"/>
    </w:rPr>
  </w:style>
  <w:style w:type="table" w:styleId="885" w:customStyle="1">
    <w:name w:val="Сетка таблицы2"/>
    <w:basedOn w:val="858"/>
    <w:qFormat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6" w:customStyle="1">
    <w:name w:val="Сетка таблицы1"/>
    <w:basedOn w:val="858"/>
    <w:qFormat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7" w:customStyle="1">
    <w:name w:val="s_16"/>
    <w:basedOn w:val="8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888">
    <w:name w:val="List Paragraph"/>
    <w:basedOn w:val="851"/>
    <w:uiPriority w:val="99"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Relationship Id="rId11" Type="http://schemas.openxmlformats.org/officeDocument/2006/relationships/hyperlink" Target="https://internet.garant.ru/#/document/70557294/entry/1000" TargetMode="External"/><Relationship Id="rId12" Type="http://schemas.openxmlformats.org/officeDocument/2006/relationships/hyperlink" Target="https://internet.garant.ru/#/document/70557294/entry/0" TargetMode="External"/><Relationship Id="rId13" Type="http://schemas.openxmlformats.org/officeDocument/2006/relationships/hyperlink" Target="https://internet.garant.ru/#/document/410477098/entry/1100" TargetMode="External"/><Relationship Id="rId14" Type="http://schemas.openxmlformats.org/officeDocument/2006/relationships/hyperlink" Target="https://internet.garant.ru/#/document/410477098/entry/105" TargetMode="External"/><Relationship Id="rId15" Type="http://schemas.openxmlformats.org/officeDocument/2006/relationships/hyperlink" Target="https://internet.garant.ru/#/document/410477098/entry/152" TargetMode="External"/><Relationship Id="rId16" Type="http://schemas.openxmlformats.org/officeDocument/2006/relationships/hyperlink" Target="https://internet.garant.ru/#/document/410477098/entry/1200" TargetMode="External"/><Relationship Id="rId17" Type="http://schemas.openxmlformats.org/officeDocument/2006/relationships/hyperlink" Target="https://internet.garant.ru/#/document/410477098/entry/1300" TargetMode="External"/><Relationship Id="rId18" Type="http://schemas.openxmlformats.org/officeDocument/2006/relationships/hyperlink" Target="https://internet.garant.ru/#/document/410477098/entry/1400" TargetMode="External"/><Relationship Id="rId19" Type="http://schemas.openxmlformats.org/officeDocument/2006/relationships/hyperlink" Target="https://internet.garant.ru/#/document/410477098/entry/1500" TargetMode="External"/><Relationship Id="rId20" Type="http://schemas.openxmlformats.org/officeDocument/2006/relationships/hyperlink" Target="https://internet.garant.ru/#/document/410477098/entry/114" TargetMode="External"/><Relationship Id="rId21" Type="http://schemas.openxmlformats.org/officeDocument/2006/relationships/hyperlink" Target="https://internet.garant.ru/#/document/410477098/entry/117" TargetMode="External"/><Relationship Id="rId22" Type="http://schemas.openxmlformats.org/officeDocument/2006/relationships/hyperlink" Target="https://internet.garant.ru/#/document/12112509/entry/0" TargetMode="External"/><Relationship Id="rId23" Type="http://schemas.openxmlformats.org/officeDocument/2006/relationships/hyperlink" Target="https://internet.garant.ru/#/document/12112604/entry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KashinaNG</dc:creator>
  <cp:lastModifiedBy>ponamarevaly</cp:lastModifiedBy>
  <cp:revision>23</cp:revision>
  <dcterms:created xsi:type="dcterms:W3CDTF">2025-05-29T21:31:00Z</dcterms:created>
  <dcterms:modified xsi:type="dcterms:W3CDTF">2026-10-29T00:58:02Z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655556122C2D4FA2BC836922A73A4463_13</vt:lpwstr>
  </property>
</Properties>
</file>