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</w:pPr>
      <w:r>
        <w:rPr>
          <w:rFonts w:ascii="Times New Roman" w:hAnsi="Times New Roman"/>
          <w:sz w:val="32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8744885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75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  <w:lang w:val="en-US"/>
        </w:rPr>
      </w:r>
      <w:r/>
    </w:p>
    <w:p>
      <w:pPr>
        <w:jc w:val="center"/>
        <w:spacing w:after="0" w:line="360" w:lineRule="auto"/>
      </w:pPr>
      <w:r>
        <w:rPr>
          <w:rFonts w:ascii="Times New Roman" w:hAnsi="Times New Roman"/>
          <w:sz w:val="32"/>
          <w:lang w:val="en-US"/>
        </w:rPr>
      </w:r>
      <w:r>
        <w:rPr>
          <w:rFonts w:ascii="Times New Roman" w:hAnsi="Times New Roman"/>
          <w:sz w:val="32"/>
          <w:lang w:val="en-US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32"/>
          <w:lang w:val="en-US"/>
        </w:rPr>
      </w:r>
      <w:r>
        <w:rPr>
          <w:rFonts w:ascii="Times New Roman" w:hAnsi="Times New Roman"/>
          <w:b/>
          <w:sz w:val="32"/>
          <w:lang w:val="en-US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32"/>
          <w:lang w:val="en-US"/>
        </w:rPr>
      </w:r>
      <w:r>
        <w:rPr>
          <w:rFonts w:ascii="Times New Roman" w:hAnsi="Times New Roman"/>
          <w:b/>
          <w:sz w:val="32"/>
          <w:lang w:val="en-US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МИНИСТЕРСТВО ИМУЩЕСТВЕННЫХ</w:t>
      </w:r>
      <w:r>
        <w:rPr>
          <w:rFonts w:ascii="Times New Roman" w:hAnsi="Times New Roman"/>
          <w:b/>
          <w:sz w:val="28"/>
          <w:lang w:val="ru-RU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И ЗЕМЕЛЬНЫХ ОТНОШЕНИЙ</w:t>
      </w:r>
      <w:r>
        <w:rPr>
          <w:rFonts w:ascii="Times New Roman" w:hAnsi="Times New Roman"/>
          <w:b/>
          <w:sz w:val="28"/>
          <w:lang w:val="ru-RU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32"/>
          <w:lang w:val="ru-RU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32"/>
          <w:lang w:val="ru-RU"/>
        </w:rPr>
      </w:r>
      <w:r>
        <w:rPr>
          <w:rFonts w:ascii="Times New Roman" w:hAnsi="Times New Roman"/>
          <w:b/>
          <w:sz w:val="32"/>
          <w:lang w:val="ru-RU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32"/>
          <w:lang w:val="ru-RU"/>
        </w:rPr>
        <w:t xml:space="preserve">ПРИКАЗ </w:t>
      </w:r>
      <w:r>
        <w:rPr>
          <w:rFonts w:ascii="Times New Roman" w:hAnsi="Times New Roman"/>
          <w:b/>
          <w:sz w:val="32"/>
          <w:lang w:val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b/>
          <w:bCs/>
          <w:sz w:val="32"/>
          <w:szCs w:val="32"/>
        </w:rPr>
      </w:r>
      <w:r>
        <w:rPr>
          <w:rFonts w:ascii="Times New Roman" w:hAnsi="Times New Roman"/>
          <w:b/>
          <w:bCs/>
          <w:sz w:val="32"/>
          <w:szCs w:val="32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7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</w:r>
            <w:r>
              <w:rPr>
                <w:rFonts w:ascii="Times New Roman" w:hAnsi="Times New Roman"/>
                <w:szCs w:val="20"/>
              </w:rPr>
            </w:r>
            <w:r>
              <w:rPr>
                <w:rFonts w:ascii="Times New Roman" w:hAnsi="Times New Roman"/>
                <w:szCs w:val="20"/>
              </w:rPr>
            </w:r>
          </w:p>
        </w:tc>
      </w:tr>
    </w:tbl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3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b/>
                <w:bCs/>
                <w:lang w:val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в приложение к приказу Министерства имущественных и земельных отношений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Камчатского края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от 16.04.2021 № 60/54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Об утверждении перечня государственного имущества Камчатского края, свободного от прав третьих лиц (за исключением права хозяйственного ведения, права оперативного управления, а так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lang w:val="ru-RU"/>
        </w:rPr>
        <w:t xml:space="preserve">В соответствии с постановлением Правительства Камчатского края</w:t>
      </w:r>
      <w:r>
        <w:rPr>
          <w:rFonts w:ascii="Times New Roman" w:hAnsi="Times New Roman" w:cs="Times New Roman"/>
          <w:sz w:val="28"/>
          <w:lang w:val="ru-RU"/>
        </w:rPr>
        <w:br/>
        <w:t xml:space="preserve"> от 03.04.2</w:t>
      </w:r>
      <w:r>
        <w:rPr>
          <w:rFonts w:ascii="Times New Roman" w:hAnsi="Times New Roman" w:cs="Times New Roman"/>
          <w:sz w:val="28"/>
          <w:lang w:val="ru-RU"/>
        </w:rPr>
        <w:t xml:space="preserve">009 № 158-П «Об имущественной поддержке субъектов малого и среднего предпринимательства, а также физических лиц</w:t>
      </w:r>
      <w:r>
        <w:rPr>
          <w:rFonts w:ascii="Times New Roman" w:hAnsi="Times New Roman" w:cs="Times New Roman"/>
          <w:sz w:val="28"/>
          <w:lang w:val="ru-RU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доход», в Камчатском крае»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  <w:lang w:val="ru-RU"/>
        </w:rPr>
      </w:r>
      <w:r>
        <w:rPr>
          <w:rFonts w:ascii="Times New Roman" w:hAnsi="Times New Roman" w:cs="Times New Roman"/>
          <w:bCs/>
          <w:sz w:val="28"/>
          <w:szCs w:val="28"/>
          <w:lang w:val="ru-RU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к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приказу Министерства имущественных и земельных отношений Камчатского края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16.04.2021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60/54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 утверждении перечня государственного имущества Камчатского края, свободного от прав третьих лиц (за исключением права хозяйственного ведения, права оперативного управления, а так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, изменения,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изложив его в редакции согласно приложению к настоящему приказу</w:t>
      </w:r>
      <w:r>
        <w:rPr>
          <w:rFonts w:ascii="Times New Roman" w:hAnsi="Times New Roman" w:cs="Times New Roman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2. </w:t>
      </w:r>
      <w:r>
        <w:rPr>
          <w:rFonts w:ascii="Times New Roman" w:hAnsi="Times New Roman" w:cs="Times New Roman"/>
          <w:sz w:val="28"/>
          <w:lang w:val="ru-RU"/>
        </w:rPr>
        <w:t xml:space="preserve">Настоящий приказ вступает в силу через 10 дней после дня его официального опубликования.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3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Н.М. Касеев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first" r:id="rId11"/>
          <w:footnotePr/>
          <w:endnotePr/>
          <w:type w:val="nextPage"/>
          <w:pgSz w:w="11906" w:h="16838" w:orient="portrait"/>
          <w:pgMar w:top="1134" w:right="851" w:bottom="1134" w:left="1418" w:header="709" w:footer="709" w:gutter="0"/>
          <w:cols w:num="1" w:sep="0" w:space="1701" w:equalWidth="1"/>
          <w:docGrid w:linePitch="360"/>
          <w:titlePg/>
        </w:sectPr>
      </w:pPr>
      <w:r/>
      <w:r/>
    </w:p>
    <w:p>
      <w:pPr>
        <w:ind w:left="3543" w:right="-2" w:firstLine="4961"/>
        <w:spacing w:after="0" w:line="240" w:lineRule="auto"/>
        <w:widowControl w:val="off"/>
        <w:tabs>
          <w:tab w:val="left" w:pos="8222" w:leader="none"/>
        </w:tabs>
      </w:pPr>
      <w:r>
        <w:rPr>
          <w:rFonts w:ascii="Times New Roman" w:hAnsi="Times New Roman"/>
          <w:sz w:val="28"/>
          <w:lang w:val="ru-RU"/>
        </w:rPr>
        <w:t xml:space="preserve">Приложение к приказу </w:t>
      </w:r>
      <w:r/>
    </w:p>
    <w:p>
      <w:pPr>
        <w:ind w:left="3543" w:right="-2" w:firstLine="4961"/>
        <w:spacing w:after="0" w:line="240" w:lineRule="auto"/>
        <w:widowControl w:val="off"/>
        <w:tabs>
          <w:tab w:val="left" w:pos="8222" w:leader="none"/>
        </w:tabs>
      </w:pPr>
      <w:r>
        <w:rPr>
          <w:rFonts w:ascii="Times New Roman" w:hAnsi="Times New Roman"/>
          <w:sz w:val="28"/>
          <w:lang w:val="ru-RU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имущественных </w:t>
      </w:r>
      <w:r/>
    </w:p>
    <w:p>
      <w:pPr>
        <w:ind w:left="3543" w:right="-2" w:firstLine="4961"/>
        <w:spacing w:after="0" w:line="240" w:lineRule="auto"/>
        <w:widowControl w:val="off"/>
        <w:tabs>
          <w:tab w:val="left" w:pos="8222" w:leader="none"/>
        </w:tabs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 земельных отношений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Камчатского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края</w:t>
      </w:r>
      <w:r/>
    </w:p>
    <w:tbl>
      <w:tblPr>
        <w:tblStyle w:val="932"/>
        <w:tblW w:w="0" w:type="auto"/>
        <w:tblInd w:w="850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W w:w="239" w:type="dxa"/>
            <w:textDirection w:val="lrTb"/>
            <w:noWrap w:val="false"/>
          </w:tcPr>
          <w:p>
            <w:pPr>
              <w:ind w:left="-65" w:firstLine="0"/>
              <w:jc w:val="right"/>
              <w:spacing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]</w:t>
            </w:r>
            <w:r>
              <w:rPr>
                <w:rFonts w:ascii="Times New Roman" w:hAnsi="Times New Roman"/>
                <w:color w:val="ffffff"/>
              </w:rPr>
            </w:r>
            <w:r>
              <w:rPr>
                <w:rFonts w:ascii="Times New Roman" w:hAnsi="Times New Roman"/>
                <w:color w:val="ffffff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 xml:space="preserve">№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EGNUMSTAMP]</w:t>
            </w:r>
            <w:r>
              <w:rPr>
                <w:rFonts w:ascii="Times New Roman" w:hAnsi="Times New Roman"/>
                <w:color w:val="ffffff"/>
              </w:rPr>
            </w:r>
            <w:r>
              <w:rPr>
                <w:rFonts w:ascii="Times New Roman" w:hAnsi="Times New Roman"/>
                <w:color w:val="ffffff"/>
              </w:rPr>
            </w:r>
          </w:p>
        </w:tc>
      </w:tr>
    </w:tbl>
    <w:p>
      <w:pPr>
        <w:ind w:left="8220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p>
      <w:pPr>
        <w:ind w:left="8504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«Приложение к приказу </w:t>
      </w:r>
      <w:r/>
    </w:p>
    <w:p>
      <w:pPr>
        <w:ind w:left="8504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Министерства имущественных</w:t>
      </w:r>
      <w:r/>
    </w:p>
    <w:p>
      <w:pPr>
        <w:ind w:left="8504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земельных отношений Камчатского края </w:t>
      </w:r>
      <w:r/>
    </w:p>
    <w:p>
      <w:pPr>
        <w:ind w:left="8504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16.04.2021 № 60/54 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/>
    </w:p>
    <w:p>
      <w:pPr>
        <w:ind w:left="5102" w:right="0" w:firstLine="0"/>
        <w:jc w:val="both"/>
        <w:spacing w:after="0" w:line="240" w:lineRule="auto"/>
        <w:suppressLineNumbers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/>
    </w:p>
    <w:p>
      <w:pPr>
        <w:jc w:val="center"/>
        <w:spacing w:after="0" w:line="240" w:lineRule="auto"/>
        <w:tabs>
          <w:tab w:val="left" w:pos="6637" w:leader="none"/>
          <w:tab w:val="center" w:pos="7711" w:leader="none"/>
        </w:tabs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</w:r>
      <w:r/>
    </w:p>
    <w:p>
      <w:pPr>
        <w:jc w:val="center"/>
        <w:spacing w:after="0" w:line="240" w:lineRule="auto"/>
        <w:tabs>
          <w:tab w:val="left" w:pos="6637" w:leader="none"/>
          <w:tab w:val="center" w:pos="7711" w:leader="none"/>
        </w:tabs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ПЕРЕЧЕНЬ</w:t>
      </w:r>
      <w:r/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ГОСУДАРСТВЕННОГО ИМУЩЕСТВА КАМЧАТСКОГО КРАЯ,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А ТАКЖЕ ФИЗИЧЕСКИМ ЛИЦАМ, НЕ ЯВЛЯЮЩИМСЯ ИНДИВИДУАЛЬНЫМИ ПРЕДПРИНИМАТЕЛЯМИ И ПРИМЕНЯЮЩИМ СПЕЦИАЛЬНЫЙ НАЛОГОВЫЙ РЕЖИМ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firstLine="540"/>
        <w:jc w:val="center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«НАЛОГ НА ПРОФЕССИОНАЛЬНЫЙ ДОХОД»</w:t>
      </w:r>
      <w:r/>
    </w:p>
    <w:p>
      <w:pPr>
        <w:ind w:firstLine="540"/>
        <w:jc w:val="center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/>
    </w:p>
    <w:tbl>
      <w:tblPr>
        <w:tblW w:w="15633" w:type="dxa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1701"/>
        <w:gridCol w:w="4360"/>
        <w:gridCol w:w="1951"/>
        <w:gridCol w:w="1560"/>
        <w:gridCol w:w="1134"/>
      </w:tblGrid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 (местоположение) объекта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 объекта недвижимости; тип движимого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объекта учёта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shd w:val="clear" w:color="ffffff" w:fill="ffffff"/>
            <w:tcW w:w="46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Сведения о недвижимом имуществе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01"/>
        </w:trPr>
        <w:tc>
          <w:tcPr>
            <w:shd w:val="clear" w:color="ffffff" w:fill="ffffff"/>
            <w:tcW w:w="56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shd w:val="clear" w:color="ffffff" w:fill="ffffff"/>
            <w:tcW w:w="46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Основная характеристика объекта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17"/>
        </w:trPr>
        <w:tc>
          <w:tcPr>
            <w:shd w:val="clear" w:color="ffffff" w:fill="ffffff"/>
            <w:tcW w:w="56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Тип (площадь- для земельных участков, зданий, помещений; протяженность, объем, площадь, глубина залегания –для сооружений; протяженность, объем, площадь, глубина залегания согласно проектной документации-для объектов незавершенного строительства)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Фактическое значение/Проектируемое значение (для объектов незавершенного строительства)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Единица измерения (для площади-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для протяженности-м; для глубины залегания-м; для объема-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Нежилое помещение цокольного этажа поз. 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19,2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Нежилые помещения поз.49-51, 65-72 цокольного этажа в жилом доме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(пом. 95)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158,4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Нежилое помещение цокольного этажа поз. 36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14,9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Нежилое помещение цокольного этажа поз. 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24,6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/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/>
          </w:p>
        </w:tc>
        <w:tc>
          <w:tcPr>
            <w:shd w:val="clear" w:color="ffffff" w:fill="ffffff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Нежилое помещение цокольного этажа поз. 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14,9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 Дальневосточная, д. 34</w:t>
            </w:r>
            <w:r/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/>
          </w:p>
        </w:tc>
        <w:tc>
          <w:tcPr>
            <w:shd w:val="clear" w:color="ffffff" w:fill="ffffff"/>
            <w:tcW w:w="43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Нежилое помещение цокольного этажа поз. 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13,5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г. Петропавловск-Камчатский, пр. 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50 лет Октября,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5/2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ru-RU"/>
              </w:rPr>
              <w:t xml:space="preserve">Нежилое помещение поз. 13-16, 19-24, 40,41 цокольного этажа в жилом доме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91,3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г. Петропавловск-Камчатский, ул. Лукашевского, 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Часть нежилых помещений поз. 9, 36 перехода второго этажа в здании редакционно-издательского корпуса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21,1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Петропавловск-Камчатский, ул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Заводская, д.10А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Нежилые помещения поз. "1-17", "22-30" цокольного этажа в жилом доме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485,50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Петропавловск-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Циолковского,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4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физкультурно-оздоровительного комплекса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/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19,8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Циолковского, д.42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25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второго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физкультурно-оздоровительного комплекса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площадь</w:t>
            </w:r>
            <w:r/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13,7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Океанская, д. 80/2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первого этажа в здании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Физкультурно-оздоровительный комплекс с плавательным бассейном»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en-US"/>
              </w:rPr>
              <w:t xml:space="preserve">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,4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 xml:space="preserve">13</w:t>
            </w:r>
            <w:r/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Океанская, д. 80/2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Физкультурно-оздоровительный комплекс с плавательным бассейном»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56,0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</w:t>
            </w:r>
            <w:r/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9,4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Нежилые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71, часть поз. 2 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72,9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12,0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пр-кт Победы, д. 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первого этажа в Здании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учебно-тренировочного комплекса с плавательным бассейном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67 первого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67 первого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3,0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64 третьего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67 первого этажа, поз. 49 второго этажа, поз. 64 третьего этажа, поз. 47 четвертого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4,0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65 третьего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4,8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64 третьего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64 третьего этажа, поз. 64 первого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2,0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27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47 четвертого этажа блок А в здании 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49 второго этажа блок С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29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Набережная, д. 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8 первого этажа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института усовершенствования учителей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Лукашевского, д. 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14 первого этажа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Роддома № 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Советская, д. 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нежилого помещения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22 второго этажа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Областного центра медицинской профилактики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1,0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Ленинская, д. 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Часть нежилых помещений поз.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35 - 40 первого этажа в здании </w:t>
            </w:r>
            <w:r>
              <w:rPr>
                <w:rFonts w:ascii="Times New Roman" w:hAnsi="Times New Roman" w:cs="Times New Roman"/>
                <w:lang w:val="ru-RU"/>
              </w:rPr>
              <w:t xml:space="preserve">Камчатского театра драмы и комедии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  <w:lang w:val="en-US"/>
              </w:rPr>
              <w:t xml:space="preserve">272,1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/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Партизанская, д. 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помеще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</w:rPr>
              <w:t xml:space="preserve">Нежилое помещение поз. 1-30 первого этажа в жилом доме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27,9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Камчатский край, 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Петропавловск-Камчатский,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ул. Войцешека, д. 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помещение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43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ежилое помещение поз. 109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 первого этажа блока В в здании </w:t>
            </w: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городской детской поликлиники № 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951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площадь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5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none"/>
              </w:rPr>
              <w:t xml:space="preserve">10,0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кв.м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spacing w:after="120"/>
      </w:pPr>
      <w:r/>
      <w:r/>
    </w:p>
    <w:tbl>
      <w:tblPr>
        <w:tblW w:w="15596" w:type="dxa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701"/>
        <w:gridCol w:w="2410"/>
        <w:gridCol w:w="1701"/>
        <w:gridCol w:w="2551"/>
        <w:gridCol w:w="1984"/>
        <w:gridCol w:w="1559"/>
        <w:gridCol w:w="2976"/>
      </w:tblGrid>
      <w:tr>
        <w:tblPrEx/>
        <w:trPr/>
        <w:tc>
          <w:tcPr>
            <w:gridSpan w:val="8"/>
            <w:tcW w:w="155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Сведения о недвижимом имуществе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01"/>
        </w:trPr>
        <w:tc>
          <w:tcPr>
            <w:gridSpan w:val="3"/>
            <w:tcW w:w="48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 номер текущего объекта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42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 номер целого объекта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Техническое состояние объекта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Категория земель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ind w:left="0" w:right="209" w:firstLine="0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104"/>
        </w:trPr>
        <w:tc>
          <w:tcPr>
            <w:gridSpan w:val="2"/>
            <w:tcW w:w="24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Тип (кадастровый, условный)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Номер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Тип (кадастровый, условный)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Номер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41:01:0010115:12713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41:01:0010115:11508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41:01:0010115:12716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41:01:0010115:12712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41:01:0010115:12714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41:01:0010115:12715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41:01:0010118:9390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Требует текущего ремонта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highlight w:val="white"/>
              </w:rPr>
            </w:pPr>
            <w:r>
              <w:rPr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кадастровый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41:01:0010118:11630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Требует текущего ремонта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нежилых помещений в здании редакционно-издательского корпуса и переходов 1 и 3 этажей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41:01:0010129:3419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Требует капитального ремонта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41:01:0010119:710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Спортивный объект (бассейн, спортзал, спортклуб, фитнесцентр)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41:01:0010119:710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Спортивный объект (бассейн, спортзал, спортклуб, фитнесцентр)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41:01:0010127:6761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Земельные участки спортивно-зрелищных объектов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41:01:0010127:6761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Земельные участки спортивно-зрелищных объектов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lang w:val="en-US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en-US"/>
              </w:rPr>
              <w:t xml:space="preserve">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41:01:0010113:3011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учебно-тренировочного комплекса с плавательным бассейном (спортивного сооружения)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41:01:0010122:2892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административного здания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41:01:0010118:782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роддома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41:01:0010122:739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кардиологического диспансера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41:01:0010121:1329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41:01:0010122:2653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Земельные участки многоквартирных жилых домов</w:t>
            </w:r>
            <w:r/>
          </w:p>
        </w:tc>
      </w:tr>
      <w:tr>
        <w:tblPrEx/>
        <w:trPr>
          <w:trHeight w:val="552"/>
        </w:trPr>
        <w:tc>
          <w:tcPr>
            <w:tcW w:w="7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41:01:0010116:891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Пригодно к эксплуатации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Arial" w:cs="Times New Roman"/>
                <w:color w:val="auto"/>
                <w:sz w:val="24"/>
                <w:lang w:val="ru-RU"/>
              </w:rPr>
              <w:t xml:space="preserve">Для эксплуатации здания детской поликлиники № 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after="120" w:line="240" w:lineRule="auto"/>
      </w:pPr>
      <w:r/>
      <w:r/>
    </w:p>
    <w:tbl>
      <w:tblPr>
        <w:tblW w:w="15596" w:type="dxa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25"/>
        <w:gridCol w:w="1843"/>
        <w:gridCol w:w="2409"/>
        <w:gridCol w:w="4819"/>
      </w:tblGrid>
      <w:tr>
        <w:tblPrEx/>
        <w:trPr/>
        <w:tc>
          <w:tcPr>
            <w:gridSpan w:val="4"/>
            <w:tcW w:w="155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Сведения о движимом имуществе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01"/>
        </w:trPr>
        <w:tc>
          <w:tcPr>
            <w:tcW w:w="65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регистрационный знак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(при наличии)</w:t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Марка, модель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Год выпуска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1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 (принадлежности) имущества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52"/>
        </w:trPr>
        <w:tc>
          <w:tcPr>
            <w:tcW w:w="65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</w:tr>
    </w:tbl>
    <w:p>
      <w:pPr>
        <w:spacing w:after="120" w:line="240" w:lineRule="auto"/>
      </w:pPr>
      <w:r/>
      <w:r/>
    </w:p>
    <w:tbl>
      <w:tblPr>
        <w:tblW w:w="15596" w:type="dxa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559"/>
        <w:gridCol w:w="2272"/>
        <w:gridCol w:w="3118"/>
        <w:gridCol w:w="2551"/>
        <w:gridCol w:w="1559"/>
        <w:gridCol w:w="2551"/>
      </w:tblGrid>
      <w:tr>
        <w:tblPrEx/>
        <w:trPr/>
        <w:tc>
          <w:tcPr>
            <w:gridSpan w:val="8"/>
            <w:tcW w:w="1559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Сведения о правообладателях и о правах третьих лиц на имущество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044"/>
        </w:trPr>
        <w:tc>
          <w:tcPr>
            <w:gridSpan w:val="3"/>
            <w:tcW w:w="35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договоров аренды и безвозмездного пользования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правообладателя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правообладателя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Наличие ограниченного вещного права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Контактный номер телефонa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986" w:type="dxa"/>
            <w:textDirection w:val="lrTb"/>
            <w:noWrap w:val="false"/>
          </w:tcPr>
          <w:p>
            <w:pPr>
              <w:ind w:firstLine="34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Объект находится в пользовании (при наличии)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окончания срока действия договора (при наличии)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spacing w:line="240" w:lineRule="auto"/>
            </w:pPr>
            <w:r/>
            <w:r/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3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835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25.12.2029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contextualSpacing w:val="0"/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4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835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5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835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6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835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lang w:val="en-US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7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835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8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767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19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4100019108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ГУП «Камчатстройэнергосервис»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хозяйственного ведения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23-03-26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20" w:tooltip="mailto:info@kamses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info@kamses.ru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4101068210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КК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Петропавловск-Камчатская городская больница №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24-48-18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21" w:tooltip="mailto:plykchi.np@pkgb2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plykchi.np@pkgb2.ru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>
          <w:trHeight w:val="593"/>
        </w:trPr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31.12.2026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4100048290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«Центр управления спортивными объектами»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22-36-58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hyperlink r:id="rId22" w:tooltip="http://Priemnaya@elizovofok.ru" w:history="1"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  <w:t xml:space="preserve">P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white"/>
                  <w:lang w:val="en-US"/>
                </w:rPr>
                <w:t xml:space="preserve">riemnaya@elizovofok.ru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highlight w:val="non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  <w:lang w:val="ru-RU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.12.2026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4100048290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«Центр управления спортивными объектами»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22-36-58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hyperlink r:id="rId23" w:tooltip="http://Priemnaya@elizovofok.ru" w:history="1"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  <w:t xml:space="preserve">P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white"/>
                  <w:lang w:val="en-US"/>
                </w:rPr>
                <w:t xml:space="preserve">riemnaya@elizovofok.ru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4100048290</w:t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«Центр управления спортивными объектами»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34-52-00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hyperlink r:id="rId24" w:tooltip="http://Priemnaya@elizovofok.ru" w:history="1"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  <w:t xml:space="preserve">P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white"/>
                  <w:lang w:val="en-US"/>
                </w:rPr>
                <w:t xml:space="preserve">riemnaya@elizovofok.ru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4100048290</w:t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«Центр управления спортивными объектами»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34-52-00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hyperlink r:id="rId25" w:tooltip="http://Priemnaya@elizovofok.ru" w:history="1"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  <w:t xml:space="preserve">P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white"/>
                  <w:lang w:val="en-US"/>
                </w:rPr>
                <w:t xml:space="preserve">riemnaya@elizovofok.ru</w:t>
              </w:r>
              <w:r>
                <w:rPr>
                  <w:rStyle w:val="908"/>
                  <w:rFonts w:ascii="Times New Roman" w:hAnsi="Times New Roman" w:eastAsia="Arial" w:cs="Times New Roman"/>
                  <w:color w:val="auto"/>
                  <w:sz w:val="24"/>
                  <w:szCs w:val="24"/>
                  <w:highlight w:val="none"/>
                  <w:lang w:val="en-US"/>
                </w:rPr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  <w:outlineLvl w:val="1"/>
            </w:pPr>
            <w:r>
              <w:rPr>
                <w:rFonts w:ascii="Times New Roman" w:hAnsi="Times New Roman" w:cs="Times New Roman"/>
                <w:lang w:val="en-US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31.03.2027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31.03.2027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en-US"/>
              </w:rPr>
              <w:t xml:space="preserve">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/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/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30.06.2027</w:t>
            </w:r>
            <w:r>
              <w:rPr>
                <w:rFonts w:ascii="Times New Roman" w:hAnsi="Times New Roman" w:cs="Times New Roman"/>
                <w:highlight w:val="white"/>
              </w:rPr>
            </w:r>
            <w:r/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4101041836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КГАУДО  «Спортивная школа олимпийского резерва по плаванию»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29-59-25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kamplavanie@mail.ru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  <w:lang w:val="en-US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«Петропавловск-Камчатская городская детская поликлиника № 1»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«Петропавловск-Камчатская городская детская поликлиника № 1»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«Петропавловск-Камчатская городская детская поликлиника № 1»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«Петропавловск-Камчатская городская детская поликлиника № 1»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04.06.2030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en-US"/>
              </w:rPr>
              <w:t xml:space="preserve">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30.04.2030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31.12.2026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4100016851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ДПО «Камчатский институт развития образования"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42-50-73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kiro@kamchatkairo.ru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31.12.2029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4101036120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"Камчатский краевой родильный дом"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23-35-39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groddom7@mail.ru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неопределенный срок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4100008900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"Камчатский краевой кардиологический диспансер"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41-22-29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kkkd@med.kamgov.ru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30.06.2028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4100000509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КГАУ «Камчатский театр драмы и комедии"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42-04-81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kanat2006@yandex.ru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4101121312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Камчатский край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42-61-98 (доб. 2319)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color w:val="auto"/>
                <w:lang w:val="en-US"/>
              </w:rPr>
            </w:r>
            <w:hyperlink r:id="rId26" w:tooltip="mailto:MinGosim@kamgov.ru" w:history="1">
              <w:r>
                <w:rPr>
                  <w:rStyle w:val="90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MinGosim@kamgov.ru</w:t>
              </w:r>
            </w:hyperlink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</w:tr>
      <w:tr>
        <w:tblPrEx/>
        <w:trPr/>
        <w:tc>
          <w:tcP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  <w:highlight w:val="white"/>
              </w:rPr>
              <w:outlineLvl w:val="1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да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31.05.2030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4101042036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ГБУЗ Камчатского края "Петропавловск-Камчатская городская детская поликлиника № 1"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оперативного управления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26-50-45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gdp1@gdp1pk.ru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</w:tc>
      </w:tr>
    </w:tbl>
    <w:p>
      <w:pPr>
        <w:ind w:left="5102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highlight w:val="none"/>
        </w:rPr>
        <w:suppressLineNumbers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r/>
      <w:r/>
    </w:p>
    <w:p>
      <w:r/>
      <w:r/>
    </w:p>
    <w:sectPr>
      <w:headerReference w:type="first" r:id="rId10"/>
      <w:footnotePr/>
      <w:endnotePr/>
      <w:type w:val="nextPage"/>
      <w:pgSz w:w="16838" w:h="11906" w:orient="landscape"/>
      <w:pgMar w:top="1418" w:right="1134" w:bottom="851" w:left="113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center"/>
    </w:pPr>
    <w:fldSimple w:instr="PAGE \* MERGEFORMAT">
      <w:r>
        <w:rPr>
          <w:rFonts w:ascii="Times New Roman" w:hAnsi="Times New Roman" w:cs="Times New Roman"/>
          <w:sz w:val="28"/>
          <w:szCs w:val="28"/>
          <w:lang w:val="en-US"/>
        </w:rPr>
        <w:t xml:space="preserve">1</w:t>
      </w:r>
    </w:fldSimple>
    <w:r>
      <w:rPr>
        <w:rFonts w:ascii="Times New Roman" w:hAnsi="Times New Roman" w:cs="Times New Roman"/>
        <w:sz w:val="28"/>
        <w:szCs w:val="28"/>
        <w:lang w:val="en-US"/>
      </w:rPr>
    </w:r>
    <w:r>
      <w:rPr>
        <w:rFonts w:ascii="Times New Roman" w:hAnsi="Times New Roman" w:cs="Times New Roman"/>
        <w:sz w:val="28"/>
        <w:szCs w:val="28"/>
        <w:lang w:val="en-US"/>
      </w:rPr>
    </w:r>
    <w:r/>
  </w:p>
  <w:p>
    <w:pPr>
      <w:pStyle w:val="8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center"/>
      <w:rPr>
        <w:rFonts w:ascii="Times New Roman" w:hAnsi="Times New Roman" w:cs="Times New Roman"/>
        <w:color w:val="ffffff" w:themeColor="background1"/>
        <w:sz w:val="24"/>
        <w:szCs w:val="24"/>
      </w:rPr>
    </w:pPr>
    <w:fldSimple w:instr="PAGE \* MERGEFORMAT">
      <w:r>
        <w:rPr>
          <w:rFonts w:ascii="Times New Roman" w:hAnsi="Times New Roman" w:cs="Times New Roman"/>
          <w:color w:val="ffffff" w:themeColor="background1"/>
          <w:sz w:val="24"/>
          <w:szCs w:val="24"/>
          <w:lang w:val="en-US"/>
        </w:rPr>
        <w:t xml:space="preserve">1</w:t>
      </w:r>
    </w:fldSimple>
    <w:r>
      <w:rPr>
        <w:rFonts w:ascii="Times New Roman" w:hAnsi="Times New Roman" w:cs="Times New Roman"/>
        <w:color w:val="ffffff" w:themeColor="background1"/>
        <w:sz w:val="24"/>
        <w:szCs w:val="24"/>
        <w:lang w:val="en-US"/>
      </w:rPr>
    </w:r>
    <w:r>
      <w:rPr>
        <w:rFonts w:ascii="Times New Roman" w:hAnsi="Times New Roman" w:cs="Times New Roman"/>
        <w:color w:val="ffffff" w:themeColor="background1"/>
        <w:sz w:val="24"/>
        <w:szCs w:val="24"/>
      </w:rPr>
    </w:r>
    <w:r>
      <w:rPr>
        <w:rFonts w:ascii="Times New Roman" w:hAnsi="Times New Roman" w:cs="Times New Roman"/>
        <w:color w:val="ffffff" w:themeColor="background1"/>
        <w:sz w:val="24"/>
        <w:szCs w:val="24"/>
      </w:rPr>
    </w:r>
  </w:p>
  <w:p>
    <w:pPr>
      <w:pStyle w:val="8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center"/>
      <w:rPr>
        <w:rFonts w:ascii="Times New Roman" w:hAnsi="Times New Roman" w:cs="Times New Roman"/>
        <w:color w:val="ffffff" w:themeColor="background1"/>
        <w:sz w:val="24"/>
        <w:szCs w:val="24"/>
      </w:rPr>
    </w:pPr>
    <w:fldSimple w:instr="PAGE \* MERGEFORMAT"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1</w:t>
      </w:r>
    </w:fldSimple>
    <w:r>
      <w:rPr>
        <w:rFonts w:ascii="Times New Roman" w:hAnsi="Times New Roman" w:cs="Times New Roman"/>
        <w:color w:val="auto"/>
        <w:sz w:val="24"/>
        <w:szCs w:val="24"/>
        <w:lang w:val="en-US"/>
      </w:rPr>
    </w:r>
    <w:r>
      <w:rPr>
        <w:rFonts w:ascii="Times New Roman" w:hAnsi="Times New Roman" w:cs="Times New Roman"/>
        <w:color w:val="ffffff" w:themeColor="background1"/>
        <w:sz w:val="24"/>
        <w:szCs w:val="24"/>
      </w:rPr>
    </w:r>
    <w:r>
      <w:rPr>
        <w:rFonts w:ascii="Times New Roman" w:hAnsi="Times New Roman" w:cs="Times New Roman"/>
        <w:color w:val="ffffff" w:themeColor="background1"/>
        <w:sz w:val="24"/>
        <w:szCs w:val="24"/>
      </w:rPr>
    </w:r>
  </w:p>
  <w:p>
    <w:pPr>
      <w:pStyle w:val="89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Heading 1 Char"/>
    <w:basedOn w:val="902"/>
    <w:link w:val="906"/>
    <w:uiPriority w:val="9"/>
    <w:rPr>
      <w:rFonts w:ascii="Arial" w:hAnsi="Arial" w:eastAsia="Arial" w:cs="Arial"/>
      <w:sz w:val="40"/>
      <w:szCs w:val="40"/>
    </w:rPr>
  </w:style>
  <w:style w:type="character" w:styleId="722">
    <w:name w:val="Heading 2 Char"/>
    <w:basedOn w:val="902"/>
    <w:link w:val="930"/>
    <w:uiPriority w:val="9"/>
    <w:rPr>
      <w:rFonts w:ascii="Arial" w:hAnsi="Arial" w:eastAsia="Arial" w:cs="Arial"/>
      <w:sz w:val="34"/>
    </w:rPr>
  </w:style>
  <w:style w:type="character" w:styleId="723">
    <w:name w:val="Heading 3 Char"/>
    <w:basedOn w:val="902"/>
    <w:link w:val="892"/>
    <w:uiPriority w:val="9"/>
    <w:rPr>
      <w:rFonts w:ascii="Arial" w:hAnsi="Arial" w:eastAsia="Arial" w:cs="Arial"/>
      <w:sz w:val="30"/>
      <w:szCs w:val="30"/>
    </w:rPr>
  </w:style>
  <w:style w:type="character" w:styleId="724">
    <w:name w:val="Heading 4 Char"/>
    <w:basedOn w:val="902"/>
    <w:link w:val="928"/>
    <w:uiPriority w:val="9"/>
    <w:rPr>
      <w:rFonts w:ascii="Arial" w:hAnsi="Arial" w:eastAsia="Arial" w:cs="Arial"/>
      <w:b/>
      <w:bCs/>
      <w:sz w:val="26"/>
      <w:szCs w:val="26"/>
    </w:rPr>
  </w:style>
  <w:style w:type="character" w:styleId="725">
    <w:name w:val="Heading 5 Char"/>
    <w:basedOn w:val="902"/>
    <w:link w:val="90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80"/>
    <w:next w:val="880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basedOn w:val="902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80"/>
    <w:next w:val="88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basedOn w:val="902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80"/>
    <w:next w:val="880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basedOn w:val="902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80"/>
    <w:next w:val="880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basedOn w:val="902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List Paragraph"/>
    <w:basedOn w:val="880"/>
    <w:uiPriority w:val="34"/>
    <w:qFormat/>
    <w:pPr>
      <w:contextualSpacing/>
      <w:ind w:left="720"/>
    </w:pPr>
  </w:style>
  <w:style w:type="paragraph" w:styleId="735">
    <w:name w:val="No Spacing"/>
    <w:uiPriority w:val="1"/>
    <w:qFormat/>
    <w:pPr>
      <w:spacing w:before="0" w:after="0" w:line="240" w:lineRule="auto"/>
    </w:pPr>
  </w:style>
  <w:style w:type="character" w:styleId="736">
    <w:name w:val="Title Char"/>
    <w:basedOn w:val="902"/>
    <w:link w:val="926"/>
    <w:uiPriority w:val="10"/>
    <w:rPr>
      <w:sz w:val="48"/>
      <w:szCs w:val="48"/>
    </w:rPr>
  </w:style>
  <w:style w:type="character" w:styleId="737">
    <w:name w:val="Subtitle Char"/>
    <w:basedOn w:val="902"/>
    <w:link w:val="924"/>
    <w:uiPriority w:val="11"/>
    <w:rPr>
      <w:sz w:val="24"/>
      <w:szCs w:val="24"/>
    </w:rPr>
  </w:style>
  <w:style w:type="paragraph" w:styleId="738">
    <w:name w:val="Quote"/>
    <w:basedOn w:val="880"/>
    <w:next w:val="880"/>
    <w:link w:val="739"/>
    <w:uiPriority w:val="29"/>
    <w:qFormat/>
    <w:pPr>
      <w:ind w:left="720" w:right="720"/>
    </w:pPr>
    <w:rPr>
      <w:i/>
    </w:rPr>
  </w:style>
  <w:style w:type="character" w:styleId="739">
    <w:name w:val="Quote Char"/>
    <w:link w:val="738"/>
    <w:uiPriority w:val="29"/>
    <w:rPr>
      <w:i/>
    </w:rPr>
  </w:style>
  <w:style w:type="paragraph" w:styleId="740">
    <w:name w:val="Intense Quote"/>
    <w:basedOn w:val="880"/>
    <w:next w:val="880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>
    <w:name w:val="Intense Quote Char"/>
    <w:link w:val="740"/>
    <w:uiPriority w:val="30"/>
    <w:rPr>
      <w:i/>
    </w:rPr>
  </w:style>
  <w:style w:type="character" w:styleId="742">
    <w:name w:val="Header Char"/>
    <w:basedOn w:val="902"/>
    <w:link w:val="894"/>
    <w:uiPriority w:val="99"/>
  </w:style>
  <w:style w:type="character" w:styleId="743">
    <w:name w:val="Footer Char"/>
    <w:basedOn w:val="902"/>
    <w:link w:val="922"/>
    <w:uiPriority w:val="99"/>
  </w:style>
  <w:style w:type="paragraph" w:styleId="744">
    <w:name w:val="Caption"/>
    <w:basedOn w:val="880"/>
    <w:next w:val="880"/>
    <w:link w:val="7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922"/>
    <w:uiPriority w:val="99"/>
  </w:style>
  <w:style w:type="table" w:styleId="746">
    <w:name w:val="Table Grid Light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2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>
    <w:name w:val="Grid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4">
    <w:name w:val="Grid Table 4 - Accent 1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5">
    <w:name w:val="Grid Table 4 - Accent 2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Grid Table 4 - Accent 3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7">
    <w:name w:val="Grid Table 4 - Accent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Grid Table 4 - Accent 5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9">
    <w:name w:val="Grid Table 4 - Accent 6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0">
    <w:name w:val="Grid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7">
    <w:name w:val="Grid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8">
    <w:name w:val="Grid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9">
    <w:name w:val="Grid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0">
    <w:name w:val="Grid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1">
    <w:name w:val="Grid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2">
    <w:name w:val="Grid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9">
    <w:name w:val="List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0">
    <w:name w:val="List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1">
    <w:name w:val="List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2">
    <w:name w:val="List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3">
    <w:name w:val="List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4">
    <w:name w:val="List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5">
    <w:name w:val="List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7">
    <w:name w:val="List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8">
    <w:name w:val="List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List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0">
    <w:name w:val="List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List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2">
    <w:name w:val="List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3">
    <w:name w:val="List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4">
    <w:name w:val="List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5">
    <w:name w:val="List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6">
    <w:name w:val="List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7">
    <w:name w:val="List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8">
    <w:name w:val="List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9">
    <w:name w:val="List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0">
    <w:name w:val="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2">
    <w:name w:val="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3">
    <w:name w:val="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4">
    <w:name w:val="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5">
    <w:name w:val="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6">
    <w:name w:val="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7">
    <w:name w:val="Bordered &amp; 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Bordered &amp; 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9">
    <w:name w:val="Bordered &amp; 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0">
    <w:name w:val="Bordered &amp; 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1">
    <w:name w:val="Bordered &amp; 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2">
    <w:name w:val="Bordered &amp; 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3">
    <w:name w:val="Bordered &amp; 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4">
    <w:name w:val="Bordered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5">
    <w:name w:val="Bordered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6">
    <w:name w:val="Bordered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7">
    <w:name w:val="Bordered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8">
    <w:name w:val="Bordered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9">
    <w:name w:val="Bordered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0">
    <w:name w:val="Bordered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1">
    <w:name w:val="footnote text"/>
    <w:basedOn w:val="880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>
    <w:name w:val="Footnote Text Char"/>
    <w:link w:val="871"/>
    <w:uiPriority w:val="99"/>
    <w:rPr>
      <w:sz w:val="18"/>
    </w:rPr>
  </w:style>
  <w:style w:type="character" w:styleId="873">
    <w:name w:val="footnote reference"/>
    <w:basedOn w:val="902"/>
    <w:uiPriority w:val="99"/>
    <w:unhideWhenUsed/>
    <w:rPr>
      <w:vertAlign w:val="superscript"/>
    </w:rPr>
  </w:style>
  <w:style w:type="paragraph" w:styleId="874">
    <w:name w:val="endnote text"/>
    <w:basedOn w:val="880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>
    <w:name w:val="Endnote Text Char"/>
    <w:link w:val="874"/>
    <w:uiPriority w:val="99"/>
    <w:rPr>
      <w:sz w:val="20"/>
    </w:rPr>
  </w:style>
  <w:style w:type="character" w:styleId="876">
    <w:name w:val="endnote reference"/>
    <w:basedOn w:val="902"/>
    <w:uiPriority w:val="99"/>
    <w:semiHidden/>
    <w:unhideWhenUsed/>
    <w:rPr>
      <w:vertAlign w:val="superscript"/>
    </w:rPr>
  </w:style>
  <w:style w:type="paragraph" w:styleId="877">
    <w:name w:val="TOC Heading"/>
    <w:uiPriority w:val="39"/>
    <w:unhideWhenUsed/>
  </w:style>
  <w:style w:type="paragraph" w:styleId="878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79" w:default="1">
    <w:name w:val="Normal"/>
    <w:link w:val="880"/>
    <w:uiPriority w:val="0"/>
    <w:qFormat/>
  </w:style>
  <w:style w:type="character" w:styleId="880" w:default="1">
    <w:name w:val="Normal"/>
    <w:link w:val="879"/>
  </w:style>
  <w:style w:type="paragraph" w:styleId="881">
    <w:name w:val="toc 2"/>
    <w:next w:val="879"/>
    <w:link w:val="88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82">
    <w:name w:val="toc 2"/>
    <w:link w:val="881"/>
    <w:rPr>
      <w:rFonts w:ascii="XO Thames" w:hAnsi="XO Thames"/>
      <w:sz w:val="28"/>
    </w:rPr>
  </w:style>
  <w:style w:type="paragraph" w:styleId="883">
    <w:name w:val="toc 4"/>
    <w:next w:val="879"/>
    <w:link w:val="884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84">
    <w:name w:val="toc 4"/>
    <w:link w:val="883"/>
    <w:rPr>
      <w:rFonts w:ascii="XO Thames" w:hAnsi="XO Thames"/>
      <w:sz w:val="28"/>
    </w:rPr>
  </w:style>
  <w:style w:type="paragraph" w:styleId="885">
    <w:name w:val="toc 6"/>
    <w:next w:val="879"/>
    <w:link w:val="886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86">
    <w:name w:val="toc 6"/>
    <w:link w:val="885"/>
    <w:rPr>
      <w:rFonts w:ascii="XO Thames" w:hAnsi="XO Thames"/>
      <w:sz w:val="28"/>
    </w:rPr>
  </w:style>
  <w:style w:type="paragraph" w:styleId="887">
    <w:name w:val="toc 7"/>
    <w:next w:val="879"/>
    <w:link w:val="888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88">
    <w:name w:val="toc 7"/>
    <w:link w:val="887"/>
    <w:rPr>
      <w:rFonts w:ascii="XO Thames" w:hAnsi="XO Thames"/>
      <w:sz w:val="28"/>
    </w:rPr>
  </w:style>
  <w:style w:type="paragraph" w:styleId="889">
    <w:name w:val="Endnote"/>
    <w:link w:val="890"/>
    <w:pPr>
      <w:ind w:left="0" w:firstLine="851"/>
      <w:jc w:val="both"/>
    </w:pPr>
    <w:rPr>
      <w:rFonts w:ascii="XO Thames" w:hAnsi="XO Thames"/>
      <w:sz w:val="22"/>
    </w:rPr>
  </w:style>
  <w:style w:type="character" w:styleId="890">
    <w:name w:val="Endnote"/>
    <w:link w:val="889"/>
    <w:rPr>
      <w:rFonts w:ascii="XO Thames" w:hAnsi="XO Thames"/>
      <w:sz w:val="22"/>
    </w:rPr>
  </w:style>
  <w:style w:type="paragraph" w:styleId="891">
    <w:name w:val="Heading 3"/>
    <w:next w:val="879"/>
    <w:link w:val="892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92">
    <w:name w:val="Heading 3"/>
    <w:link w:val="891"/>
    <w:rPr>
      <w:rFonts w:ascii="XO Thames" w:hAnsi="XO Thames"/>
      <w:b/>
      <w:sz w:val="26"/>
    </w:rPr>
  </w:style>
  <w:style w:type="paragraph" w:styleId="893">
    <w:name w:val="Header"/>
    <w:basedOn w:val="879"/>
    <w:link w:val="894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4">
    <w:name w:val="Header"/>
    <w:basedOn w:val="880"/>
    <w:link w:val="893"/>
  </w:style>
  <w:style w:type="paragraph" w:styleId="895">
    <w:name w:val="Plain Text"/>
    <w:basedOn w:val="879"/>
    <w:link w:val="896"/>
    <w:pPr>
      <w:spacing w:after="0" w:line="240" w:lineRule="auto"/>
    </w:pPr>
    <w:rPr>
      <w:rFonts w:ascii="Calibri" w:hAnsi="Calibri"/>
    </w:rPr>
  </w:style>
  <w:style w:type="character" w:styleId="896">
    <w:name w:val="Plain Text"/>
    <w:basedOn w:val="880"/>
    <w:link w:val="895"/>
    <w:rPr>
      <w:rFonts w:ascii="Calibri" w:hAnsi="Calibri"/>
    </w:rPr>
  </w:style>
  <w:style w:type="paragraph" w:styleId="897">
    <w:name w:val="Balloon Text"/>
    <w:basedOn w:val="879"/>
    <w:link w:val="898"/>
    <w:pPr>
      <w:spacing w:after="0" w:line="240" w:lineRule="auto"/>
    </w:pPr>
    <w:rPr>
      <w:rFonts w:ascii="Segoe UI" w:hAnsi="Segoe UI"/>
      <w:sz w:val="18"/>
    </w:rPr>
  </w:style>
  <w:style w:type="character" w:styleId="898">
    <w:name w:val="Balloon Text"/>
    <w:basedOn w:val="880"/>
    <w:link w:val="897"/>
    <w:rPr>
      <w:rFonts w:ascii="Segoe UI" w:hAnsi="Segoe UI"/>
      <w:sz w:val="18"/>
    </w:rPr>
  </w:style>
  <w:style w:type="paragraph" w:styleId="899">
    <w:name w:val="toc 3"/>
    <w:next w:val="879"/>
    <w:link w:val="900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900">
    <w:name w:val="toc 3"/>
    <w:link w:val="899"/>
    <w:rPr>
      <w:rFonts w:ascii="XO Thames" w:hAnsi="XO Thames"/>
      <w:sz w:val="28"/>
    </w:rPr>
  </w:style>
  <w:style w:type="paragraph" w:styleId="901">
    <w:name w:val="Default Paragraph Font"/>
    <w:link w:val="902"/>
  </w:style>
  <w:style w:type="character" w:styleId="902">
    <w:name w:val="Default Paragraph Font"/>
    <w:link w:val="901"/>
  </w:style>
  <w:style w:type="paragraph" w:styleId="903">
    <w:name w:val="Heading 5"/>
    <w:next w:val="879"/>
    <w:link w:val="904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904">
    <w:name w:val="Heading 5"/>
    <w:link w:val="903"/>
    <w:rPr>
      <w:rFonts w:ascii="XO Thames" w:hAnsi="XO Thames"/>
      <w:b/>
      <w:sz w:val="22"/>
    </w:rPr>
  </w:style>
  <w:style w:type="paragraph" w:styleId="905">
    <w:name w:val="Heading 1"/>
    <w:next w:val="879"/>
    <w:link w:val="906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906">
    <w:name w:val="Heading 1"/>
    <w:link w:val="905"/>
    <w:rPr>
      <w:rFonts w:ascii="XO Thames" w:hAnsi="XO Thames"/>
      <w:b/>
      <w:sz w:val="32"/>
    </w:rPr>
  </w:style>
  <w:style w:type="paragraph" w:styleId="907">
    <w:name w:val="Hyperlink"/>
    <w:basedOn w:val="901"/>
    <w:link w:val="908"/>
    <w:rPr>
      <w:color w:val="0563c1" w:themeColor="hyperlink"/>
      <w:u w:val="single"/>
    </w:rPr>
  </w:style>
  <w:style w:type="character" w:styleId="908">
    <w:name w:val="Hyperlink"/>
    <w:basedOn w:val="902"/>
    <w:link w:val="907"/>
    <w:rPr>
      <w:color w:val="0563c1" w:themeColor="hyperlink"/>
      <w:u w:val="single"/>
    </w:rPr>
  </w:style>
  <w:style w:type="paragraph" w:styleId="909">
    <w:name w:val="Footnote"/>
    <w:link w:val="910"/>
    <w:pPr>
      <w:ind w:left="0" w:firstLine="851"/>
      <w:jc w:val="both"/>
    </w:pPr>
    <w:rPr>
      <w:rFonts w:ascii="XO Thames" w:hAnsi="XO Thames"/>
      <w:sz w:val="22"/>
    </w:rPr>
  </w:style>
  <w:style w:type="character" w:styleId="910">
    <w:name w:val="Footnote"/>
    <w:link w:val="909"/>
    <w:rPr>
      <w:rFonts w:ascii="XO Thames" w:hAnsi="XO Thames"/>
      <w:sz w:val="22"/>
    </w:rPr>
  </w:style>
  <w:style w:type="paragraph" w:styleId="911">
    <w:name w:val="toc 1"/>
    <w:next w:val="879"/>
    <w:link w:val="912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912">
    <w:name w:val="toc 1"/>
    <w:link w:val="911"/>
    <w:rPr>
      <w:rFonts w:ascii="XO Thames" w:hAnsi="XO Thames"/>
      <w:b/>
      <w:sz w:val="28"/>
    </w:rPr>
  </w:style>
  <w:style w:type="paragraph" w:styleId="913">
    <w:name w:val="Header and Footer"/>
    <w:link w:val="914"/>
    <w:pPr>
      <w:jc w:val="both"/>
      <w:spacing w:line="240" w:lineRule="auto"/>
    </w:pPr>
    <w:rPr>
      <w:rFonts w:ascii="XO Thames" w:hAnsi="XO Thames"/>
      <w:sz w:val="28"/>
    </w:rPr>
  </w:style>
  <w:style w:type="character" w:styleId="914">
    <w:name w:val="Header and Footer"/>
    <w:link w:val="913"/>
    <w:rPr>
      <w:rFonts w:ascii="XO Thames" w:hAnsi="XO Thames"/>
      <w:sz w:val="28"/>
    </w:rPr>
  </w:style>
  <w:style w:type="paragraph" w:styleId="915">
    <w:name w:val="toc 9"/>
    <w:next w:val="879"/>
    <w:link w:val="916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916">
    <w:name w:val="toc 9"/>
    <w:link w:val="915"/>
    <w:rPr>
      <w:rFonts w:ascii="XO Thames" w:hAnsi="XO Thames"/>
      <w:sz w:val="28"/>
    </w:rPr>
  </w:style>
  <w:style w:type="paragraph" w:styleId="917">
    <w:name w:val="toc 8"/>
    <w:next w:val="879"/>
    <w:link w:val="918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918">
    <w:name w:val="toc 8"/>
    <w:link w:val="917"/>
    <w:rPr>
      <w:rFonts w:ascii="XO Thames" w:hAnsi="XO Thames"/>
      <w:sz w:val="28"/>
    </w:rPr>
  </w:style>
  <w:style w:type="paragraph" w:styleId="919">
    <w:name w:val="toc 5"/>
    <w:next w:val="879"/>
    <w:link w:val="920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920">
    <w:name w:val="toc 5"/>
    <w:link w:val="919"/>
    <w:rPr>
      <w:rFonts w:ascii="XO Thames" w:hAnsi="XO Thames"/>
      <w:sz w:val="28"/>
    </w:rPr>
  </w:style>
  <w:style w:type="paragraph" w:styleId="921">
    <w:name w:val="Footer"/>
    <w:basedOn w:val="879"/>
    <w:link w:val="922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22">
    <w:name w:val="Footer"/>
    <w:basedOn w:val="880"/>
    <w:link w:val="921"/>
    <w:rPr>
      <w:rFonts w:ascii="Times New Roman" w:hAnsi="Times New Roman"/>
      <w:sz w:val="28"/>
    </w:rPr>
  </w:style>
  <w:style w:type="paragraph" w:styleId="923">
    <w:name w:val="Subtitle"/>
    <w:next w:val="879"/>
    <w:link w:val="92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24">
    <w:name w:val="Subtitle"/>
    <w:link w:val="923"/>
    <w:rPr>
      <w:rFonts w:ascii="XO Thames" w:hAnsi="XO Thames"/>
      <w:i/>
      <w:sz w:val="24"/>
    </w:rPr>
  </w:style>
  <w:style w:type="paragraph" w:styleId="925">
    <w:name w:val="Title"/>
    <w:next w:val="879"/>
    <w:link w:val="92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26">
    <w:name w:val="Title"/>
    <w:link w:val="925"/>
    <w:rPr>
      <w:rFonts w:ascii="XO Thames" w:hAnsi="XO Thames"/>
      <w:b/>
      <w:caps/>
      <w:sz w:val="40"/>
    </w:rPr>
  </w:style>
  <w:style w:type="paragraph" w:styleId="927">
    <w:name w:val="Heading 4"/>
    <w:next w:val="879"/>
    <w:link w:val="92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928">
    <w:name w:val="Heading 4"/>
    <w:link w:val="927"/>
    <w:rPr>
      <w:rFonts w:ascii="XO Thames" w:hAnsi="XO Thames"/>
      <w:b/>
      <w:sz w:val="24"/>
    </w:rPr>
  </w:style>
  <w:style w:type="paragraph" w:styleId="929">
    <w:name w:val="Heading 2"/>
    <w:next w:val="879"/>
    <w:link w:val="93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930">
    <w:name w:val="Heading 2"/>
    <w:link w:val="929"/>
    <w:rPr>
      <w:rFonts w:ascii="XO Thames" w:hAnsi="XO Thames"/>
      <w:b/>
      <w:sz w:val="28"/>
    </w:rPr>
  </w:style>
  <w:style w:type="table" w:styleId="931">
    <w:name w:val="Сетка таблицы2"/>
    <w:basedOn w:val="93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2">
    <w:name w:val="Table Grid"/>
    <w:basedOn w:val="93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3">
    <w:name w:val="Сетка таблицы1"/>
    <w:basedOn w:val="93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jpg"/><Relationship Id="rId13" Type="http://schemas.openxmlformats.org/officeDocument/2006/relationships/hyperlink" Target="mailto:MinGosim@kamgov.ru" TargetMode="External"/><Relationship Id="rId14" Type="http://schemas.openxmlformats.org/officeDocument/2006/relationships/hyperlink" Target="mailto:MinGosim@kamgov.ru" TargetMode="External"/><Relationship Id="rId15" Type="http://schemas.openxmlformats.org/officeDocument/2006/relationships/hyperlink" Target="mailto:MinGosim@kamgov.ru" TargetMode="External"/><Relationship Id="rId16" Type="http://schemas.openxmlformats.org/officeDocument/2006/relationships/hyperlink" Target="mailto:MinGosim@kamgov.ru" TargetMode="External"/><Relationship Id="rId17" Type="http://schemas.openxmlformats.org/officeDocument/2006/relationships/hyperlink" Target="mailto:MinGosim@kamgov.ru" TargetMode="External"/><Relationship Id="rId18" Type="http://schemas.openxmlformats.org/officeDocument/2006/relationships/hyperlink" Target="mailto:MinGosim@kamgov.ru" TargetMode="External"/><Relationship Id="rId19" Type="http://schemas.openxmlformats.org/officeDocument/2006/relationships/hyperlink" Target="mailto:MinGosim@kamgov.ru" TargetMode="External"/><Relationship Id="rId20" Type="http://schemas.openxmlformats.org/officeDocument/2006/relationships/hyperlink" Target="mailto:info@kamses.ru" TargetMode="External"/><Relationship Id="rId21" Type="http://schemas.openxmlformats.org/officeDocument/2006/relationships/hyperlink" Target="mailto:plykchi.np@pkgb2.ru" TargetMode="External"/><Relationship Id="rId22" Type="http://schemas.openxmlformats.org/officeDocument/2006/relationships/hyperlink" Target="http://Priemnaya@elizovofok.ru" TargetMode="External"/><Relationship Id="rId23" Type="http://schemas.openxmlformats.org/officeDocument/2006/relationships/hyperlink" Target="http://Priemnaya@elizovofok.ru" TargetMode="External"/><Relationship Id="rId24" Type="http://schemas.openxmlformats.org/officeDocument/2006/relationships/hyperlink" Target="http://Priemnaya@elizovofok.ru" TargetMode="External"/><Relationship Id="rId25" Type="http://schemas.openxmlformats.org/officeDocument/2006/relationships/hyperlink" Target="http://Priemnaya@elizovofok.ru" TargetMode="External"/><Relationship Id="rId26" Type="http://schemas.openxmlformats.org/officeDocument/2006/relationships/hyperlink" Target="mailto:MinGosim@kam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sirotinatk</cp:lastModifiedBy>
  <cp:revision>24</cp:revision>
  <dcterms:modified xsi:type="dcterms:W3CDTF">2026-10-21T00:47:25Z</dcterms:modified>
</cp:coreProperties>
</file>