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75" y="0"/>
                <wp:lineTo x="-75" y="20826"/>
                <wp:lineTo x="20893" y="20826"/>
                <wp:lineTo x="20893" y="0"/>
                <wp:lineTo x="-75" y="0"/>
              </wp:wrapPolygon>
            </wp:wrapTight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8000000">
      <w:pPr>
        <w:spacing w:after="0" w:before="0" w:line="240" w:lineRule="auto"/>
        <w:ind/>
        <w:rPr>
          <w:rFonts w:ascii="Times New Roman" w:hAnsi="Times New Roman"/>
          <w:sz w:val="28"/>
        </w:rPr>
      </w:pPr>
    </w:p>
    <w:p w14:paraId="09000000">
      <w:pPr>
        <w:spacing w:after="0" w:before="0" w:line="240" w:lineRule="auto"/>
        <w:ind/>
        <w:rPr>
          <w:rFonts w:ascii="Times New Roman" w:hAnsi="Times New Roman"/>
          <w:sz w:val="28"/>
        </w:rPr>
      </w:pPr>
    </w:p>
    <w:p w14:paraId="0A000000">
      <w:pPr>
        <w:spacing w:after="0" w:before="0" w:line="240" w:lineRule="auto"/>
        <w:ind/>
        <w:rPr>
          <w:rFonts w:ascii="Times New Roman" w:hAnsi="Times New Roman"/>
          <w:sz w:val="28"/>
        </w:rPr>
      </w:pPr>
    </w:p>
    <w:p w14:paraId="0B000000">
      <w:pPr>
        <w:spacing w:after="0" w:before="0" w:line="240" w:lineRule="auto"/>
        <w:ind/>
        <w:rPr>
          <w:rFonts w:ascii="Times New Roman" w:hAnsi="Times New Roman"/>
          <w:sz w:val="28"/>
        </w:rPr>
      </w:pPr>
    </w:p>
    <w:p w14:paraId="0C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МИНИСТЕРСТВО</w:t>
      </w:r>
    </w:p>
    <w:p w14:paraId="0D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СОЦИАЛЬНОГО БЛАГОПОЛУЧИЯ</w:t>
      </w:r>
    </w:p>
    <w:p w14:paraId="0E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0F000000">
      <w:pPr>
        <w:spacing w:after="0" w:before="0" w:line="240" w:lineRule="auto"/>
        <w:ind/>
        <w:rPr>
          <w:rFonts w:ascii="Times New Roman" w:hAnsi="Times New Roman"/>
          <w:sz w:val="28"/>
        </w:rPr>
      </w:pPr>
    </w:p>
    <w:p w14:paraId="10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ПРИКАЗ</w:t>
      </w:r>
    </w:p>
    <w:p w14:paraId="11000000">
      <w:pPr>
        <w:spacing w:after="0" w:before="0" w:line="240" w:lineRule="auto"/>
        <w:ind/>
        <w:rPr>
          <w:rFonts w:ascii="Times New Roman" w:hAnsi="Times New Roman"/>
          <w:sz w:val="28"/>
        </w:rPr>
      </w:pPr>
    </w:p>
    <w:tbl>
      <w:tblPr>
        <w:tblStyle w:val="Style_2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53"/>
      </w:tblGrid>
      <w:tr>
        <w:trPr>
          <w:trHeight w:hRule="atLeast" w:val="42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2000000">
            <w:pPr>
              <w:widowControl w:val="0"/>
              <w:spacing w:after="0" w:before="0" w:line="240" w:lineRule="auto"/>
              <w:ind w:hanging="142" w:left="142" w:right="0"/>
              <w:jc w:val="left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г. Петропавловск-Камчатский</w:t>
            </w:r>
          </w:p>
        </w:tc>
      </w:tr>
    </w:tbl>
    <w:p w14:paraId="14000000">
      <w:p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p w14:paraId="15000000">
      <w:p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tbl>
      <w:tblPr>
        <w:tblStyle w:val="Style_2"/>
        <w:tblInd w:type="dxa" w:w="147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490"/>
      </w:tblGrid>
      <w:tr>
        <w:tc>
          <w:tcPr>
            <w:tcW w:type="dxa" w:w="949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>приложение 2 к приказу</w:t>
            </w:r>
            <w:r>
              <w:rPr>
                <w:rFonts w:ascii="Times New Roman" w:hAnsi="Times New Roman"/>
                <w:b w:val="1"/>
                <w:sz w:val="28"/>
              </w:rPr>
              <w:t xml:space="preserve"> Министерства социального развития и труда Камчатского края</w:t>
            </w:r>
            <w:r>
              <w:rPr>
                <w:rFonts w:ascii="Times New Roman" w:hAnsi="Times New Roman"/>
                <w:b w:val="1"/>
                <w:sz w:val="28"/>
              </w:rPr>
              <w:br/>
            </w:r>
            <w:r>
              <w:rPr>
                <w:rFonts w:ascii="Times New Roman" w:hAnsi="Times New Roman"/>
                <w:b w:val="1"/>
                <w:sz w:val="28"/>
              </w:rPr>
              <w:t>от 11.03.20</w:t>
            </w:r>
            <w:r>
              <w:rPr>
                <w:rFonts w:ascii="Times New Roman" w:hAnsi="Times New Roman"/>
                <w:b w:val="1"/>
                <w:i w:val="0"/>
                <w:sz w:val="28"/>
                <w:highlight w:val="white"/>
              </w:rPr>
              <w:t>19 № 302</w:t>
            </w:r>
            <w:r>
              <w:rPr>
                <w:rFonts w:ascii="Times New Roman" w:hAnsi="Times New Roman"/>
                <w:b w:val="1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i w:val="0"/>
                <w:sz w:val="28"/>
                <w:highlight w:val="white"/>
              </w:rPr>
              <w:t>п «</w:t>
            </w:r>
            <w:r>
              <w:rPr>
                <w:rFonts w:ascii="Times New Roman" w:hAnsi="Times New Roman"/>
                <w:b w:val="1"/>
                <w:sz w:val="28"/>
              </w:rPr>
              <w:t>Об утверждении Порядка предоставления мер социальной поддержки по оплате жилого помещения, в том числе по оплате взноса на капитальный ремонт общего имущества в многоквартирном доме, коммунальных и других видов услуг отдельным категориям граждан, проживающим в Камчатском крае»</w:t>
            </w:r>
          </w:p>
          <w:p w14:paraId="1700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</w:p>
        </w:tc>
      </w:tr>
    </w:tbl>
    <w:p w14:paraId="18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9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B000000">
      <w:pPr>
        <w:pStyle w:val="Style_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1.</w:t>
      </w:r>
      <w:r>
        <w:rPr>
          <w:rFonts w:ascii="Times New Roman" w:hAnsi="Times New Roman"/>
          <w:b w:val="0"/>
          <w:color w:val="000000"/>
          <w:sz w:val="28"/>
        </w:rPr>
        <w:t xml:space="preserve"> Внести в </w:t>
      </w:r>
      <w:r>
        <w:rPr>
          <w:rFonts w:ascii="Times New Roman" w:hAnsi="Times New Roman"/>
          <w:b w:val="0"/>
          <w:color w:val="000000"/>
          <w:sz w:val="28"/>
        </w:rPr>
        <w:t>приложение 2</w:t>
      </w:r>
      <w:r>
        <w:rPr>
          <w:rFonts w:ascii="Times New Roman" w:hAnsi="Times New Roman"/>
          <w:b w:val="0"/>
          <w:color w:val="000000"/>
          <w:sz w:val="28"/>
        </w:rPr>
        <w:t xml:space="preserve"> к приказу </w:t>
      </w:r>
      <w:r>
        <w:rPr>
          <w:rFonts w:ascii="Times New Roman" w:hAnsi="Times New Roman"/>
          <w:b w:val="0"/>
          <w:color w:val="000000"/>
          <w:sz w:val="28"/>
        </w:rPr>
        <w:t xml:space="preserve">Министерства социального развития и труда Камчатского края </w:t>
      </w:r>
      <w:r>
        <w:rPr>
          <w:rFonts w:ascii="Times New Roman" w:hAnsi="Times New Roman"/>
          <w:b w:val="0"/>
          <w:color w:val="000000"/>
          <w:sz w:val="28"/>
        </w:rPr>
        <w:t>от 11.03.20</w:t>
      </w:r>
      <w:r>
        <w:rPr>
          <w:rFonts w:ascii="Times New Roman" w:hAnsi="Times New Roman"/>
          <w:b w:val="0"/>
          <w:i w:val="0"/>
          <w:color w:val="000000"/>
          <w:sz w:val="28"/>
        </w:rPr>
        <w:t>19 № 302</w:t>
      </w:r>
      <w:r>
        <w:rPr>
          <w:rFonts w:ascii="Times New Roman" w:hAnsi="Times New Roman"/>
          <w:b w:val="0"/>
          <w:color w:val="000000"/>
          <w:sz w:val="28"/>
        </w:rPr>
        <w:t>-</w:t>
      </w:r>
      <w:r>
        <w:rPr>
          <w:rFonts w:ascii="Times New Roman" w:hAnsi="Times New Roman"/>
          <w:b w:val="0"/>
          <w:i w:val="0"/>
          <w:color w:val="000000"/>
          <w:sz w:val="28"/>
        </w:rPr>
        <w:t>п «</w:t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Порядка предоставления мер социальной поддержки по оплате жилого помещения, в том числе по оплате взноса на капитальный ремонт общего имущества в многоквартирном доме, коммунальных и других видов услуг отдельным категориям граждан, проживающим в Камчатском крае» </w:t>
      </w:r>
      <w:r>
        <w:rPr>
          <w:rFonts w:ascii="Times New Roman" w:hAnsi="Times New Roman"/>
          <w:b w:val="0"/>
          <w:color w:val="000000"/>
          <w:sz w:val="28"/>
        </w:rPr>
        <w:t>следующие изменения: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</w:p>
    <w:p w14:paraId="1C000000">
      <w:pPr>
        <w:pStyle w:val="Style_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ч</w:t>
      </w:r>
      <w:r>
        <w:rPr>
          <w:rFonts w:ascii="Times New Roman" w:hAnsi="Times New Roman"/>
          <w:b w:val="0"/>
          <w:color w:val="000000"/>
          <w:sz w:val="28"/>
        </w:rPr>
        <w:t xml:space="preserve">асть 2.2 изложить </w:t>
      </w:r>
      <w:r>
        <w:rPr>
          <w:rFonts w:ascii="Times New Roman" w:hAnsi="Times New Roman"/>
          <w:b w:val="0"/>
          <w:color w:val="000000"/>
          <w:sz w:val="28"/>
        </w:rPr>
        <w:t>в следующей редакции</w:t>
      </w:r>
      <w:r>
        <w:rPr>
          <w:rFonts w:ascii="Times New Roman" w:hAnsi="Times New Roman"/>
          <w:b w:val="0"/>
          <w:color w:val="000000"/>
          <w:sz w:val="28"/>
        </w:rPr>
        <w:t>:</w:t>
      </w:r>
    </w:p>
    <w:p w14:paraId="1D000000">
      <w:pPr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«2.2. Расчет и предоставление размера ежемесячной денежной компенсации расходов на оплату жилого помещения и (или) коммунальных услуг производится с учетом регионального стандарта стоимости жилищно-коммунальных услуг, утвержденных постановлением Правительства Камчатского края, в части, относящейся к стоимости жилищных услуг и (или) коммунальных услуг:</w:t>
      </w:r>
    </w:p>
    <w:p w14:paraId="1E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– для жилых помещений, находящихся в муниципальной собственности с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у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четом регионального стандарта стоимости жилищно-коммунальных услуг для нанимателей жилых помещений;</w:t>
      </w:r>
    </w:p>
    <w:p w14:paraId="1F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–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для жилых помещений, находящихся в частной собственности с учетом регионального стандарта стоимости жилищно-коммунальных услуг для собственников жилых помещений, которые не обязаны вносить взносы на капитальный ремонт общего имущества в многоквартирном доме.</w:t>
      </w:r>
    </w:p>
    <w:p w14:paraId="20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Расчет размера ежемесячной денежной компенсация расходов на оплату жилого помещения и (или) коммунальных услуг производится по месту жительства (месту пребывания) граждан, родителей, указанных в </w:t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instrText>HYPERLINK "https://internet.garant.ru/#/document/45576486/entry/13189"</w:instrText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t>пунктах 1-6</w:t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,  </w:t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instrText>HYPERLINK "https://internet.garant.ru/#/document/45576486/entry/21013"</w:instrText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t>13 </w:t>
      </w:r>
      <w:r>
        <w:rPr>
          <w:rStyle w:val="Style_3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приложения 1 к настоящему Порядку, с учетом проживающих совместно с ними граждан.</w:t>
      </w:r>
    </w:p>
    <w:p w14:paraId="21000000">
      <w:pPr>
        <w:pStyle w:val="Style_1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Гражданам, родителям, проживающим в многоквартирных домах,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не подключенных к централизованной системе теплоснабжения, в муниципальных </w:t>
      </w:r>
      <w:r>
        <w:rPr>
          <w:rFonts w:ascii="Times New Roman" w:hAnsi="Times New Roman"/>
          <w:color w:val="000000"/>
          <w:sz w:val="28"/>
        </w:rPr>
        <w:t>образованиях</w:t>
      </w:r>
      <w:r>
        <w:rPr>
          <w:rFonts w:ascii="Times New Roman" w:hAnsi="Times New Roman"/>
          <w:color w:val="000000"/>
          <w:sz w:val="28"/>
        </w:rPr>
        <w:t xml:space="preserve"> в Камчатском крае</w:t>
      </w:r>
      <w:r>
        <w:rPr>
          <w:rFonts w:ascii="Times New Roman" w:hAnsi="Times New Roman"/>
          <w:strike w:val="1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в которых размер регионального стандарта стоимости коммунальных услуг включает услугу «отопление», ежемесячная денежная компенсация расходов на оплату жилого помещения и (или) коммунальных услуг рассчитывается без учета стоимости услуги «отопление», включенной в региональный стандарт стоимости жилищно-коммунальных услуг, </w:t>
      </w:r>
      <w:r>
        <w:rPr>
          <w:rFonts w:ascii="Times New Roman" w:hAnsi="Times New Roman"/>
          <w:color w:val="000000"/>
          <w:sz w:val="28"/>
        </w:rPr>
        <w:t>утвержденного для жилых домов индивидуального жилищного фонда.</w:t>
      </w:r>
    </w:p>
    <w:p w14:paraId="22000000">
      <w:pPr>
        <w:pStyle w:val="Style_1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1_ch"/>
          <w:rFonts w:ascii="Times New Roman" w:hAnsi="Times New Roman"/>
          <w:color w:val="000000"/>
          <w:sz w:val="28"/>
        </w:rPr>
        <w:t xml:space="preserve">Гражданам, родителям, проживающим в многоквартирных домах, </w:t>
      </w:r>
      <w:r>
        <w:rPr>
          <w:rFonts w:ascii="Times New Roman" w:hAnsi="Times New Roman"/>
          <w:color w:val="000000"/>
          <w:sz w:val="28"/>
        </w:rPr>
        <w:br/>
      </w:r>
      <w:r>
        <w:rPr>
          <w:rStyle w:val="Style_1_ch"/>
          <w:rFonts w:ascii="Times New Roman" w:hAnsi="Times New Roman"/>
          <w:color w:val="000000"/>
          <w:sz w:val="28"/>
        </w:rPr>
        <w:t>не подключенных к централизованной системе теплоснабжения, в муниципальных образованиях</w:t>
      </w:r>
      <w:r>
        <w:rPr>
          <w:rFonts w:ascii="Times New Roman" w:hAnsi="Times New Roman"/>
          <w:color w:val="000000"/>
          <w:sz w:val="28"/>
        </w:rPr>
        <w:t xml:space="preserve"> в Камчатском крае</w:t>
      </w:r>
      <w:r>
        <w:rPr>
          <w:rStyle w:val="Style_1_ch"/>
          <w:rFonts w:ascii="Times New Roman" w:hAnsi="Times New Roman"/>
          <w:color w:val="000000"/>
          <w:sz w:val="28"/>
        </w:rPr>
        <w:t xml:space="preserve">, в которых размер регионального стандарта стоимости коммунальных услуг не включает услугу «отопление», </w:t>
      </w:r>
      <w:r>
        <w:rPr>
          <w:rStyle w:val="Style_1_ch"/>
          <w:rFonts w:ascii="Times New Roman" w:hAnsi="Times New Roman"/>
          <w:color w:val="000000"/>
          <w:sz w:val="28"/>
        </w:rPr>
        <w:t>расчет размера ежемесячной денежной компенсации расходов на оплату жилого помещения и (или) коммунальных услуг производится с учетом регионального стандарта стоимости жилищно-коммунальных услуг, утвержденного для</w:t>
      </w:r>
      <w:r>
        <w:rPr>
          <w:rStyle w:val="Style_1_ch"/>
          <w:rFonts w:ascii="Times New Roman" w:hAnsi="Times New Roman"/>
          <w:color w:val="000000"/>
          <w:sz w:val="28"/>
        </w:rPr>
        <w:t xml:space="preserve"> жилых домов индивидуального жилищного фонда.</w:t>
      </w:r>
    </w:p>
    <w:p w14:paraId="23000000">
      <w:pPr>
        <w:pStyle w:val="Style_1"/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1_ch"/>
          <w:rFonts w:ascii="Times New Roman" w:hAnsi="Times New Roman"/>
          <w:color w:val="000000"/>
          <w:sz w:val="28"/>
        </w:rPr>
        <w:t xml:space="preserve">Гражданам, родителям, проживающим в жилых домах индивидуального жилищного фонда, подключенных к централизованной системе теплоснабжения, в муниципальных </w:t>
      </w:r>
      <w:r>
        <w:rPr>
          <w:rStyle w:val="Style_1_ch"/>
          <w:rFonts w:ascii="Times New Roman" w:hAnsi="Times New Roman"/>
          <w:color w:val="000000"/>
          <w:sz w:val="28"/>
        </w:rPr>
        <w:t xml:space="preserve">образованиях </w:t>
      </w:r>
      <w:r>
        <w:rPr>
          <w:rFonts w:ascii="Times New Roman" w:hAnsi="Times New Roman"/>
          <w:color w:val="000000"/>
          <w:sz w:val="28"/>
        </w:rPr>
        <w:t xml:space="preserve"> в Камчатском крае</w:t>
      </w:r>
      <w:r>
        <w:rPr>
          <w:rStyle w:val="Style_1_ch"/>
          <w:rFonts w:ascii="Times New Roman" w:hAnsi="Times New Roman"/>
          <w:color w:val="000000"/>
          <w:sz w:val="28"/>
        </w:rPr>
        <w:t xml:space="preserve">, в которых размер регионального стандарта стоимости коммунальных услуг включает услугу «отопление», ежемесячная денежная компенсация расходов на оплату жилого помещения и (или) коммунальных услуг рассчитывается с учетом стоимости услуги «отопление», включенной в региональный стандарт стоимости жилищно-коммунальных услуг, </w:t>
      </w:r>
      <w:r>
        <w:rPr>
          <w:rStyle w:val="Style_1_ch"/>
          <w:rFonts w:ascii="Times New Roman" w:hAnsi="Times New Roman"/>
          <w:color w:val="000000"/>
          <w:sz w:val="28"/>
        </w:rPr>
        <w:t>утвержденного для жилых домов индивидуального жилищного фонда.</w:t>
      </w:r>
    </w:p>
    <w:p w14:paraId="24000000">
      <w:pPr>
        <w:pStyle w:val="Style_1"/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Гражданам, родителям, проживающим в жилых домах индивидуального жилищного фонда, подключенных к централизованной системе теплоснабжения, в муниципальных районах (округах), в которых размер регионального стандарта стоимости коммунальных услуг не включает услугу «отопление», расчет размера ежемесячной денежной компенсации расходов на оплату жилого помещения и (или) коммунальных услуг производится с учетом регионального стандарта стоимости жилищно-коммунальных услуг, утвержденного для многоквартирных домов.</w:t>
      </w:r>
    </w:p>
    <w:p w14:paraId="25000000">
      <w:pPr>
        <w:pStyle w:val="Style_1"/>
        <w:spacing w:after="0" w:line="240" w:lineRule="auto"/>
        <w:ind w:firstLine="709" w:left="0"/>
        <w:jc w:val="both"/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</w:rPr>
        <w:t xml:space="preserve">Гражданам, родителям, проживающим в жилых домах индивидуального жилищного фонда, не подключенных к централизованной системе теплоснабжения, в муниципальных </w:t>
      </w:r>
      <w:r>
        <w:rPr>
          <w:rStyle w:val="Style_1_ch"/>
          <w:rFonts w:ascii="Times New Roman" w:hAnsi="Times New Roman"/>
          <w:color w:val="000000"/>
          <w:sz w:val="28"/>
        </w:rPr>
        <w:t xml:space="preserve">образованиях </w:t>
      </w:r>
      <w:r>
        <w:rPr>
          <w:rFonts w:ascii="Times New Roman" w:hAnsi="Times New Roman"/>
          <w:color w:val="000000"/>
          <w:sz w:val="28"/>
        </w:rPr>
        <w:t xml:space="preserve"> в Камчатском крае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</w:rPr>
        <w:t>, в которых размер регионального стандарта стоимости коммунальных услуг включает услугу «отопление», ежемесячная денежная компенсация расходов на оплату жилого помещения и (или) коммунальных услуг рассчитывается без учета стоимости услуги «отопление», включенной в региональный стандарт стоимости жилищно-коммунальных услуг, утвержденного для жилых домов индивидуального жилищного фонда.</w:t>
      </w:r>
    </w:p>
    <w:p w14:paraId="26000000">
      <w:pPr>
        <w:pStyle w:val="Style_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Гражданам, родителям, проживающим в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</w:rPr>
        <w:t>жилых домах индивидуального жилищного фонда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, не подключенных к централизованной системе теплоснабжения, в муниципальных </w:t>
      </w:r>
      <w:r>
        <w:rPr>
          <w:rStyle w:val="Style_1_ch"/>
          <w:rFonts w:ascii="Times New Roman" w:hAnsi="Times New Roman"/>
          <w:color w:val="000000"/>
          <w:sz w:val="28"/>
        </w:rPr>
        <w:t xml:space="preserve">образованиях </w:t>
      </w:r>
      <w:r>
        <w:rPr>
          <w:rFonts w:ascii="Times New Roman" w:hAnsi="Times New Roman"/>
          <w:color w:val="000000"/>
          <w:sz w:val="28"/>
        </w:rPr>
        <w:t xml:space="preserve"> в Камчатском крае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, в которых размер регионального стандарта стоимости коммунальных услуг не включает услугу «отопление», расчет размера ежемесячной денежной компенсации расходов на оплату жилого помещения и (или) коммунальных услуг производится с учетом регионального стандарта стоимости жилищно-коммунальных услуг, утвержденного для жилых домов индивидуального жилищного фонда</w:t>
      </w:r>
      <w:r>
        <w:rPr>
          <w:rFonts w:ascii="Times New Roman" w:hAnsi="Times New Roman"/>
          <w:b w:val="0"/>
          <w:color w:val="000000"/>
          <w:sz w:val="28"/>
        </w:rPr>
        <w:t>.».</w:t>
      </w:r>
    </w:p>
    <w:p w14:paraId="27000000">
      <w:pPr>
        <w:pStyle w:val="Style_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2) </w:t>
      </w:r>
      <w:r>
        <w:rPr>
          <w:rFonts w:ascii="Times New Roman" w:hAnsi="Times New Roman"/>
          <w:b w:val="0"/>
          <w:color w:val="000000"/>
          <w:sz w:val="28"/>
        </w:rPr>
        <w:t>ч</w:t>
      </w:r>
      <w:r>
        <w:rPr>
          <w:rFonts w:ascii="Times New Roman" w:hAnsi="Times New Roman"/>
          <w:b w:val="0"/>
          <w:color w:val="000000"/>
          <w:sz w:val="28"/>
        </w:rPr>
        <w:t xml:space="preserve">асть 3.2 </w:t>
      </w:r>
      <w:r>
        <w:rPr>
          <w:rFonts w:ascii="Times New Roman" w:hAnsi="Times New Roman"/>
          <w:b w:val="0"/>
          <w:color w:val="000000"/>
          <w:sz w:val="28"/>
        </w:rPr>
        <w:t xml:space="preserve">изложить </w:t>
      </w:r>
      <w:r>
        <w:rPr>
          <w:rFonts w:ascii="Times New Roman" w:hAnsi="Times New Roman"/>
          <w:b w:val="0"/>
          <w:color w:val="000000"/>
          <w:sz w:val="28"/>
        </w:rPr>
        <w:t>в следующей редакции</w:t>
      </w:r>
      <w:r>
        <w:rPr>
          <w:rFonts w:ascii="Times New Roman" w:hAnsi="Times New Roman"/>
          <w:b w:val="0"/>
          <w:color w:val="000000"/>
          <w:sz w:val="28"/>
        </w:rPr>
        <w:t>:</w:t>
      </w:r>
    </w:p>
    <w:p w14:paraId="28000000">
      <w:pPr>
        <w:pStyle w:val="Style_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«3.2.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Гражданам, родителям, проживающим в жилых домах индивидуального жилищного фонда и многоквартирных домах,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не подключенных к централизованной системе теплоснабжения,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 xml:space="preserve">асчет размера ежегодной денежной компенсации производится по адресу регистрации по месту жительства (месту пребывания) гражданина, родителя с учетом зарегистрированных в установленном порядке по месту жительства (месту пребывания) с ним граждан на дату обращения с заявлением о назначении ежегодной денежной компенсации. При расчете учитывается региональный стандарт стоимости жилищно-коммунальных услуг в части, относящейся к стоимости твердого топлива и транспортных услуг для доставки топлива, необходимого для отопления площади жилого помещения, равной региональному стандарту нормативной площади жилого помещения, приобретаемого в пределах норм, установленных для продажи населению, </w:t>
      </w:r>
      <w:r>
        <w:br/>
      </w:r>
      <w:r>
        <w:rPr>
          <w:rFonts w:ascii="Times New Roman" w:hAnsi="Times New Roman"/>
          <w:color w:val="000000"/>
          <w:sz w:val="28"/>
        </w:rPr>
        <w:t>на основании документов, подтверждающих указанные расходы.</w:t>
      </w:r>
    </w:p>
    <w:p w14:paraId="29000000">
      <w:pPr>
        <w:pStyle w:val="Style_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Гражданам, родителям, проживающим в жилых домах индивидуального жилищного фонда,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подключенных к централизованной системе теплоснабжения, ежегодная денежная компенсация </w:t>
      </w:r>
      <w:r>
        <w:rPr>
          <w:rFonts w:ascii="Times New Roman" w:hAnsi="Times New Roman"/>
          <w:color w:val="000000"/>
          <w:sz w:val="28"/>
        </w:rPr>
        <w:t>не предоставляется.</w:t>
      </w:r>
      <w:r>
        <w:rPr>
          <w:rFonts w:ascii="Times New Roman" w:hAnsi="Times New Roman"/>
          <w:b w:val="0"/>
          <w:color w:val="000000"/>
          <w:sz w:val="28"/>
        </w:rPr>
        <w:t>».</w:t>
      </w:r>
    </w:p>
    <w:p w14:paraId="2A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Настоя</w:t>
      </w:r>
      <w:r>
        <w:rPr>
          <w:rFonts w:ascii="Times New Roman" w:hAnsi="Times New Roman"/>
          <w:color w:val="000000"/>
          <w:sz w:val="28"/>
        </w:rPr>
        <w:t xml:space="preserve">щий приказ вступает в силу после дня его официального опубликования и распространяется на правоотношения, возникшие </w:t>
      </w:r>
      <w:r>
        <w:br/>
      </w:r>
      <w:r>
        <w:rPr>
          <w:rFonts w:ascii="Times New Roman" w:hAnsi="Times New Roman"/>
          <w:color w:val="000000"/>
          <w:sz w:val="28"/>
        </w:rPr>
        <w:t>с 1 октября 2026 года.</w:t>
      </w:r>
    </w:p>
    <w:p w14:paraId="2B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</w:p>
    <w:p w14:paraId="2C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</w:p>
    <w:p w14:paraId="2D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</w:p>
    <w:tbl>
      <w:tblPr>
        <w:tblStyle w:val="Style_2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35"/>
        <w:gridCol w:w="3429"/>
        <w:gridCol w:w="2273"/>
      </w:tblGrid>
      <w:tr>
        <w:trPr>
          <w:trHeight w:hRule="atLeast" w:val="1166"/>
        </w:trPr>
        <w:tc>
          <w:tcPr>
            <w:tcW w:type="dxa" w:w="3935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E000000">
            <w:pPr>
              <w:widowControl w:val="0"/>
              <w:spacing w:after="0" w:before="0" w:line="240" w:lineRule="auto"/>
              <w:ind w:firstLine="0" w:left="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Министр</w:t>
            </w:r>
          </w:p>
        </w:tc>
        <w:tc>
          <w:tcPr>
            <w:tcW w:type="dxa" w:w="3429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F00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pacing w:val="0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27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0000000">
            <w:pPr>
              <w:widowControl w:val="0"/>
              <w:spacing w:after="0" w:before="0" w:line="240" w:lineRule="auto"/>
              <w:ind w:firstLine="0" w:left="0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sectPr>
      <w:headerReference r:id="rId2" w:type="first"/>
      <w:headerReference r:id="rId1" w:type="default"/>
      <w:type w:val="nextPage"/>
      <w:pgSz w:h="16848" w:orient="portrait" w:w="11908"/>
      <w:pgMar w:bottom="1134" w:footer="0" w:gutter="0" w:header="709" w:left="1417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2240" cy="16954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2240" cy="169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1"/>
                            <w:spacing w:after="160" w:before="0"/>
                            <w:ind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4"/>
                            </w:rPr>
                          </w:pPr>
                        </w:p>
                      </w:txbxContent>
                    </wps:txbx>
                    <wps:bodyPr anchor="t" bIns="36000" lIns="36000" rIns="36000" t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9535" cy="203200"/>
              <wp:wrapTopAndBottom distB="0" distT="0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89535" cy="203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3000000">
                          <w:pPr>
                            <w:pStyle w:val="Style_1"/>
                            <w:spacing w:after="160" w:before="0"/>
                            <w:ind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36000" lIns="36000" rIns="36000" t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column">
                <wp:posOffset>3032760</wp:posOffset>
              </wp:positionH>
              <wp:positionV relativeFrom="paragraph">
                <wp:posOffset>635</wp:posOffset>
              </wp:positionV>
              <wp:extent cx="178435" cy="203200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78435" cy="203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1"/>
                            <w:spacing w:after="160" w:before="0"/>
                            <w:ind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36000" lIns="36000" rIns="36000" t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8435" cy="204470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8435" cy="2044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5000000">
                          <w:pPr>
                            <w:pStyle w:val="Style_1"/>
                            <w:spacing w:after="160" w:before="0"/>
                            <w:ind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36000" lIns="36000" rIns="36000" t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4" w:type="paragraph">
    <w:name w:val="toc 2"/>
    <w:next w:val="Style_1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List Paragraph"/>
    <w:basedOn w:val="Style_1"/>
    <w:link w:val="Style_5_ch"/>
    <w:pPr>
      <w:ind w:firstLine="0" w:left="720"/>
      <w:contextualSpacing w:val="1"/>
    </w:pPr>
  </w:style>
  <w:style w:styleId="Style_5_ch" w:type="character">
    <w:name w:val="List Paragraph"/>
    <w:basedOn w:val="Style_1_ch"/>
    <w:link w:val="Style_5"/>
  </w:style>
  <w:style w:styleId="Style_6" w:type="paragraph">
    <w:name w:val="toc 4"/>
    <w:next w:val="Style_1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heading 7"/>
    <w:basedOn w:val="Style_1"/>
    <w:next w:val="Style_1"/>
    <w:link w:val="Style_7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7_ch" w:type="character">
    <w:name w:val="heading 7"/>
    <w:basedOn w:val="Style_1_ch"/>
    <w:link w:val="Style_7"/>
    <w:rPr>
      <w:rFonts w:ascii="Liberation Sans" w:hAnsi="Liberation Sans"/>
      <w:b w:val="1"/>
      <w:i w:val="1"/>
      <w:sz w:val="22"/>
    </w:rPr>
  </w:style>
  <w:style w:styleId="Style_8" w:type="paragraph">
    <w:name w:val="toc 6"/>
    <w:next w:val="Style_1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1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footnote reference"/>
    <w:basedOn w:val="Style_11"/>
    <w:link w:val="Style_10_ch"/>
    <w:rPr>
      <w:vertAlign w:val="superscript"/>
    </w:rPr>
  </w:style>
  <w:style w:styleId="Style_10_ch" w:type="character">
    <w:name w:val="footnote reference"/>
    <w:basedOn w:val="Style_11_ch"/>
    <w:link w:val="Style_10"/>
    <w:rPr>
      <w:vertAlign w:val="superscript"/>
    </w:rPr>
  </w:style>
  <w:style w:styleId="Style_12" w:type="paragraph">
    <w:name w:val="heading 3"/>
    <w:next w:val="Style_1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endnote text"/>
    <w:basedOn w:val="Style_1"/>
    <w:link w:val="Style_13_ch"/>
    <w:pPr>
      <w:spacing w:after="0" w:line="240" w:lineRule="auto"/>
      <w:ind/>
    </w:pPr>
    <w:rPr>
      <w:sz w:val="20"/>
    </w:rPr>
  </w:style>
  <w:style w:styleId="Style_13_ch" w:type="character">
    <w:name w:val="endnote text"/>
    <w:basedOn w:val="Style_1_ch"/>
    <w:link w:val="Style_13"/>
    <w:rPr>
      <w:sz w:val="20"/>
    </w:rPr>
  </w:style>
  <w:style w:styleId="Style_14" w:type="paragraph">
    <w:name w:val="No Spacing"/>
    <w:link w:val="Style_14_ch"/>
    <w:pPr>
      <w:spacing w:after="0" w:before="0" w:line="240" w:lineRule="auto"/>
      <w:ind/>
    </w:pPr>
  </w:style>
  <w:style w:styleId="Style_14_ch" w:type="character">
    <w:name w:val="No Spacing"/>
    <w:link w:val="Style_14"/>
  </w:style>
  <w:style w:styleId="Style_15" w:type="paragraph">
    <w:name w:val="heading 9"/>
    <w:basedOn w:val="Style_1"/>
    <w:next w:val="Style_1"/>
    <w:link w:val="Style_15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5_ch" w:type="character">
    <w:name w:val="heading 9"/>
    <w:basedOn w:val="Style_1_ch"/>
    <w:link w:val="Style_15"/>
    <w:rPr>
      <w:rFonts w:ascii="Liberation Sans" w:hAnsi="Liberation Sans"/>
      <w:i w:val="1"/>
      <w:sz w:val="21"/>
    </w:rPr>
  </w:style>
  <w:style w:styleId="Style_16" w:type="paragraph">
    <w:name w:val="Footer"/>
    <w:basedOn w:val="Style_1"/>
    <w:link w:val="Style_16_ch"/>
    <w:pPr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16_ch" w:type="character">
    <w:name w:val="Footer"/>
    <w:basedOn w:val="Style_1_ch"/>
    <w:link w:val="Style_16"/>
  </w:style>
  <w:style w:styleId="Style_17" w:type="paragraph">
    <w:name w:val="Heading 3 Char"/>
    <w:basedOn w:val="Style_11"/>
    <w:link w:val="Style_17_ch"/>
    <w:rPr>
      <w:rFonts w:ascii="Liberation Sans" w:hAnsi="Liberation Sans"/>
      <w:sz w:val="30"/>
    </w:rPr>
  </w:style>
  <w:style w:styleId="Style_17_ch" w:type="character">
    <w:name w:val="Heading 3 Char"/>
    <w:basedOn w:val="Style_11_ch"/>
    <w:link w:val="Style_17"/>
    <w:rPr>
      <w:rFonts w:ascii="Liberation Sans" w:hAnsi="Liberation Sans"/>
      <w:sz w:val="30"/>
    </w:rPr>
  </w:style>
  <w:style w:styleId="Style_18" w:type="paragraph">
    <w:name w:val="Heading 5 Char"/>
    <w:basedOn w:val="Style_11"/>
    <w:link w:val="Style_18_ch"/>
    <w:rPr>
      <w:rFonts w:ascii="Liberation Sans" w:hAnsi="Liberation Sans"/>
      <w:b w:val="1"/>
      <w:sz w:val="24"/>
    </w:rPr>
  </w:style>
  <w:style w:styleId="Style_18_ch" w:type="character">
    <w:name w:val="Heading 5 Char"/>
    <w:basedOn w:val="Style_11_ch"/>
    <w:link w:val="Style_18"/>
    <w:rPr>
      <w:rFonts w:ascii="Liberation Sans" w:hAnsi="Liberation Sans"/>
      <w:b w:val="1"/>
      <w:sz w:val="24"/>
    </w:rPr>
  </w:style>
  <w:style w:styleId="Style_19" w:type="paragraph">
    <w:name w:val="endnote reference"/>
    <w:basedOn w:val="Style_11"/>
    <w:link w:val="Style_19_ch"/>
    <w:rPr>
      <w:vertAlign w:val="superscript"/>
    </w:rPr>
  </w:style>
  <w:style w:styleId="Style_19_ch" w:type="character">
    <w:name w:val="endnote reference"/>
    <w:basedOn w:val="Style_11_ch"/>
    <w:link w:val="Style_19"/>
    <w:rPr>
      <w:vertAlign w:val="superscript"/>
    </w:rPr>
  </w:style>
  <w:style w:styleId="Style_20" w:type="paragraph">
    <w:name w:val="Heading 4 Char"/>
    <w:basedOn w:val="Style_11"/>
    <w:link w:val="Style_20_ch"/>
    <w:rPr>
      <w:rFonts w:ascii="Liberation Sans" w:hAnsi="Liberation Sans"/>
      <w:b w:val="1"/>
      <w:sz w:val="26"/>
    </w:rPr>
  </w:style>
  <w:style w:styleId="Style_20_ch" w:type="character">
    <w:name w:val="Heading 4 Char"/>
    <w:basedOn w:val="Style_11_ch"/>
    <w:link w:val="Style_20"/>
    <w:rPr>
      <w:rFonts w:ascii="Liberation Sans" w:hAnsi="Liberation Sans"/>
      <w:b w:val="1"/>
      <w:sz w:val="26"/>
    </w:rPr>
  </w:style>
  <w:style w:styleId="Style_21" w:type="paragraph">
    <w:name w:val="toc 3"/>
    <w:next w:val="Style_1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Heading 2 Char"/>
    <w:basedOn w:val="Style_11"/>
    <w:link w:val="Style_22_ch"/>
    <w:rPr>
      <w:rFonts w:ascii="Liberation Sans" w:hAnsi="Liberation Sans"/>
      <w:sz w:val="34"/>
    </w:rPr>
  </w:style>
  <w:style w:styleId="Style_22_ch" w:type="character">
    <w:name w:val="Heading 2 Char"/>
    <w:basedOn w:val="Style_11_ch"/>
    <w:link w:val="Style_22"/>
    <w:rPr>
      <w:rFonts w:ascii="Liberation Sans" w:hAnsi="Liberation Sans"/>
      <w:sz w:val="34"/>
    </w:rPr>
  </w:style>
  <w:style w:styleId="Style_23" w:type="paragraph">
    <w:name w:val="Quote"/>
    <w:basedOn w:val="Style_1"/>
    <w:next w:val="Style_1"/>
    <w:link w:val="Style_23_ch"/>
    <w:pPr>
      <w:ind w:firstLine="0" w:left="720" w:right="720"/>
    </w:pPr>
    <w:rPr>
      <w:i w:val="1"/>
    </w:rPr>
  </w:style>
  <w:style w:styleId="Style_23_ch" w:type="character">
    <w:name w:val="Quote"/>
    <w:basedOn w:val="Style_1_ch"/>
    <w:link w:val="Style_23"/>
    <w:rPr>
      <w:i w:val="1"/>
    </w:rPr>
  </w:style>
  <w:style w:styleId="Style_24" w:type="paragraph">
    <w:name w:val="heading 5"/>
    <w:next w:val="Style_1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heading 1"/>
    <w:next w:val="Style_1"/>
    <w:link w:val="Style_2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5_ch" w:type="character">
    <w:name w:val="heading 1"/>
    <w:link w:val="Style_25"/>
    <w:rPr>
      <w:rFonts w:ascii="XO Thames" w:hAnsi="XO Thames"/>
      <w:b w:val="1"/>
      <w:sz w:val="32"/>
    </w:rPr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26" w:type="paragraph">
    <w:name w:val="Footnote"/>
    <w:basedOn w:val="Style_1"/>
    <w:link w:val="Style_26_ch"/>
    <w:pPr>
      <w:spacing w:after="40" w:line="240" w:lineRule="auto"/>
      <w:ind/>
    </w:pPr>
    <w:rPr>
      <w:sz w:val="18"/>
    </w:rPr>
  </w:style>
  <w:style w:styleId="Style_26_ch" w:type="character">
    <w:name w:val="Footnote"/>
    <w:basedOn w:val="Style_1_ch"/>
    <w:link w:val="Style_26"/>
    <w:rPr>
      <w:sz w:val="18"/>
    </w:rPr>
  </w:style>
  <w:style w:styleId="Style_27" w:type="paragraph">
    <w:name w:val="heading 8"/>
    <w:basedOn w:val="Style_1"/>
    <w:next w:val="Style_1"/>
    <w:link w:val="Style_27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27_ch" w:type="character">
    <w:name w:val="heading 8"/>
    <w:basedOn w:val="Style_1_ch"/>
    <w:link w:val="Style_27"/>
    <w:rPr>
      <w:rFonts w:ascii="Liberation Sans" w:hAnsi="Liberation Sans"/>
      <w:i w:val="1"/>
      <w:sz w:val="2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8" w:type="paragraph">
    <w:name w:val="toc 1"/>
    <w:next w:val="Style_1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Subtitle Char"/>
    <w:basedOn w:val="Style_11"/>
    <w:link w:val="Style_29_ch"/>
    <w:rPr>
      <w:sz w:val="24"/>
    </w:rPr>
  </w:style>
  <w:style w:styleId="Style_29_ch" w:type="character">
    <w:name w:val="Subtitle Char"/>
    <w:basedOn w:val="Style_11_ch"/>
    <w:link w:val="Style_29"/>
    <w:rPr>
      <w:sz w:val="24"/>
    </w:rPr>
  </w:style>
  <w:style w:styleId="Style_30" w:type="paragraph">
    <w:name w:val="table of figures"/>
    <w:basedOn w:val="Style_1"/>
    <w:next w:val="Style_1"/>
    <w:link w:val="Style_30_ch"/>
    <w:pPr>
      <w:spacing w:after="0"/>
      <w:ind/>
    </w:pPr>
  </w:style>
  <w:style w:styleId="Style_30_ch" w:type="character">
    <w:name w:val="table of figures"/>
    <w:basedOn w:val="Style_1_ch"/>
    <w:link w:val="Style_30"/>
  </w:style>
  <w:style w:styleId="Style_31" w:type="paragraph">
    <w:name w:val="Header and Footer"/>
    <w:link w:val="Style_31_ch"/>
    <w:pPr>
      <w:spacing w:line="240" w:lineRule="auto"/>
      <w:ind/>
      <w:jc w:val="both"/>
    </w:pPr>
    <w:rPr>
      <w:rFonts w:ascii="XO Thames" w:hAnsi="XO Thames"/>
      <w:sz w:val="20"/>
    </w:rPr>
  </w:style>
  <w:style w:styleId="Style_31_ch" w:type="character">
    <w:name w:val="Header and Footer"/>
    <w:link w:val="Style_31"/>
    <w:rPr>
      <w:rFonts w:ascii="XO Thames" w:hAnsi="XO Thames"/>
      <w:sz w:val="20"/>
    </w:rPr>
  </w:style>
  <w:style w:styleId="Style_32" w:type="paragraph">
    <w:name w:val="Intense Quote"/>
    <w:basedOn w:val="Style_1"/>
    <w:next w:val="Style_1"/>
    <w:link w:val="Style_32_ch"/>
    <w:pPr>
      <w:ind w:firstLine="0" w:left="720" w:right="720"/>
      <w:contextualSpacing w:val="0"/>
    </w:pPr>
    <w:rPr>
      <w:i w:val="1"/>
    </w:rPr>
  </w:style>
  <w:style w:styleId="Style_32_ch" w:type="character">
    <w:name w:val="Intense Quote"/>
    <w:basedOn w:val="Style_1_ch"/>
    <w:link w:val="Style_32"/>
    <w:rPr>
      <w:i w:val="1"/>
    </w:rPr>
  </w:style>
  <w:style w:styleId="Style_33" w:type="paragraph">
    <w:name w:val="toc 9"/>
    <w:next w:val="Style_1"/>
    <w:link w:val="Style_3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TOC Heading"/>
    <w:link w:val="Style_34_ch"/>
  </w:style>
  <w:style w:styleId="Style_34_ch" w:type="character">
    <w:name w:val="TOC Heading"/>
    <w:link w:val="Style_34"/>
  </w:style>
  <w:style w:styleId="Style_35" w:type="paragraph">
    <w:name w:val="toc 8"/>
    <w:next w:val="Style_1"/>
    <w:link w:val="Style_3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Footnote"/>
    <w:link w:val="Style_36_ch"/>
    <w:pPr>
      <w:ind w:firstLine="851" w:left="0"/>
      <w:jc w:val="both"/>
    </w:pPr>
    <w:rPr>
      <w:rFonts w:ascii="XO Thames" w:hAnsi="XO Thames"/>
      <w:sz w:val="22"/>
    </w:rPr>
  </w:style>
  <w:style w:styleId="Style_36_ch" w:type="character">
    <w:name w:val="Footnote"/>
    <w:link w:val="Style_36"/>
    <w:rPr>
      <w:rFonts w:ascii="XO Thames" w:hAnsi="XO Thames"/>
      <w:sz w:val="22"/>
    </w:rPr>
  </w:style>
  <w:style w:styleId="Style_37" w:type="paragraph">
    <w:name w:val="toc 5"/>
    <w:next w:val="Style_1"/>
    <w:link w:val="Style_3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Title Char"/>
    <w:basedOn w:val="Style_11"/>
    <w:link w:val="Style_38_ch"/>
    <w:rPr>
      <w:sz w:val="48"/>
    </w:rPr>
  </w:style>
  <w:style w:styleId="Style_38_ch" w:type="character">
    <w:name w:val="Title Char"/>
    <w:basedOn w:val="Style_11_ch"/>
    <w:link w:val="Style_38"/>
    <w:rPr>
      <w:sz w:val="48"/>
    </w:rPr>
  </w:style>
  <w:style w:styleId="Style_39" w:type="paragraph">
    <w:name w:val="Caption"/>
    <w:basedOn w:val="Style_1"/>
    <w:next w:val="Style_1"/>
    <w:link w:val="Style_39_ch"/>
    <w:pPr>
      <w:spacing w:line="276" w:lineRule="auto"/>
      <w:ind/>
    </w:pPr>
    <w:rPr>
      <w:b w:val="1"/>
      <w:color w:themeColor="accent1" w:val="5B9BD5"/>
      <w:sz w:val="18"/>
    </w:rPr>
  </w:style>
  <w:style w:styleId="Style_39_ch" w:type="character">
    <w:name w:val="Caption"/>
    <w:basedOn w:val="Style_1_ch"/>
    <w:link w:val="Style_39"/>
    <w:rPr>
      <w:b w:val="1"/>
      <w:color w:themeColor="accent1" w:val="5B9BD5"/>
      <w:sz w:val="18"/>
    </w:rPr>
  </w:style>
  <w:style w:styleId="Style_40" w:type="paragraph">
    <w:name w:val="Subtitle"/>
    <w:next w:val="Style_1"/>
    <w:link w:val="Style_4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Title"/>
    <w:next w:val="Style_1"/>
    <w:link w:val="Style_4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1_ch" w:type="character">
    <w:name w:val="Title"/>
    <w:link w:val="Style_41"/>
    <w:rPr>
      <w:rFonts w:ascii="XO Thames" w:hAnsi="XO Thames"/>
      <w:b w:val="1"/>
      <w:caps w:val="1"/>
      <w:sz w:val="40"/>
    </w:rPr>
  </w:style>
  <w:style w:styleId="Style_42" w:type="paragraph">
    <w:name w:val="heading 4"/>
    <w:next w:val="Style_1"/>
    <w:link w:val="Style_4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Header"/>
    <w:basedOn w:val="Style_1"/>
    <w:link w:val="Style_43_ch"/>
    <w:pPr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43_ch" w:type="character">
    <w:name w:val="Header"/>
    <w:basedOn w:val="Style_1_ch"/>
    <w:link w:val="Style_43"/>
  </w:style>
  <w:style w:styleId="Style_44" w:type="paragraph">
    <w:name w:val="heading 2"/>
    <w:next w:val="Style_1"/>
    <w:link w:val="Style_4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45" w:type="paragraph">
    <w:name w:val="Heading 1 Char"/>
    <w:basedOn w:val="Style_11"/>
    <w:link w:val="Style_45_ch"/>
    <w:rPr>
      <w:rFonts w:ascii="Liberation Sans" w:hAnsi="Liberation Sans"/>
      <w:sz w:val="40"/>
    </w:rPr>
  </w:style>
  <w:style w:styleId="Style_45_ch" w:type="character">
    <w:name w:val="Heading 1 Char"/>
    <w:basedOn w:val="Style_11_ch"/>
    <w:link w:val="Style_45"/>
    <w:rPr>
      <w:rFonts w:ascii="Liberation Sans" w:hAnsi="Liberation Sans"/>
      <w:sz w:val="40"/>
    </w:rPr>
  </w:style>
  <w:style w:styleId="Style_46" w:type="paragraph">
    <w:name w:val="heading 6"/>
    <w:basedOn w:val="Style_1"/>
    <w:next w:val="Style_1"/>
    <w:link w:val="Style_46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46_ch" w:type="character">
    <w:name w:val="heading 6"/>
    <w:basedOn w:val="Style_1_ch"/>
    <w:link w:val="Style_46"/>
    <w:rPr>
      <w:rFonts w:ascii="Liberation Sans" w:hAnsi="Liberation Sans"/>
      <w:b w:val="1"/>
      <w:sz w:val="22"/>
    </w:rPr>
  </w:style>
  <w:style w:styleId="Style_47" w:type="table">
    <w:name w:val="List Table 5 Dark - Accent 6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48" w:type="table">
    <w:name w:val="Grid Table 1 Light - Accent 2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49" w:type="table">
    <w:name w:val="Lined - Accent 4"/>
    <w:pPr>
      <w:spacing w:after="0" w:line="240" w:lineRule="auto"/>
      <w:ind/>
    </w:pPr>
    <w:rPr>
      <w:color w:val="404040"/>
    </w:rPr>
    <w:tblPr>
      <w:tblInd w:type="dxa" w:w="0"/>
    </w:tblPr>
  </w:style>
  <w:style w:styleId="Style_50" w:type="table">
    <w:name w:val="Bordered &amp; Lined - Accent 1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51" w:type="table">
    <w:name w:val="List Table 3 - Accent 2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52" w:type="table">
    <w:name w:val="Grid Table 7 Colorful - Accent 1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53" w:type="table">
    <w:name w:val="Bordered &amp; Lined - Accent 6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54" w:type="table">
    <w:name w:val="Bordered - Accent 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55" w:type="table">
    <w:name w:val="Bordered &amp; Lined - Accent 4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56" w:type="table">
    <w:name w:val="List Table 5 Dark - Accent 2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57" w:type="table">
    <w:name w:val="Grid Table 2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58" w:type="table">
    <w:name w:val="Lined - Accent 5"/>
    <w:pPr>
      <w:spacing w:after="0" w:line="240" w:lineRule="auto"/>
      <w:ind/>
    </w:pPr>
    <w:rPr>
      <w:color w:val="404040"/>
    </w:rPr>
    <w:tblPr>
      <w:tblInd w:type="dxa" w:w="0"/>
    </w:tblPr>
  </w:style>
  <w:style w:styleId="Style_59" w:type="table">
    <w:name w:val="List Table 2 - Accent 3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60" w:type="table">
    <w:name w:val="Grid Table 2 - Accent 2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1" w:type="table">
    <w:name w:val="List Table 3 - Accent 4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62" w:type="table">
    <w:name w:val="Lined - Accent 2"/>
    <w:pPr>
      <w:spacing w:after="0" w:line="240" w:lineRule="auto"/>
      <w:ind/>
    </w:pPr>
    <w:rPr>
      <w:color w:val="404040"/>
    </w:rPr>
    <w:tblPr>
      <w:tblInd w:type="dxa" w:w="0"/>
    </w:tblPr>
  </w:style>
  <w:style w:styleId="Style_63" w:type="table">
    <w:name w:val="Bordered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64" w:type="table">
    <w:name w:val="List Table 6 Colorful - Accent 5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65" w:type="table">
    <w:name w:val="List Table 1 Light - Accent 4"/>
    <w:pPr>
      <w:spacing w:after="0" w:line="240" w:lineRule="auto"/>
      <w:ind/>
    </w:pPr>
    <w:tblPr>
      <w:tblInd w:type="dxa" w:w="0"/>
    </w:tblPr>
  </w:style>
  <w:style w:styleId="Style_66" w:type="table">
    <w:name w:val="List Table 5 Dark - Accent 5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67" w:type="table">
    <w:name w:val="Bordered &amp; Lined - Accent 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68" w:type="table">
    <w:name w:val="Plain Table 5"/>
    <w:pPr>
      <w:spacing w:after="0" w:line="240" w:lineRule="auto"/>
      <w:ind/>
    </w:pPr>
    <w:tblPr>
      <w:tblInd w:type="dxa" w:w="0"/>
    </w:tblPr>
  </w:style>
  <w:style w:styleId="Style_69" w:type="table">
    <w:name w:val="Grid Table 6 Colorful - Accent 4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0" w:type="table">
    <w:name w:val="Lined - Accent 1"/>
    <w:pPr>
      <w:spacing w:after="0" w:line="240" w:lineRule="auto"/>
      <w:ind/>
    </w:pPr>
    <w:rPr>
      <w:color w:val="404040"/>
    </w:rPr>
    <w:tblPr>
      <w:tblInd w:type="dxa" w:w="0"/>
    </w:tblPr>
  </w:style>
  <w:style w:styleId="Style_71" w:type="table">
    <w:name w:val="List Table 2 - Accent 5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72" w:type="table">
    <w:name w:val="List Table 4 - Accent 5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73" w:type="table">
    <w:name w:val="List Table 7 Colorful - Accent 1"/>
    <w:pPr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74" w:type="table">
    <w:name w:val="Lined - Accent"/>
    <w:pPr>
      <w:spacing w:after="0" w:line="240" w:lineRule="auto"/>
      <w:ind/>
    </w:pPr>
    <w:rPr>
      <w:color w:val="404040"/>
    </w:rPr>
    <w:tblPr>
      <w:tblInd w:type="dxa" w:w="0"/>
    </w:tblPr>
  </w:style>
  <w:style w:styleId="Style_75" w:type="table">
    <w:name w:val="List Table 5 Dark - Accent 3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76" w:type="table">
    <w:name w:val="List Table 2 - Accent 4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77" w:type="table">
    <w:name w:val="Grid Table 5 Dark - Accent 5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8" w:type="table">
    <w:name w:val="List Table 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79" w:type="table">
    <w:name w:val="Grid Table 1 Light - Accent 1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0" w:type="table">
    <w:name w:val="Bordered - Accent 5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81" w:type="table">
    <w:name w:val="Grid Table 5 Dark - Accent 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2" w:type="table">
    <w:name w:val="List Table 2 - Accent 1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83" w:type="table">
    <w:name w:val="Grid Table 3 - Accent 1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4" w:type="table">
    <w:name w:val="Grid Table 5 Dark - Accent 6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5" w:type="table">
    <w:name w:val="Plain Table 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List Table 4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87" w:type="table">
    <w:name w:val="List Table 5 Dark - Accent 1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88" w:type="table">
    <w:name w:val="Grid Table 4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89" w:type="table">
    <w:name w:val="List Table 4 - Accent 4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90" w:type="table">
    <w:name w:val="List Table 1 Light - Accent 3"/>
    <w:pPr>
      <w:spacing w:after="0" w:line="240" w:lineRule="auto"/>
      <w:ind/>
    </w:pPr>
    <w:tblPr>
      <w:tblInd w:type="dxa" w:w="0"/>
    </w:tblPr>
  </w:style>
  <w:style w:styleId="Style_91" w:type="table">
    <w:name w:val="Grid Table 3 - Accent 4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2" w:type="table">
    <w:name w:val="Grid Table 4 - Accent 2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93" w:type="table">
    <w:name w:val="List Table 3 - Accent 5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94" w:type="table">
    <w:name w:val="List Table 6 Colorful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95" w:type="table">
    <w:name w:val="Bordered - Accent 1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6" w:type="table">
    <w:name w:val="Grid Table 7 Colorful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7" w:type="table">
    <w:name w:val="List Table 5 Dark - Accent 4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98" w:type="table">
    <w:name w:val="List Table 4 - Accent 6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99" w:type="table">
    <w:name w:val="Grid Table 4 - Accent 4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00" w:type="table">
    <w:name w:val="Bordered - Accent 4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1" w:type="table">
    <w:name w:val="List Table 3 - Accent 3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02" w:type="table">
    <w:name w:val="Grid Table 6 Colorful - Accent 6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3" w:type="table">
    <w:name w:val="Grid Table 6 Colorful - Accent 5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4" w:type="table">
    <w:name w:val="Bordered &amp; Lined - Accent 5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05" w:type="table">
    <w:name w:val="Table Grid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Grid Table 1 Light - Accent 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07" w:type="table">
    <w:name w:val="Grid Table 4 - Accent 1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8" w:type="table">
    <w:name w:val="Grid Table 1 Light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09" w:type="table">
    <w:name w:val="List Table 7 Colorful - Accent 3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10" w:type="table">
    <w:name w:val="List Table 7 Colorful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11" w:type="table">
    <w:name w:val="Grid Table 2 - Accent 1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2" w:type="table">
    <w:name w:val="Grid Table 2 - Accent 4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3" w:type="table">
    <w:name w:val="List Table 5 Dark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14" w:type="table">
    <w:name w:val="List Table 3 - Accent 1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15" w:type="table">
    <w:name w:val="Grid Table 5 Dark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6" w:type="table">
    <w:name w:val="Grid Table 1 Light - Accent 5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7" w:type="table">
    <w:name w:val="Grid Table 1 Light - Accent 6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8" w:type="table">
    <w:name w:val="Bordered &amp; Lined - Accent 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19" w:type="table">
    <w:name w:val="Grid Table 6 Colorful - Accent 2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0" w:type="table">
    <w:name w:val="Grid Table 4 - Accent 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21" w:type="table">
    <w:name w:val="List Table 1 Light - Accent 2"/>
    <w:pPr>
      <w:spacing w:after="0" w:line="240" w:lineRule="auto"/>
      <w:ind/>
    </w:pPr>
    <w:tblPr>
      <w:tblInd w:type="dxa" w:w="0"/>
    </w:tblPr>
  </w:style>
  <w:style w:styleId="Style_122" w:type="table">
    <w:name w:val="Grid Table 5 Dark- Accent 1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3" w:type="table">
    <w:name w:val="List Table 1 Light"/>
    <w:pPr>
      <w:spacing w:after="0" w:line="240" w:lineRule="auto"/>
      <w:ind/>
    </w:pPr>
    <w:tblPr>
      <w:tblInd w:type="dxa" w:w="0"/>
    </w:tblPr>
  </w:style>
  <w:style w:styleId="Style_124" w:type="table">
    <w:name w:val="List Table 1 Light - Accent 6"/>
    <w:pPr>
      <w:spacing w:after="0" w:line="240" w:lineRule="auto"/>
      <w:ind/>
    </w:pPr>
    <w:tblPr>
      <w:tblInd w:type="dxa" w:w="0"/>
    </w:tblPr>
  </w:style>
  <w:style w:styleId="Style_125" w:type="table">
    <w:name w:val="Grid Table 2 - Accent 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6" w:type="table">
    <w:name w:val="Lined - Accent 3"/>
    <w:pPr>
      <w:spacing w:after="0" w:line="240" w:lineRule="auto"/>
      <w:ind/>
    </w:pPr>
    <w:rPr>
      <w:color w:val="404040"/>
    </w:rPr>
    <w:tblPr>
      <w:tblInd w:type="dxa" w:w="0"/>
    </w:tblPr>
  </w:style>
  <w:style w:styleId="Style_127" w:type="table">
    <w:name w:val="List Table 3 - Accent 6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28" w:type="table">
    <w:name w:val="List Table 6 Colorful - Accent 1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29" w:type="table">
    <w:name w:val="Grid Table 1 Light - Accent 4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0" w:type="table">
    <w:name w:val="Grid Table 3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31" w:type="table">
    <w:name w:val="List Table 6 Colorful - Accent 4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32" w:type="table">
    <w:name w:val="Grid Table 6 Colorful - Accent 1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3" w:type="table">
    <w:name w:val="List Table 1 Light - Accent 1"/>
    <w:pPr>
      <w:spacing w:after="0" w:line="240" w:lineRule="auto"/>
      <w:ind/>
    </w:pPr>
    <w:tblPr>
      <w:tblInd w:type="dxa" w:w="0"/>
    </w:tblPr>
  </w:style>
  <w:style w:styleId="Style_134" w:type="table">
    <w:name w:val="List Table 4 - Accent 1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35" w:type="table">
    <w:name w:val="List Table 6 Colorful - Accent 6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36" w:type="table">
    <w:name w:val="Grid Table 2 - Accent 5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37" w:type="table">
    <w:name w:val="List Table 2 - Accent 6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38" w:type="table">
    <w:name w:val="Grid Table 2 - Accent 6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9" w:type="table">
    <w:name w:val="Grid Table 6 Colorful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0" w:type="table">
    <w:name w:val="Grid Table 7 Colorful - Accent 5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1" w:type="table">
    <w:name w:val="List Table 1 Light - Accent 5"/>
    <w:pPr>
      <w:spacing w:after="0" w:line="240" w:lineRule="auto"/>
      <w:ind/>
    </w:pPr>
    <w:tblPr>
      <w:tblInd w:type="dxa" w:w="0"/>
    </w:tblPr>
  </w:style>
  <w:style w:styleId="Style_142" w:type="table">
    <w:name w:val="Grid Table 7 Colorful - Accent 3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3" w:type="table">
    <w:name w:val="Bordered &amp; Lined - Accent"/>
    <w:pPr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44" w:type="table">
    <w:name w:val="Grid Table 7 Colorful - Accent 4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5" w:type="table">
    <w:name w:val="Plain Table 3"/>
    <w:pPr>
      <w:spacing w:after="0" w:line="240" w:lineRule="auto"/>
      <w:ind/>
    </w:pPr>
    <w:tblPr>
      <w:tblInd w:type="dxa" w:w="0"/>
    </w:tblPr>
  </w:style>
  <w:style w:styleId="Style_146" w:type="table">
    <w:name w:val="Grid Table 4 - Accent 6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47" w:type="table">
    <w:name w:val="Plain Table 1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List Table 6 Colorful - Accent 2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49" w:type="table">
    <w:name w:val="Grid Table 3 - Accent 2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0" w:type="table">
    <w:name w:val="List Table 6 Colorful - Accent 3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51" w:type="table">
    <w:name w:val="List Table 7 Colorful - Accent 2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52" w:type="table">
    <w:name w:val="List Table 4 - Accent 2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53" w:type="table">
    <w:name w:val="Grid Table 3 - Accent 6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4" w:type="table">
    <w:name w:val="Grid Table 7 Colorful - Accent 2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5" w:type="table">
    <w:name w:val="Plain Table 4"/>
    <w:pPr>
      <w:spacing w:after="0" w:line="240" w:lineRule="auto"/>
      <w:ind/>
    </w:pPr>
    <w:tblPr>
      <w:tblInd w:type="dxa" w:w="0"/>
    </w:tblPr>
  </w:style>
  <w:style w:styleId="Style_156" w:type="table">
    <w:name w:val="List Table 7 Colorful - Accent 6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57" w:type="table">
    <w:name w:val="List Table 2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58" w:type="table">
    <w:name w:val="List Table 4 - Accent 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59" w:type="table">
    <w:name w:val="Bordered - Accent 2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0" w:type="table">
    <w:name w:val="Grid Table 5 Dark- Accent 4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1" w:type="table">
    <w:name w:val="Grid Table 3 - Accent 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2" w:type="table">
    <w:name w:val="List Table 2 - Accent 2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63" w:type="table">
    <w:name w:val="Grid Table 4 - Accent 5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4" w:type="table">
    <w:name w:val="Grid Table 3 - Accent 5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5" w:type="table">
    <w:name w:val="Grid Table 5 Dark - Accent 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6" w:type="table">
    <w:name w:val="List Table 7 Colorful - Accent 4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67" w:type="table">
    <w:name w:val="List Table 7 Colorful - Accent 5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68" w:type="table">
    <w:name w:val="Table Grid Light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Lined - Accent 6"/>
    <w:pPr>
      <w:spacing w:after="0" w:line="240" w:lineRule="auto"/>
      <w:ind/>
    </w:pPr>
    <w:rPr>
      <w:color w:val="404040"/>
    </w:rPr>
    <w:tblPr>
      <w:tblInd w:type="dxa" w:w="0"/>
    </w:tblPr>
  </w:style>
  <w:style w:styleId="Style_170" w:type="table">
    <w:name w:val="Grid Table 6 Colorful - Accent 3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default="1" w:styleId="Style_2" w:type="table">
    <w:name w:val="Normal Table"/>
  </w:style>
  <w:style w:styleId="Style_171" w:type="table">
    <w:name w:val="Grid Table 7 Colorful - Accent 6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2" w:type="table">
    <w:name w:val="Bordered - Accent 6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1.jpeg" Type="http://schemas.openxmlformats.org/officeDocument/2006/relationships/image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2026-10-14T04:17:25Z</dcterms:modified>
</cp:coreProperties>
</file>