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2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4" y="0"/>
                    <wp:lineTo x="-14" y="20874"/>
                    <wp:lineTo x="20954" y="20874"/>
                    <wp:lineTo x="20954" y="0"/>
                    <wp:lineTo x="-14" y="0"/>
                  </wp:wrapPolygon>
                </wp:wrapTight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64 0 -64 96639 97009 96639 97009 0 -64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2"/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692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92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9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МИНИСТЕРСТВО ПРИРОДНЫХ РЕСУРСОВ И ЭКОЛОГИИ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2"/>
        <w:jc w:val="center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9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2"/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2"/>
        <w:ind w:firstLine="709"/>
        <w:jc w:val="center"/>
        <w:spacing w:before="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968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692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692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692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692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2"/>
        <w:ind w:left="0" w:right="0" w:firstLine="0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lang w:val="ru-RU"/>
        </w:rPr>
        <w:t xml:space="preserve">Об утверждении территориальной схемы обращения с отходами в Камчатском крае, в том числе с твердыми коммунальными отходами</w:t>
      </w:r>
      <w:r>
        <w:rPr>
          <w:rFonts w:ascii="Times New Roman" w:hAnsi="Times New Roman"/>
          <w:b/>
          <w:bCs/>
          <w:sz w:val="28"/>
          <w:lang w:val="ru-RU"/>
        </w:rPr>
      </w:r>
      <w:r>
        <w:rPr>
          <w:rFonts w:ascii="Times New Roman" w:hAnsi="Times New Roman"/>
          <w:b/>
          <w:bCs/>
          <w:sz w:val="28"/>
          <w:szCs w:val="28"/>
          <w:lang w:val="ru-RU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  <w14:ligatures w14:val="none"/>
        </w:rPr>
      </w:r>
    </w:p>
    <w:p>
      <w:pPr>
        <w:ind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  <w:t xml:space="preserve">В соответствии со </w:t>
      </w:r>
      <w:hyperlink r:id="rId13" w:tooltip="https://login.consultant.ru/link/?req=doc&amp;base=LAW&amp;n=529662&amp;dst=306&amp;field=134&amp;date=01.10.2026" w:history="1">
        <w:r>
          <w:rPr>
            <w:rFonts w:ascii="Times New Roman" w:hAnsi="Times New Roman"/>
            <w:b w:val="0"/>
            <w:bCs w:val="0"/>
            <w:sz w:val="28"/>
            <w:szCs w:val="28"/>
            <w:highlight w:val="none"/>
            <w:lang w:val="ru-RU"/>
          </w:rPr>
          <w:t xml:space="preserve">статьей 6</w:t>
        </w:r>
      </w:hyperlink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  <w:t xml:space="preserve"> Федерального закона от 24.06.1998 № 89-ФЗ «Об отходах производства и потребления», </w:t>
      </w:r>
      <w:hyperlink r:id="rId14" w:tooltip="https://login.consultant.ru/link/?req=doc&amp;base=LAW&amp;n=171262&amp;dst=100091&amp;field=134&amp;date=01.10.2026" w:history="1">
        <w:r>
          <w:rPr>
            <w:rFonts w:ascii="Times New Roman" w:hAnsi="Times New Roman"/>
            <w:b w:val="0"/>
            <w:bCs w:val="0"/>
            <w:sz w:val="28"/>
            <w:szCs w:val="28"/>
            <w:highlight w:val="none"/>
            <w:lang w:val="ru-RU"/>
          </w:rPr>
          <w:t xml:space="preserve">статьей 5</w:t>
        </w:r>
      </w:hyperlink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  <w:t xml:space="preserve"> Закона Камчатского края от 25.12.2013 № 386 «Об отдельных вопросах в области обращения с отходами производства и потребления на территории Камчатского края», </w:t>
      </w:r>
      <w:hyperlink r:id="rId15" w:tooltip="https://login.consultant.ru/link/?req=doc&amp;base=RLAW296&amp;n=221719&amp;dst=100012&amp;field=134&amp;date=01.10.2026" w:history="1">
        <w:r>
          <w:rPr>
            <w:rFonts w:ascii="Times New Roman" w:hAnsi="Times New Roman"/>
            <w:b w:val="0"/>
            <w:bCs w:val="0"/>
            <w:sz w:val="28"/>
            <w:szCs w:val="28"/>
            <w:highlight w:val="none"/>
            <w:lang w:val="ru-RU"/>
          </w:rPr>
          <w:t xml:space="preserve">Положением</w:t>
        </w:r>
      </w:hyperlink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  <w:t xml:space="preserve"> о Министерстве природных ресурсов и экологии Камчатского края, утвержденным постановлением Правительства Камчатского края от31.03.2023 № 182-П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rPr>
          <w:rFonts w:ascii="Times New Roman" w:hAnsi="Times New Roman"/>
          <w:sz w:val="28"/>
          <w:highlight w:val="none"/>
          <w:lang w:val="ru-RU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highlight w:val="none"/>
          <w:lang w:val="ru-RU"/>
          <w14:ligatures w14:val="none"/>
        </w:rPr>
      </w:r>
      <w:r>
        <w:rPr>
          <w:rFonts w:ascii="Times New Roman" w:hAnsi="Times New Roman"/>
          <w:sz w:val="28"/>
          <w:highlight w:val="none"/>
          <w:lang w:val="ru-RU"/>
          <w14:ligatures w14:val="none"/>
        </w:rPr>
      </w:r>
    </w:p>
    <w:p>
      <w:pPr>
        <w:pStyle w:val="692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ПРИКАЗЫВАЮ: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  <w14:ligatures w14:val="none"/>
        </w:rPr>
      </w:r>
    </w:p>
    <w:p>
      <w:pPr>
        <w:ind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  <w:t xml:space="preserve">1. Утвердить территориальную схему обращения с отходами в Камчатском крае, в том числе с твердыми коммунальными отходами, согласно приложению</w:t>
        <w:br/>
        <w:t xml:space="preserve">к настоящему приказу.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  <w:t xml:space="preserve">2. Настоящий приказ вступает в силу после дня его официального опубликования.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692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2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68"/>
        <w:tblW w:w="10205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6"/>
        <w:gridCol w:w="4394"/>
        <w:gridCol w:w="2835"/>
      </w:tblGrid>
      <w:tr>
        <w:tblPrEx/>
        <w:trPr>
          <w:trHeight w:val="1927"/>
        </w:trPr>
        <w:tc>
          <w:tcPr>
            <w:shd w:val="clear" w:color="auto" w:fill="auto"/>
            <w:tcW w:w="2976" w:type="dxa"/>
            <w:textDirection w:val="lrTb"/>
            <w:noWrap w:val="false"/>
          </w:tcPr>
          <w:p>
            <w:pPr>
              <w:pStyle w:val="692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692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0"/>
                <w:lang w:val="ru-RU" w:eastAsia="zh-CN" w:bidi="ar-SA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92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В.В. Расулова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jc w:val="left"/>
        <w:spacing w:before="0" w:beforeAutospacing="0" w:after="160" w:afterAutospacing="0" w:line="264" w:lineRule="auto"/>
        <w:widowControl/>
      </w:pPr>
      <w:r/>
      <w:r/>
    </w:p>
    <w:p>
      <w:pPr>
        <w:shd w:val="nil"/>
      </w:pPr>
      <w:r>
        <w:br w:type="page" w:clear="all"/>
      </w:r>
      <w:r/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Министерства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5103" w:right="-2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природных ресурсов и экологии Камчатского </w:t>
      </w:r>
      <w:r>
        <w:rPr>
          <w:rFonts w:ascii="Times New Roman" w:hAnsi="Times New Roman" w:cs="Times New Roman"/>
          <w:sz w:val="28"/>
          <w:szCs w:val="28"/>
        </w:rPr>
        <w:t xml:space="preserve">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70"/>
        <w:tblW w:w="0" w:type="auto"/>
        <w:tblInd w:w="5061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865"/>
        <w:gridCol w:w="524"/>
        <w:gridCol w:w="1831"/>
      </w:tblGrid>
      <w:tr>
        <w:tblPrEx/>
        <w:trPr>
          <w:trHeight w:val="432"/>
        </w:trPr>
        <w:tc>
          <w:tcPr>
            <w:tcW w:w="574" w:type="dxa"/>
            <w:textDirection w:val="lrTb"/>
            <w:noWrap w:val="false"/>
          </w:tcPr>
          <w:p>
            <w:pPr>
              <w:ind w:left="-65"/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5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  <w:lang w:val="en-US"/>
              </w:rPr>
              <w:t xml:space="preserve">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  <w:lang w:val="en-US"/>
              </w:rPr>
              <w:t xml:space="preserve">EGDATESTAMP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W w:w="524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31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jc w:val="left"/>
        <w:spacing w:before="0" w:beforeAutospacing="0" w:after="160" w:afterAutospacing="0" w:line="264" w:lineRule="auto"/>
        <w:widowControl/>
      </w:pPr>
      <w:r/>
      <w:r/>
    </w:p>
    <w:p>
      <w:pPr>
        <w:jc w:val="left"/>
        <w:spacing w:before="0" w:beforeAutospacing="0" w:after="160" w:afterAutospacing="0" w:line="264" w:lineRule="auto"/>
        <w:widowControl/>
      </w:pPr>
      <w:r/>
      <w:r/>
    </w:p>
    <w:p>
      <w:pPr>
        <w:ind w:left="-1020"/>
        <w:jc w:val="center"/>
        <w:spacing w:after="0" w:line="240" w:lineRule="auto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  <w:highlight w:val="none"/>
        </w:rPr>
      </w:r>
      <w:r>
        <w:rPr>
          <w:rFonts w:ascii="Times New Roman" w:hAnsi="Times New Roman"/>
          <w:b/>
          <w:bCs/>
          <w:sz w:val="36"/>
          <w:szCs w:val="36"/>
          <w:highlight w:val="none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/>
          <w:b/>
          <w:bCs/>
          <w:sz w:val="36"/>
          <w:szCs w:val="36"/>
          <w:highlight w:val="none"/>
        </w:rPr>
      </w:pPr>
      <w:r>
        <w:rPr>
          <w:rFonts w:ascii="Times New Roman" w:hAnsi="Times New Roman"/>
          <w:b/>
          <w:bCs/>
          <w:sz w:val="36"/>
          <w:szCs w:val="36"/>
          <w:highlight w:val="none"/>
        </w:rPr>
      </w:r>
      <w:r>
        <w:rPr>
          <w:b/>
          <w:bCs/>
          <w:lang w:eastAsia="ru-RU"/>
          <w14:ligatures w14:val="standardContextual"/>
        </w:rPr>
      </w:r>
      <w:r>
        <w:rPr>
          <w:b/>
          <w:bCs/>
          <w:lang w:eastAsia="ru-RU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39116" cy="17983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7048782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1439115" cy="1798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13.32pt;height:141.60pt;mso-wrap-distance-left:0.00pt;mso-wrap-distance-top:0.00pt;mso-wrap-distance-right:0.00pt;mso-wrap-distance-bottom:0.00pt;rotation:0;" stroked="f">
                <v:path textboxrect="0,0,0,0"/>
                <v:imagedata r:id="rId16" o:title=""/>
              </v:shape>
            </w:pict>
          </mc:Fallback>
        </mc:AlternateContent>
      </w:r>
      <w:r>
        <w:rPr>
          <w:b/>
          <w:bCs/>
          <w:lang w:eastAsia="ru-RU"/>
          <w14:ligatures w14:val="standardContextual"/>
        </w:rPr>
      </w:r>
      <w:r>
        <w:rPr>
          <w:rFonts w:ascii="Times New Roman" w:hAnsi="Times New Roman"/>
          <w:b/>
          <w:bCs/>
          <w:sz w:val="36"/>
          <w:szCs w:val="36"/>
          <w:highlight w:val="none"/>
        </w:rPr>
      </w:r>
      <w:r>
        <w:rPr>
          <w:b/>
          <w:bCs/>
          <w:lang w:eastAsia="ru-RU"/>
          <w14:ligatures w14:val="standardContextual"/>
        </w:rPr>
      </w:r>
      <w:r>
        <w:rPr>
          <w:b/>
          <w:bCs/>
          <w:lang w:eastAsia="ru-RU"/>
          <w14:ligatures w14:val="standardContextual"/>
        </w:rPr>
      </w:r>
      <w:r>
        <w:rPr>
          <w:b/>
          <w:bCs/>
          <w:lang w:eastAsia="ru-RU"/>
          <w14:ligatures w14:val="standardContextual"/>
        </w:rPr>
      </w:r>
      <w:r>
        <w:rPr>
          <w:rFonts w:ascii="Times New Roman" w:hAnsi="Times New Roman"/>
          <w:b/>
          <w:bCs/>
          <w:sz w:val="36"/>
          <w:szCs w:val="36"/>
          <w:highlight w:val="none"/>
        </w:rPr>
      </w:r>
      <w:r>
        <w:rPr>
          <w:b/>
          <w:bCs/>
          <w:lang w:eastAsia="ru-RU"/>
          <w14:ligatures w14:val="standardContextual"/>
        </w:rPr>
      </w:r>
      <w:r/>
      <w:r>
        <w:rPr>
          <w:rFonts w:ascii="Times New Roman" w:hAnsi="Times New Roman"/>
          <w:b/>
          <w:bCs/>
          <w:sz w:val="36"/>
          <w:szCs w:val="36"/>
          <w:highlight w:val="none"/>
        </w:rPr>
      </w:r>
      <w:r>
        <w:rPr>
          <w:rFonts w:ascii="Times New Roman" w:hAnsi="Times New Roman"/>
          <w:b/>
          <w:bCs/>
          <w:sz w:val="36"/>
          <w:szCs w:val="36"/>
          <w:highlight w:val="none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/>
          <w:b/>
          <w:bCs/>
          <w:sz w:val="36"/>
          <w:szCs w:val="36"/>
          <w:highlight w:val="none"/>
        </w:rPr>
      </w:pPr>
      <w:r>
        <w:rPr>
          <w:rFonts w:ascii="Times New Roman" w:hAnsi="Times New Roman"/>
          <w:b/>
          <w:bCs/>
          <w:sz w:val="36"/>
          <w:szCs w:val="36"/>
          <w:highlight w:val="none"/>
        </w:rPr>
      </w:r>
      <w:r>
        <w:rPr>
          <w:rFonts w:ascii="Times New Roman" w:hAnsi="Times New Roman"/>
          <w:b/>
          <w:bCs/>
          <w:sz w:val="36"/>
          <w:szCs w:val="36"/>
          <w:highlight w:val="none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ТЕРРИТОРИАЛЬНАЯ СХЕМА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ОБРАЩЕНИЯ С ОТХОДАМИ В КАМЧАТСКОМ КРАЕ, В ТОМ ЧИСЛЕ</w:t>
        <w:br/>
        <w:t xml:space="preserve">С ТВЕРДЫМИ КОММУНАЛЬНЫМИ ОТХОДАМИ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(актуализированная редакция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202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-2381" w:right="-1361" w:firstLine="45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Петропавловск - Камчатский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Камчатский край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202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6</w:t>
      </w:r>
      <w:r>
        <w:rPr>
          <w:rFonts w:ascii="Times New Roman" w:hAnsi="Times New Roman"/>
          <w:b w:val="0"/>
          <w:bCs w:val="0"/>
          <w:sz w:val="24"/>
          <w:szCs w:val="24"/>
        </w:rPr>
      </w:r>
      <w:r>
        <w:rPr>
          <w:rFonts w:ascii="Times New Roman" w:hAnsi="Times New Roman"/>
          <w:b w:val="0"/>
          <w:bCs w:val="0"/>
          <w:sz w:val="24"/>
          <w:szCs w:val="24"/>
        </w:rPr>
      </w:r>
    </w:p>
    <w:p>
      <w:pPr>
        <w:shd w:val="nil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  <w:br w:type="page" w:clear="all"/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ind w:left="1361" w:right="1134" w:firstLine="454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СОДЕРЖАНИЕ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right="113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right="113"/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tbl>
      <w:tblPr>
        <w:tblStyle w:val="970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6803"/>
        <w:gridCol w:w="1559"/>
      </w:tblGrid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ВВЕДЕНИЕ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Общие положения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Основные понятия и сокращения, используемые в Территориальной схеме обращения с отходами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Основные требования действующего законодательства Российской Федерации в соответствии с установленным нормативными правовыми актами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_34612"/>
              <w:ind w:right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«Целевые показатели по обезвреживанию, утилизации, размещению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твердых коммунальных отходов»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_34612"/>
              <w:ind w:right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«Баланс количественных характеристик образования, обработки,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утилизации, обезвреживания, размещения твердых коммунальных отходов»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1_346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9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_34612"/>
              <w:ind w:right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«Действующие объекты обработки, утилизации, обезвреживания,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размещения твердых коммунальных отходов, перегрузочные станции»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_34612"/>
              <w:ind w:right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«Планируемые к строительству, реконструкции, выведению из эксплуатации объекты обработки, утилизации, обезвреживания, размещения твердых коммунальных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отходов, перегрузочные станции»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1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«Схема потоков твердых коммунальных отходов»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«Сведения о зонах деятельности региональных операторов по обращению с твердыми коммунальными отходами»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«Сведения об источниках образования твердых коммунальных отходов, в которых осуществляют деятельность потребители услуги по обращению с твердыми коммунальными отходами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«Сведения о местах (площадках) накопления твердых коммунальных отходов»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«Расчет количества образования, обработки, утилизации, обезвреживания, размещения твердых коммунальных отходов, в том числе по зонам деятельности региональных операторов (РО) по обращению с твердыми коммунальными отходами»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«Сведения о соглашениях об организации деятельности по обращению с твердыми коммунальными отходами с региональными операторами по обращению с твердыми коммунальными отходами на территории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Камчатского края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Сведения об источниках образования отходов производства и потребления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не относящихся к твердым коммунальным отходам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 количестве образованных, накопленных, обработанных, обезвреженных, утилизированных и размещенных отходов, не относящихся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к твердым коммунальным отходам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Сведения о количестве образованных, накопленных, обработанных, утилизированных, обезвреженных, размещенных отходов производства и потребления, не относящихся к твердым коммунальным отходам»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«Сведения о действующих и планируемых к строительству (реконструкции) объектах обработки, утилизации, обезвреживания, размещения отходов производства и потребления, не относящихся к твердым коммунальным отходам, и местах их накопления»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Раздел 14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«Тарифы в области обращения с ТКО, тарифообразование и тарифные последствия»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ind w:right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Заключение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стр.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W w:w="6803" w:type="dxa"/>
            <w:textDirection w:val="lrTb"/>
            <w:noWrap w:val="false"/>
          </w:tcPr>
          <w:p>
            <w:pPr>
              <w:pStyle w:val="1_34612"/>
              <w:ind w:right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ПРИЛОЖЕНИЯ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к разделам текстовой части Территориальной схемы обращения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 отходами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Камчатского края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согласно Постановления Правительства Российской Федерации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pStyle w:val="1_34612"/>
              <w:ind w:right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№ 775 от 06.06.2024 года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pStyle w:val="1_34612"/>
              <w:ind w:right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  <w:suppressLineNumbers w:val="0"/>
            </w:pP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ПРИЛОЖЕНИЕ № 1 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к текстовой части ТСОО Камчатского края в отношении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образования промышленных отходов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 классов опасности</w:t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yellow"/>
              </w:rPr>
            </w:r>
            <w:r>
              <w:rPr>
                <w:rStyle w:val="1_34610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yellow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11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40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листов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ind w:right="11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ind w:right="11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ind w:right="11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На 4-х листах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</w:tr>
    </w:tbl>
    <w:p>
      <w:pPr>
        <w:shd w:val="ni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 w:clear="all"/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709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ВВЕДЕНИЕ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Общие положения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Территориальная схема обращения с отходами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разработана сроком на 10 лет – 202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203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именно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целях формирования эффективной, инновационной и устойчивой системы обращения с отходами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на территории региона.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снов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ой для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разработки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Территориальной схемы обращения с отходами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послужили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нормы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постановления Правительства Российской Федерации от 06.06.2024 № 775 «О территориальных схемах обращения с отходами производства и потребления»,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методология и компетенции ППК «РЭО», ресурсные возможности ФГИС УТКО,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 также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сведения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представленные</w:t>
      </w:r>
      <w:r>
        <w:rPr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Министерство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природных ресурсов и экологии 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других ответственных регуляторов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истемы обращения с отходами в лице органов исполнительной власти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Основные задачи: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numPr>
          <w:ilvl w:val="0"/>
          <w:numId w:val="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организация и развитие инфраструктуры обращения с ТКО, включая объекты сортировки, обработки, утилизации, захоронения;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numPr>
          <w:ilvl w:val="0"/>
          <w:numId w:val="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внедрение системы раздельного сбора и логистики вторичных ресурсов;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numPr>
          <w:ilvl w:val="0"/>
          <w:numId w:val="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оптимизация потоков и маршрутов транспортирования ТКО;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numPr>
          <w:ilvl w:val="0"/>
          <w:numId w:val="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обеспечение прозрачного и цифрового учёта обращения с отходами;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numPr>
          <w:ilvl w:val="0"/>
          <w:numId w:val="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достижение целевых показателей, установленных национальными и региональными программами;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numPr>
          <w:ilvl w:val="0"/>
          <w:numId w:val="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повышение экологической культуры и вовлечённости населения.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1_34617"/>
        <w:ind w:left="0" w:right="0" w:firstLine="709"/>
        <w:jc w:val="both"/>
        <w:spacing w:before="0" w:beforeAutospacing="0" w:after="0" w:afterAutospacing="0" w:line="240" w:lineRule="auto"/>
        <w:rPr>
          <w:u w:val="single"/>
        </w:rPr>
        <w:suppressLineNumbers w:val="0"/>
      </w:pPr>
      <w:r>
        <w:rPr>
          <w:b w:val="0"/>
          <w:bCs w:val="0"/>
          <w:sz w:val="28"/>
          <w:szCs w:val="28"/>
          <w:u w:val="none"/>
        </w:rPr>
      </w:r>
      <w:bookmarkStart w:id="0" w:name="undefined"/>
      <w:r>
        <w:rPr>
          <w:b w:val="0"/>
          <w:bCs w:val="0"/>
          <w:sz w:val="28"/>
          <w:szCs w:val="28"/>
          <w:u w:val="none"/>
        </w:rPr>
      </w:r>
      <w:bookmarkEnd w:id="0"/>
      <w:r>
        <w:rPr>
          <w:b w:val="0"/>
          <w:bCs w:val="0"/>
          <w:sz w:val="28"/>
          <w:szCs w:val="28"/>
          <w:u w:val="none"/>
        </w:rPr>
        <w:t xml:space="preserve">Базовым годом для расчётов</w:t>
      </w:r>
      <w:r>
        <w:rPr>
          <w:b w:val="0"/>
          <w:bCs w:val="0"/>
          <w:sz w:val="28"/>
          <w:szCs w:val="28"/>
          <w:u w:val="none"/>
        </w:rPr>
        <w:t xml:space="preserve">, анализа показателей с</w:t>
      </w:r>
      <w:r>
        <w:rPr>
          <w:b w:val="0"/>
          <w:bCs w:val="0"/>
          <w:sz w:val="28"/>
          <w:szCs w:val="28"/>
          <w:u w:val="none"/>
        </w:rPr>
        <w:t xml:space="preserve">истемы обращения с отходами</w:t>
      </w:r>
      <w:r>
        <w:rPr>
          <w:b w:val="0"/>
          <w:bCs w:val="0"/>
          <w:sz w:val="28"/>
          <w:szCs w:val="28"/>
          <w:u w:val="none"/>
        </w:rPr>
        <w:t xml:space="preserve"> принят</w:t>
      </w:r>
      <w:r>
        <w:rPr>
          <w:b w:val="0"/>
          <w:bCs w:val="0"/>
          <w:sz w:val="28"/>
          <w:szCs w:val="28"/>
          <w:u w:val="none"/>
        </w:rPr>
        <w:t xml:space="preserve">ы</w:t>
      </w:r>
      <w:r>
        <w:rPr>
          <w:b w:val="0"/>
          <w:bCs w:val="0"/>
          <w:sz w:val="28"/>
          <w:szCs w:val="28"/>
          <w:u w:val="none"/>
        </w:rPr>
        <w:t xml:space="preserve"> </w:t>
      </w:r>
      <w:r>
        <w:rPr>
          <w:b w:val="0"/>
          <w:bCs w:val="0"/>
          <w:sz w:val="28"/>
          <w:szCs w:val="28"/>
          <w:u w:val="none"/>
        </w:rPr>
        <w:t xml:space="preserve">2025 год</w:t>
      </w:r>
      <w:r>
        <w:rPr>
          <w:b w:val="0"/>
          <w:bCs w:val="0"/>
          <w:sz w:val="28"/>
          <w:szCs w:val="28"/>
          <w:u w:val="none"/>
        </w:rPr>
        <w:t xml:space="preserve">, текущим — 2026 год</w:t>
      </w:r>
      <w:r>
        <w:rPr>
          <w:b w:val="0"/>
          <w:bCs w:val="0"/>
          <w:sz w:val="28"/>
          <w:szCs w:val="28"/>
          <w:u w:val="none"/>
        </w:rPr>
        <w:t xml:space="preserve">, основные инфраструктурные изменения отрасли обращения с отходами </w:t>
      </w:r>
      <w:r>
        <w:rPr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b w:val="0"/>
          <w:bCs w:val="0"/>
          <w:sz w:val="28"/>
          <w:szCs w:val="28"/>
          <w:u w:val="none"/>
        </w:rPr>
        <w:t xml:space="preserve"> </w:t>
      </w:r>
      <w:r>
        <w:rPr>
          <w:b w:val="0"/>
          <w:bCs w:val="0"/>
          <w:sz w:val="28"/>
          <w:szCs w:val="28"/>
          <w:u w:val="none"/>
        </w:rPr>
        <w:t xml:space="preserve">планируются с </w:t>
      </w:r>
      <w:r>
        <w:rPr>
          <w:b w:val="0"/>
          <w:bCs w:val="0"/>
          <w:sz w:val="28"/>
          <w:szCs w:val="28"/>
          <w:u w:val="none"/>
        </w:rPr>
        <w:t xml:space="preserve">2029 </w:t>
      </w:r>
      <w:r>
        <w:rPr>
          <w:b w:val="0"/>
          <w:bCs w:val="0"/>
          <w:sz w:val="28"/>
          <w:szCs w:val="28"/>
          <w:u w:val="none"/>
        </w:rPr>
        <w:t xml:space="preserve">год</w:t>
      </w:r>
      <w:r>
        <w:rPr>
          <w:b w:val="0"/>
          <w:bCs w:val="0"/>
          <w:sz w:val="28"/>
          <w:szCs w:val="28"/>
          <w:u w:val="none"/>
        </w:rPr>
        <w:t xml:space="preserve">а</w:t>
      </w:r>
      <w:r>
        <w:rPr>
          <w:b w:val="0"/>
          <w:bCs w:val="0"/>
          <w:sz w:val="28"/>
          <w:szCs w:val="28"/>
          <w:u w:val="none"/>
        </w:rPr>
        <w:t xml:space="preserve">. </w:t>
      </w:r>
      <w:r>
        <w:rPr>
          <w:b w:val="0"/>
          <w:bCs w:val="0"/>
          <w:sz w:val="28"/>
          <w:szCs w:val="28"/>
          <w:u w:val="none"/>
        </w:rPr>
      </w:r>
      <w:r>
        <w:rPr>
          <w:b w:val="0"/>
          <w:bCs w:val="0"/>
          <w:sz w:val="28"/>
          <w:szCs w:val="28"/>
          <w:u w:val="none"/>
        </w:rPr>
      </w:r>
    </w:p>
    <w:p>
      <w:pPr>
        <w:pStyle w:val="1_34617"/>
        <w:ind w:left="0" w:right="0" w:firstLine="709"/>
        <w:jc w:val="both"/>
        <w:spacing w:before="0" w:beforeAutospacing="0" w:after="0" w:afterAutospacing="0" w:line="240" w:lineRule="auto"/>
        <w:rPr>
          <w:b w:val="0"/>
          <w:bCs w:val="0"/>
          <w:sz w:val="28"/>
          <w:szCs w:val="28"/>
          <w:u w:val="none"/>
        </w:rPr>
        <w:suppressLineNumbers w:val="0"/>
      </w:pPr>
      <w:r>
        <w:rPr>
          <w:b w:val="0"/>
          <w:bCs w:val="0"/>
          <w:sz w:val="28"/>
          <w:szCs w:val="28"/>
          <w:highlight w:val="none"/>
          <w:u w:val="none"/>
        </w:rPr>
      </w:r>
      <w:r>
        <w:rPr>
          <w:b w:val="0"/>
          <w:bCs w:val="0"/>
          <w:sz w:val="28"/>
          <w:szCs w:val="28"/>
          <w:highlight w:val="none"/>
          <w:u w:val="none"/>
        </w:rPr>
      </w:r>
    </w:p>
    <w:p>
      <w:pPr>
        <w:pStyle w:val="1_34617"/>
        <w:ind w:left="0" w:right="0" w:firstLine="709"/>
        <w:jc w:val="both"/>
        <w:spacing w:before="0" w:beforeAutospacing="0" w:after="0" w:afterAutospacing="0" w:line="240" w:lineRule="auto"/>
        <w:rPr>
          <w:b/>
          <w:bCs/>
          <w:sz w:val="28"/>
          <w:szCs w:val="28"/>
          <w:highlight w:val="none"/>
        </w:rPr>
        <w:suppressLineNumbers w:val="0"/>
      </w:pPr>
      <w:r>
        <w:rPr>
          <w:b w:val="0"/>
          <w:bCs w:val="0"/>
          <w:sz w:val="28"/>
          <w:szCs w:val="28"/>
          <w:u w:val="none"/>
        </w:rPr>
        <w:t xml:space="preserve">Т</w:t>
      </w:r>
      <w:r>
        <w:rPr>
          <w:b w:val="0"/>
          <w:bCs w:val="0"/>
          <w:sz w:val="28"/>
          <w:szCs w:val="28"/>
          <w:u w:val="none"/>
        </w:rPr>
        <w:t xml:space="preserve">СОО</w:t>
      </w:r>
      <w:r>
        <w:rPr>
          <w:b w:val="0"/>
          <w:bCs w:val="0"/>
          <w:sz w:val="28"/>
          <w:szCs w:val="28"/>
          <w:u w:val="none"/>
        </w:rPr>
        <w:t xml:space="preserve"> содержит:</w:t>
      </w:r>
      <w:r>
        <w:rPr>
          <w:b w:val="0"/>
          <w:bCs w:val="0"/>
          <w:sz w:val="28"/>
          <w:szCs w:val="28"/>
          <w:u w:val="none"/>
        </w:rPr>
      </w:r>
      <w:r>
        <w:rPr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данные о нахождении источников образования отходов с нанесением источников их на карту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данные о количестве образующихся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данные о целевых показателях по обработке, утилизации и размещению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данные о нахождении мест накопления отходов (контейнерных площадок);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данные о месте нахождения объектов по обработке, утилизации, обезвреживанию, размещению отходов, их технических характеристиках, проектах строительства и модернизации объектов по обращению с отходами;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баланс количественных характеристик образования, обработки, утилизации, обезвреживания, размещения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схему потоков твердых коммунальных отходов от источников их образования до объектов, используемых для обработки, утилизации, обезвреживания, размещения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Целевые показатели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обезвреживанию, утилизации, размещению твердых коммунальных отходов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Расчетные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величины образования, обработки, утилизации, обезвреживания, размещения твердых коммунальных отходов, в том числе по зоне деятельности регионального оператора (РО) по обращению с твердыми коммунальными отходами, как детализированный баланс обращения с 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Прогнозные значения тарифов на период действия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аналитикой и обоснованием капитальных вложений в планируемые объекты обращения с отходами, внедрения РСО и РТ, учет потребностей и показатели расчетных затрат при утверждении Единого тарифа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Приложения к текстовой части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согласно Правил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утвержденных Постановлением Правительства РФ № 775 от 06.06.2024 года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Приложения к текстовой части ТСОО Камчатского края информационно-справочного характера в отношении отходов повышенного класса опасности.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В рамках разработки ТСОО применялись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: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- методы математического моделирования потоков и балансов ТКО;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- линейное программирование для оптимизации логистики;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- анализ сценариев развития системы обращения с отходами (в т.ч. с внедрением раздельного сбора);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- интеграция с электронной моделью в формате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Ф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ГИС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УТКО;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- использование расчётных данных, предоставленных в виде таблиц и схем.</w:t>
      </w:r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Формирование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э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лектронной модели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территориальной схемы обращения с отходами 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val="ru-RU"/>
        </w:rPr>
        <w:t xml:space="preserve">Камчатского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, осуществл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ено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с использованием федеральной государственной информационной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систем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ы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учета твердых коммунальных отходов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, программного обеспечения, предоставленного публично-правовой компанией «Российский экологический оператор»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.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Электронная модель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val="ru-RU"/>
        </w:rPr>
        <w:t xml:space="preserve">Камчатского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размещена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в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ФГИС УТКО.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u w:val="single"/>
        </w:rPr>
        <w:suppressLineNumbers w:val="0"/>
      </w:pPr>
      <w:r>
        <w:rPr>
          <w:rFonts w:ascii="Times New Roman" w:hAnsi="Times New Roman" w:cs="Times New Roman"/>
          <w:b/>
          <w:bCs/>
          <w:sz w:val="28"/>
          <w:szCs w:val="28"/>
          <w:u w:val="none"/>
          <w:lang w:val="ru-RU"/>
        </w:rPr>
        <w:t xml:space="preserve">Основные </w:t>
      </w:r>
      <w:r>
        <w:rPr>
          <w:rFonts w:ascii="Times New Roman" w:hAnsi="Times New Roman" w:cs="Times New Roman"/>
          <w:b/>
          <w:bCs/>
          <w:sz w:val="28"/>
          <w:szCs w:val="28"/>
          <w:u w:val="none"/>
          <w:lang w:val="ru-RU"/>
        </w:rPr>
        <w:t xml:space="preserve">понятия и </w:t>
      </w:r>
      <w:r>
        <w:rPr>
          <w:rFonts w:ascii="Times New Roman" w:hAnsi="Times New Roman" w:cs="Times New Roman"/>
          <w:b/>
          <w:bCs/>
          <w:sz w:val="28"/>
          <w:szCs w:val="28"/>
          <w:u w:val="none"/>
          <w:lang w:val="ru-RU"/>
        </w:rPr>
        <w:t xml:space="preserve">сокращения, используемые в Территориальной схеме обращения с отходами </w:t>
      </w:r>
      <w:r>
        <w:rPr>
          <w:rFonts w:ascii="Times New Roman" w:hAnsi="Times New Roman"/>
          <w:b/>
          <w:bCs/>
          <w:sz w:val="28"/>
          <w:szCs w:val="28"/>
          <w:u w:val="none"/>
          <w:lang w:val="ru-RU"/>
        </w:rPr>
        <w:t xml:space="preserve">Камчатского края</w:t>
      </w:r>
      <w:r>
        <w:rPr>
          <w:rFonts w:ascii="Times New Roman" w:hAnsi="Times New Roman" w:cs="Times New Roman"/>
          <w:b/>
          <w:bCs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u w:val="single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В целях настоящей Территориальной схемы обращения с отходами 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val="ru-RU"/>
        </w:rPr>
        <w:t xml:space="preserve">Камчатского 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val="ru-RU"/>
        </w:rPr>
        <w:t xml:space="preserve">края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применяются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следующие понятия и сокращения: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«ТКО» - твердые коммунальные отходы;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«ГРОРО» - государственный реестр объектов размещения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«ФГИС УТКО» - федеральная государственная информационная система учета твердых коммунальных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«СЗЦ» - Система замкнутого цикла обращения с отходами производства и потребления, вторичными ресурсами;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«ВМР» - вторичные материальные ресурсы;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«РС» - раздельный сбор;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РСО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» - раздельно собранные отходы;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«КГО» - крупногабаритные отходы;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«РТ» - раздельное транспортирование раздельно-собранных отходов стекла, пластика, бумаги и картона, текстиля 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др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«МСК» - мусоросортировочный комплекс;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«МПС» - мусороперегрузочная станция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«ТСОО» - Территориальная схема обращения с отходами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«электронная модель» - электронная модель территориальной схемы, представляющая собой систематизированный свод сведений в электро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нно-цифровой форме об образовании отходов, обращении с ними в субъекте Российской Федерации, в том числе об обращении с отходами, поступившими из других субъектов Российской Федерации, о развитии системы обращения с отходами в субъекте Российской Федерации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«целевые показатели» - целевые показатели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том числе,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обработке,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(в том числе извлечению из твердых коммунальных отходов вторичных ресурсов), обезвреживанию, утилизации, размещению твердых коммунальных отходов на период до 203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года в соответствии с федеральным проектом «Экономика замкнутого цикла»,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Региональной программой по переходу к экономике замкнутого цикла Камчатского края от 24 апреля 2026 г. № Пр-18-163;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«региональный проект» - региональный проект «Экономика замкнутого цикла»;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«региональный оператор» - региональный оператор по обращению с твердыми коммунальными отходами;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«бестарный сбор ТКО» - передача ТКО региональному оператору без осуществления их накопления в местах накопления ТКО;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«базовый год» - календарный год, предшествующий году утверждения территориальной схемы;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«текущий год» - календарный год, в котором утверждена территориальная схема;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«места накопления ТКО» - места (площадки) накопления твердых коммунальных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«объекты обращения с ТКО» - объекты обработки, утилизации, обезвреживания, размещения ТКО, а также перегрузо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чные станции. При этом для целей разработки территориальной схемы в составе комплексного объекта формируются отдельные объекты обращения с ТКО, которые используются в математическом моделировании и формировании схемы потоков ТКО и балансов обращения с ТКО;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«перспективный объект обращения с ТКО» - планируемые к строительству, реконструкции объекты обработки, утилизации, обезвреживания, размещения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а также перегрузочные станции;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«расчет по фактическому образованию ТКО» - расчет количества ТКО на основе количества контейнеров и бункеров для накопления ТКО согласно абзацу третьему подпункта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пункта 6 правил коммерческого учета объема и (или) массы ТКО, утвержденных постановлением № 671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Иные понятия применяются в значении, установленном законодательством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Р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оссийской Федерации в области обращения с отходами производства и потребления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Основные требования 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действующего законодательства Российской Федерации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соответствии с установленным нормативными правовыми актами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81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Правовая и методическая основа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ТСО разработана на основе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обязательных к исполнению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нормативных документов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в отношении отрасли обращения с отходами производства и потребления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, а именно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: 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</w:r>
    </w:p>
    <w:p>
      <w:pPr>
        <w:pStyle w:val="779"/>
        <w:numPr>
          <w:ilvl w:val="0"/>
          <w:numId w:val="1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Федеральный законом от 24.06.1998 № 89-ФЗ «Об отходах производства и потребления» (далее – Федеральный закон № 89-ФЗ);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Федеральный законом от 30.03.1999 № 52-ФЗ «О санитарно-эпидемиологическом благополучии населения»;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Федеральный законом от 23.11.1995 № 174-ФЗ «Об экологической экспертизе»;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Федеральный законом от 21.11.2011 № 323-ФЗ «Об основах охраны здоровья граждан в Российской Федерации»;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1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Федеральный законом от 10.01.2002 № 7-ФЗ «Об охране окружающей среды»;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 w:eastAsia="PT Astra Serif"/>
          <w:b w:val="0"/>
          <w:bCs w:val="0"/>
          <w:sz w:val="28"/>
          <w:szCs w:val="28"/>
          <w:u w:val="none"/>
        </w:rPr>
        <w:t xml:space="preserve">Указ Президента Российской Федерации от 07.05.2024 № 309</w:t>
        <w:br/>
        <w:t xml:space="preserve">«О национальных целях развития Российской Федерации на период до 2030 года и на перспективу до 2036 года»;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 Правительства Российской Федерации от 06.06.2024 № 775 «О территориальных схемах обращения с отходами производства и потребления» (далее – постановление № 775).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 Правительства Российской Федерации от 26.08.2023 № 1390 «О порядке определения нормативов накопления 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вердых коммунальных отходов,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и, в том числе с твердыми коммунальными отходами,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Федерации» (далее – постановление № 1390);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 Правительства Российской Федерации от 24.05.2024</w:t>
        <w:br/>
        <w:t xml:space="preserve">№ 671 «О коммерческом учете объема и (или) массы твердых коммунальных отходов» (далее – постановление № 671);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 Правительства Российской Федерации от 20.05.2022</w:t>
        <w:br/>
        <w:t xml:space="preserve">№ 913 «Об утверждении Положения о федеральной государственной информационной системе учета твердых коммунальных отходов» (далее – постановление № 913);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 Правительства Российской Федерации от 12.10.2020</w:t>
        <w:br/>
        <w:t xml:space="preserve">№ 1657 «О Единых требованиях к объектам обработки, утилизации, обезвреживания, размещения твердых коммунальных отходов» (далее –постановление № 1657);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 Правительства Российской Федерации от 30.05.2016 № 484 «О ценообразовании в области обращения с твердыми коммунальными отходами»;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ие Правительства Российской Федерации от 16.05.2016 № 424 «Об утверждении порядка разработки, утверждения и корректировки инвестиционных и производственных программ в области обращения с твердыми коммунальными отходами, в том числе порядка определения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плановых и фактических значений показателей эффективности объектов обработки, обезвреживания, захоронения твердых коммунальных отходов, а также осуществления контроля за реализацией инвестиционных и производственных программ» (далее – постановление № 424);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 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Правительства Российской Федерации от 15.04.2014</w:t>
        <w:br/>
        <w:t xml:space="preserve">№ 326 «Об утверждении государственной программы Российской Федерации «Охрана окружающей среды»;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 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Правительства Российской Федерации от 28.12.2020</w:t>
        <w:br/>
        <w:t xml:space="preserve">№ 2314 «Об утверждении Правил обращения с отходами производства и потребления в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среде»;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Постановление Правительства Российской Федерации от 07.03.2025 № 293 «О порядке обращения с твердыми коммунальными отходами»;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850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/>
          <w:b w:val="0"/>
          <w:bCs w:val="0"/>
          <w:color w:val="000000"/>
          <w:sz w:val="28"/>
          <w:szCs w:val="28"/>
          <w:u w:val="none"/>
        </w:rPr>
        <w:t xml:space="preserve">Распоряжение Минприроды России от 28.12.2022 № 39-р (с изм. от 17.01.2024)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u w:val="none"/>
        </w:rPr>
        <w:t xml:space="preserve">«Об утверждении утверждаемой части федеральной схемы обращения с твердыми коммунальными отходами»;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приказ Минприроды России от 31.03.2025 № 157 «Об утверждении Правил инвентаризации объектов размещения отходов производства и потребления»;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приказ Минприроды России от 25.02.2010 № 49 «Об утверждении Правил инвентаризации объектов размещения отходов»;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  <w:tab w:val="left" w:pos="1436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приказ Минприроды России от 04.12.2014 № 536 «Об утверждении Критериев отнесения отходов к I - V классам опасности по степени негативного воздействия на окружающую среду»;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приказ Минприроды России от 02.04.2025 № 167 «Об утверждении порядка ведения государственного кадастра отходов производства и потребления" (Зарегистрировано в Минюсте России 22.05.2025 N 82279);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приказ Министерства природных ресурсов и экологии Российской Федерации от 26.12.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2022 № 919 «Об установлении состава, сроков и периодичности размещения информации в Федеральной государственной информационной системе учета твердых коммунальных отходов субъектами, размещающими информацию в данной системе» (далее – приказ № 919);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Закон Камчатского края от 25.12.2013 № 386 «Об отдельных вопросах в области обращения с отходами производства и потребления на территории Камчатского края»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постановление Правительства Камчатского края от 28.12.2016 № 528-П «Об утверждении Правил осуществления деятельности регионального оператора по обращению с твердыми коммунальными отходами на территории Камчатского края»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постановление Правительства Камчатского края от 16.03.2018 № 115-П «Об утверждении Порядка накопления твердых коммунальных отходов (в том числе их раздельного накопления) на территории Камчатского края»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постановление Правительства Камчатского края от 06.03.2024 № 88-П «Об утверждении государственной программы Камчатского края «Обращение с отходами производства и потребления в Камчатском крае»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постановление Правительства Камчатского края от 06.03.2024 № 88-П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постановление Правительства Камчатского края от 30.10.2023 № 565-П «Об утверждении Стратегии социально-экономического развития Камчатского края на период до 2035 года»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приказ Министерства ЖКХ и энергетики Камчатского края от 05.10.2023 № 29-Н «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 утверждении территориальной схемы обращения с отходами, в том числе с твердыми коммунальными отходами, в Камчатском крае»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приказ Агентства по обращению с отходами Камчатского края от 10.09.2018 № 51 «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 установлении нормативов накопления твердых коммунальных отходов на территории Камчатского края для предпринимателей и юридических лиц»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pStyle w:val="779"/>
        <w:numPr>
          <w:ilvl w:val="0"/>
          <w:numId w:val="12"/>
        </w:num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иные нормативно-правовые акты, устанавливающие требования к территориальным схемам.</w:t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:lang w:eastAsia="zh-CN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1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Целевые показатели по обработке (в том числе извлечению из твердых коммунальных отходов вторичных ресурсов), обезвреживанию, утилизации и размещению твердых коммунальных отходов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Указом Президента Российской Федерации от 07.05.2024 № 309</w:t>
        <w:br/>
        <w:t xml:space="preserve">«О Национальных цел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ях развития Российской Федерации на период до 2030 года и на перспективу до 2036 года» определены национальные цели развития Российской Федерации на период до 2030 года и на перспективу до 2036 года, к одной из которых относится экологическое благополучие.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Для достижения национальной цели экологическое благополучие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установлены целевые показатели и задачи, в том числе формирование экономики замкнутого цикла, обеспечивающей к 2030 году сортировку 100 процентов объема ежегодно образуемых твердых коммунальных отходов, захоронение не более чем 50 процентов таких отходов.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Паспортом регионального проекта «Экономика замкнутого цикла (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» одноименного федерального проекта, входящего в состав национального проекта «Экологическое благополучие», установлены целевые показатели: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-доля захораниваемых твердых коммунальных отходов в общей массе образованных тве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дых коммунальных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доля обрабатываемых твердых коммунальных отходов в общей массе образованных твердых коммунальных отходов.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Целевые показатели рассчитаны на каждый год действия территориальной схемы и соответствуют б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алансу обращения с ТКО на соответствующий год, при этом с учетом ввода в эксплуатацию объектов обращения с ТКО начиная с 2028 года и в соответствии Постановлением Правительства Российской Федерации от 12.10.2020 № 1657 «Об утверждении Единых требований к 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бъектам обработки, утилизации, обезвреживания, размещения твердых коммунальных отходов», а также в соответствии с Постановлением Правительства Российской Федерации от 17.04.2025 № 567 «Об утверждении технологических показателей наилучших доступных технолог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ий в сфере обращения с твердыми коммунальными отходами» (в отношении объектов обращения с отходами введенными в эксплуатацию до 01.09.2025 года., в отношении объектов обращения с отходами в зависимости от мощности) учтены показатели обработки и утилизации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действующие до 01.09.2025, до и после 01.09.2026 года.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Целевые показатели содержатся в табличной форме в соответствующем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риложении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сформированном в порядке 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согласно правил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остановления Правительства РФ № 775 от 06.06.2024 года.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2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Целевые показатели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установ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лены на 10 лет, в целевых показателях указаны сведения о доле отбираемых вторичных ресурсов от доли обрабатываемых отходов потребления (ТКО), о доле утилизируемых отходов потребления (ТКО) в Прогнозных значениях по образованию твердых коммунальных отходов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период с 202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по 203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годы с учетом обработки, доли ВМР, утилизации и размещения в тоннах.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2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«Баланс 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количественных характеристик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бразования,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обработки, утилизации,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безвреживания,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размещения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твердых коммунальных отходов</w:t>
      </w:r>
      <w:bookmarkEnd w:id="2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Баланс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количественных характеристик образования, обработки, утилизации,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безвреживания, размещения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твердых коммунальных отходов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составлен на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основе отчетных данных,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текущий год и последующие годы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баланс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рассчит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ан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путем математического моделирования с учетом динамики образования ТКО и графика ввода в эксплуатацию (вывода из эксплуатации) объектов обращения с ТКО.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Баланс обращения с ТКО включает в себя укрупненный баланс согласно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риложени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№ 1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3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к территориальной схеме и детализированный баланс согласно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риложени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№ 8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к территориальной схеме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4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крупненный баланс обращения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сформирован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утем агрегирования данных детализированного баланса обращения с ТКО. Детализированный баланс обращения с ТКО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сформирован в том числе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электронной модели.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Баланс обращения с ТКО сформирован по годам на весь период действия территориальной схемы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–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203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Баланс отходов представляет собой расчет объёмов образования, транспортирования, обработки, утилизации и захоронения ТКО на территории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период 202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–203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годов. 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Расчётные данные Баланса количественных характеристик образования, обработки, утилизации, обезвреживания, размещения ТКО отражены 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Приложении № 1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в соответствии с требованиями Правил.</w:t>
      </w:r>
      <w:bookmarkStart w:id="0" w:name="undefined"/>
      <w:r>
        <w:rPr>
          <w:b w:val="0"/>
          <w:bCs w:val="0"/>
          <w:sz w:val="28"/>
          <w:szCs w:val="28"/>
          <w:u w:val="none"/>
        </w:rPr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Таким образом эти параметры уточняются по годам и зонам в детализированном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Приложении № 8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в соответствии с требованиями Постановления Правительства РФ № 775 от 06.06.2024 года и служат основой для финансово-экономического анализа в следующих разделах ТСОО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3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«Действующие объекты обработки, утилизации, обезвреживания,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размещения твердых коммунальных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отходов, перегрузочные станции»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1_34616"/>
        <w:ind w:left="0" w:right="0" w:firstLine="709"/>
        <w:jc w:val="both"/>
        <w:keepLines/>
        <w:keepNext/>
        <w:spacing w:before="0" w:beforeAutospacing="0" w:after="0" w:afterAutospacing="0" w:line="240" w:lineRule="auto"/>
        <w:shd w:val="clear" w:color="auto" w:fill="auto"/>
        <w:rPr>
          <w:rFonts w:ascii="Times New Roman" w:hAnsi="Times New Roman" w:cs="Times New Roman"/>
          <w:b w:val="0"/>
          <w:bCs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Камчатский край переходил на новую систему обращения с ТКО поэтапно, начав внедрение в 2017–2018 годах, а полностью на общероссийскую модель в рамках национального проекта «Экология»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Камчатский край перешел 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1 января 2019 года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— одновременно с большинством других регионов России.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Региональная реформа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реализовывалась в несколько этапов: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numPr>
          <w:ilvl w:val="0"/>
          <w:numId w:val="18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1 ноября 2017 года: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оказание услуг по обращению с отходами стартовало в Петропавловске-Камчатском.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numPr>
          <w:ilvl w:val="0"/>
          <w:numId w:val="18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1 января 2018 года: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новая система была введена в Вилючинске.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numPr>
          <w:ilvl w:val="0"/>
          <w:numId w:val="18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1 июля 2018 года: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реформа охватила Елизовский муниципальный район.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numPr>
          <w:ilvl w:val="0"/>
          <w:numId w:val="18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1 января 2019 года: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переход стал официальным и повсеместным для всего Камчатского края. Услуга по обращению с ТКО была законодательно переведена в статус коммунальной и выделена отдельной строкой в квитанциях.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numPr>
          <w:ilvl w:val="0"/>
          <w:numId w:val="18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Весна 2023 года: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новая система обращения с отходами была внедрена в самом отдаленном муниципалитете региона — Алеутском округе (Командорские острова).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Правительство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выстраивает работу по совершенствованию региональной системы обращения с отходами в соотве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тствии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приоритетами го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сударственной политики, закрепленными Стратегией развития промышленности по обработке, утилизации и обезвреживанию отходов производства и потребления на период до 2030 года, утвержденной распоряжением Правительства Российской Федерации от 25.01.2018 №84-р.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территории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стратегический приоритет развития отрасли обращения с отходами направлен на увеличение доли отбора полезных фракций для последующего их вовлечения во вторичный хозяйственный оборот.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Отраслевыми органами исполнительной власти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разрабатывается комплекс мер поэтапного ухода от практики размещения на полигонах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отходов, не прошедших производственный цикл предварительной обработки (сортировки) и извлечения полезных фракций (вторичных материальных ресурсов) и перехода на принципы циркулярной экономики.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территории 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состоянию на 2026 год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эксплуатируется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5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Объектов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обращения с ТКО,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ериод ввода в действие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начиная с 2028 года новых -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планируемых объектов обращения с отходами 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Камчатском крае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указанные в Приложении № 2 объекты размещения ТКО продолжат прием ТКО при учете действующих объектов обработки ТКО и при утвержденных мероприятиях,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согласно настоящей ТСОО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будут выведены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из эксплуатации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срок, указанный в Приложении № 2.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Информация о действующих объектах обращения с ТКО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указана 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Приложении № 2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5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согласно Правилам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утвержденным постановлением Правительства РФ № 775 от 06.06.2024 года.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4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«Планируемые к строительству, реконструкции, выведению из эксплуатации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объекты обработки, утилизации, обезвреживания, размещения твердых коммунальных отходов, перегрузочные станции»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Перспективные объекты обращения с 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(мероприятия по созданию и дальнейшему вводу в эксплуатацию)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рамках 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реализации национального проекта «Экологическое благополучие»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исполняется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федеральный проект «Экономика замкнутого цикла» (далее – ФП ЭЗЦ, федеральный проект)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ероприятия федерального проекта направлены на обеспечение достижения показателей и задач национальной цели «Экологическое благополучие»,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установленных Указом Президента Российской Федерации от 07.05.2024 № 309,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представлены в Приложении № 3 </w:t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6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Актуальность строительства планируемых объектов обращения с отходами связана с потенциальным ростом массы образованных ТКО 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Камчатском крае.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соответствии с утвержденной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Дорожной картой по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реализации инвестиционных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проектов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созданию объектов в сфере обращения с ТКО на территории 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от 07.07.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2026,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 также в порядке исполнения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 на основании Решения Петропавловск-Камчатского городского суда Камчатского края от 16.03.2026 № 2а-785/2026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предусмотрено строительство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51 (пятидесяти одного) объекта обращения с ТКО, в том числе Комплекса по обработке, утилизации, обезвреживании и размещению отходов в Петропавло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ск-Камчатском городском округе,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мощностью по обработке ТКО 100 тысяч тонн в год, утилизации путем компостирования ТКО мощностью 31 тыс. тонн/год и объекта размещения ТКО мощность на 64 тысячи тонн/год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сети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из 42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Мусороперегрузочных станций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Ввод в эксплуатацию такого основного объекта обращения с ТКО – с учетом предусмотренных мусороперегрузочных станций, позволит оптимизировать логистику потоков ТКО и централизировать обращение с отходами и управление потоками ТКО.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При этом необходимо учесть, что на Комплексе по обработке, утилизации, обезвреживании и размещению отходов в Петропавловск-Камчатском городском округ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при обработке смешанного ТКО будут получены вторичные ресурсы исходя из морфологического состава ТКО в соответствии с Таблицей № 1,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righ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right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Таблица 1.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highlight w:val="none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Морфологический состав ТКО на территории 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tbl>
      <w:tblPr>
        <w:tblStyle w:val="846"/>
        <w:tblW w:w="10313" w:type="dxa"/>
        <w:tblLayout w:type="fixed"/>
        <w:tblLook w:val="04A0" w:firstRow="1" w:lastRow="0" w:firstColumn="1" w:lastColumn="0" w:noHBand="0" w:noVBand="1"/>
      </w:tblPr>
      <w:tblGrid>
        <w:gridCol w:w="2165"/>
        <w:gridCol w:w="2195"/>
        <w:gridCol w:w="1417"/>
        <w:gridCol w:w="2126"/>
        <w:gridCol w:w="2409"/>
      </w:tblGrid>
      <w:tr>
        <w:tblPrEx/>
        <w:trPr>
          <w:gridAfter w:val="3"/>
          <w:trHeight w:val="450"/>
        </w:trPr>
        <w:tc>
          <w:tcPr>
            <w:tcW w:w="216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Наименование отходов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Процент на входе, %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712"/>
        </w:trPr>
        <w:tc>
          <w:tcPr>
            <w:tcW w:w="2165" w:type="dxa"/>
            <w:vMerge w:val="continue"/>
            <w:textDirection w:val="lrTb"/>
            <w:noWrap w:val="false"/>
          </w:tcPr>
          <w:p>
            <w:pPr>
              <w:ind w:left="-57" w:right="-57"/>
              <w:jc w:val="center"/>
            </w:pPr>
            <w:r/>
            <w:r/>
            <w:r/>
          </w:p>
        </w:tc>
        <w:tc>
          <w:tcPr>
            <w:tcW w:w="2195" w:type="dxa"/>
            <w:vMerge w:val="continue"/>
            <w:textDirection w:val="lrTb"/>
            <w:noWrap w:val="false"/>
          </w:tcPr>
          <w:p>
            <w:pPr>
              <w:ind w:left="-57" w:right="-57"/>
              <w:jc w:val="center"/>
            </w:pPr>
            <w:r/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GB"/>
              </w:rPr>
              <w:t xml:space="preserve">min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 %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GB"/>
              </w:rPr>
              <w:t xml:space="preserve">max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 %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GB"/>
              </w:rPr>
              <w:t xml:space="preserve">Min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.знач., %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Макулатура (бумага, картон)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36-42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36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42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36,00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Полимерные материалы (ПВД, ПНД, ПЭТ)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5-6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6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5,00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Стекло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3-6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6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US"/>
              </w:rPr>
              <w:t xml:space="preserve">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Черные металлы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2-4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2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4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US"/>
              </w:rPr>
              <w:t xml:space="preserve">3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Цветные металлы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1-2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2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Кожа и резина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1,5-3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1,5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US"/>
              </w:rPr>
              <w:t xml:space="preserve">2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Текстиль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3-6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6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6,00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Древесные отходы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1-5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5,00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Кости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1-2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2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US"/>
              </w:rPr>
              <w:t xml:space="preserve">1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Камни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1,5-3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1,5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US"/>
              </w:rPr>
              <w:t xml:space="preserve">1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Пищевые отходы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24-35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24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35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US"/>
              </w:rPr>
              <w:t xml:space="preserve">31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Прочее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-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-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-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  <w:lang w:val="en-US"/>
              </w:rPr>
              <w:t xml:space="preserve">4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  <w:tr>
        <w:tblPrEx/>
        <w:trPr>
          <w:trHeight w:val="480"/>
        </w:trPr>
        <w:tc>
          <w:tcPr>
            <w:tcW w:w="2165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/>
                <w:b w:val="0"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Итого: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9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  <w:suppressLineNumbers w:val="0"/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  <w:t xml:space="preserve">100,00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u w:val="none"/>
              </w:rPr>
            </w:r>
          </w:p>
        </w:tc>
      </w:tr>
    </w:tbl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Мощности перспективных объектов обращения с ТКО 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пределены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учетом образования ТКО и мощностей действующих объектов обращения с ТКО.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Создание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мощностей обращения с ТКО перспективными объектами обращения 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ТКО  обусловлено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повышением эффективности (увеличением объема утилизации 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снижением объема захоронения ТКО)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а также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снижением расходов на функционирование системы обращения с 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Приложении № 3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в электронной модели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указана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информация об оценке объемов капитальных вложений в строительство, реконструкцию, выведение из эксплуатации объектов обращения с ТКО.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Необходимо учитывать, что ф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ормирование сведений по перспективным объектам в отношении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перспективных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КПО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сформированы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основе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фактических 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ведений по составу технологий и оборудования, их стоимости в соответствии с наименованием и характеристик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оборудования, непосредственно с отечественными производителями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none"/>
        </w:rPr>
        <w:t xml:space="preserve">Раздел 5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none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«Схема потоков твердых коммунальных отходов»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b w:val="0"/>
          <w:bCs w:val="0"/>
          <w:sz w:val="28"/>
          <w:szCs w:val="28"/>
          <w:u w:val="none"/>
        </w:rPr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Схема потоков ТКО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настоящей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является результатом математического моделирования. Схема потоков ТКО включает в себя укрупненную схему потоков ТКО согласно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№ 4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7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к территориальной схеме и детализированную схему потоков ТКО.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Укрупненная схема потоков ТКО формируется путем агрегирования информации, содержащейся в детализированной схеме потоков ТКО. Схема потоков ТКО рассчит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ана с учетом текущего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202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отдельно на каждый год действия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ТСОО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включая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весь период по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203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год, одновременно с этим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Схема потоков ТКО рассчитана и для отдельных частей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года в связи с началом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эксплуатации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новых объектов обращения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202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8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20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29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годы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Маршрут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транспортирования ТКО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содержат ин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формацию: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информацию о начальной точке маршрута в виде муниципального образования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или его части либо объекта обращения с ТКО;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информацию о конечной точке маршрута в виде объекта обращения с ТКО;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расчетную протяженность маршрута;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информацию о доступности маршрута круглый год;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расчетную массу ТКО, транспортируемых по маршруту;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расчетную работу по транспортированию ТКО.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качестве начальной точки маршрута рассматрива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ется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муниципальное образование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его части в случае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когда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его часть, охватыва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ется логистически верно по той совокупности мест накопления ТКО, которые логистически верно расположены для обслуживания по сбору и транспортированию 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отношении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объектов обработки и утилизации 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 объектов размещения 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Под первым плечом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транспортирования понимается транспортирование ТКО от источников образования ТКО, сгруппированным по муниципальным образованиям (частям муниципальных образований) до объекта обра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ботки/утилизации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Под вторым плечом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транспортирования ТКО понимаются маршруты транспортирования твердых коммунальных отходов от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объектов обработки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объектов утилизации на объекты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размещения ТКО на территории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Муниципальных образований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Транспортная работа рассчит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ана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как произведение протяженности маршрут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на массу ТКО, перевозимую по маршруту, и измеряется в тонно-километрах. При расчете схемы потоков ТКО использова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матрица расстояний, включающая в себя информацию о расстоян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ии между источниками образования ТКО, сгруппированными по муниципальным образованиям (частям муниципальных образований), и объектами обращения с ТКО по автомобильным дорогам общего пользования, определенная на основе информации геоинформационных сервисов.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настоящей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предусматривается поэтапное перераспределение потоков с увеличением доли сортировки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утилизации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 сокращением доли захоронения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в разрезе Муниципальных образований и при наличий на их территории объектов размещения ТКО с достаточной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вместимостью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Схему Потоков ТКО в отношении труднодоступных населенных пунктов включены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согласно перечня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таких территорий, мусороперегрузочные станции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в полном составе согласно Приложения № 3 к ТСОО 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 логистика накопления отходов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хема потоков ТКО, указана в Приложении № 4 к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согласно Постановления Правительства РФ № 775 от 06.06.2024 года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электронная модель сформирована во ФГИС УТКО, демонстрация схемы потоков ТКО, объектов обращения с отходами, населенными пунктами, транспортными плечами указаны следующей ссылке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: </w:t>
      </w:r>
      <w:bookmarkStart w:id="0" w:name="undefined"/>
      <w:r>
        <w:rPr>
          <w:b w:val="0"/>
          <w:bCs w:val="0"/>
          <w:sz w:val="28"/>
          <w:szCs w:val="28"/>
          <w:u w:val="none"/>
        </w:rPr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b w:val="0"/>
          <w:bCs w:val="0"/>
          <w:sz w:val="28"/>
          <w:szCs w:val="28"/>
          <w:u w:val="none"/>
        </w:rPr>
        <w:suppressLineNumbers w:val="0"/>
      </w:pPr>
      <w:r>
        <w:rPr>
          <w:b w:val="0"/>
          <w:bCs w:val="0"/>
          <w:sz w:val="28"/>
          <w:szCs w:val="28"/>
          <w:u w:val="none"/>
        </w:rPr>
      </w:r>
      <w:hyperlink r:id="rId17" w:tooltip="https://obs-c.ru/public/?r=MbS1wcl%2B1wluoWub8WhMBQ%3D%3D" w:history="1">
        <w:r>
          <w:rPr>
            <w:rStyle w:val="756"/>
            <w:rFonts w:ascii="Times New Roman" w:hAnsi="Times New Roman"/>
            <w:b w:val="0"/>
            <w:bCs w:val="0"/>
            <w:sz w:val="28"/>
            <w:szCs w:val="28"/>
            <w:u w:val="none"/>
          </w:rPr>
          <w:t xml:space="preserve">https://obs-c.ru/public/?r=MbS1wcl%2B1wluoWub8WhMBQ%3D%3D</w:t>
        </w:r>
      </w:hyperlink>
      <w:r>
        <w:rPr>
          <w:b w:val="0"/>
          <w:bCs w:val="0"/>
          <w:sz w:val="28"/>
          <w:szCs w:val="28"/>
          <w:u w:val="none"/>
        </w:rPr>
      </w:r>
      <w:r>
        <w:rPr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Раздел разработан в соответствии с требованиями пункта 19 постановления</w:t>
        <w:br/>
        <w:t xml:space="preserve">№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775.</w:t>
      </w:r>
      <w:bookmarkEnd w:id="0"/>
      <w:r>
        <w:rPr>
          <w:b w:val="0"/>
          <w:bCs w:val="0"/>
          <w:sz w:val="28"/>
          <w:szCs w:val="28"/>
          <w:u w:val="none"/>
        </w:rPr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6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«Сведения о зонах деятельности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региональных операторов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обращению 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твердыми коммунальными отходами»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учетом объема образования отходов, наличия транспортной инфраструктуры, наличия существующих объектов размещения отходов, территорий, имеющих перспективу инфраструктурного развития,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Камчатском крае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реализован принцип единства управления и обращения с ТКО, деления на технологические зоны обращения с ТКО не предусмотрено и нормативно не определено.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Единая технологическая зона (ЕТЗ) в рамках 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— это территория, где отходы движутся по оптимизированным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маршрутам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к конкретным объектам обработки, управляемым единым оператором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Преимущества включают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прозрачность учета, инвестпривлекательность и развитие инфраструктуры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Соответствующее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Приложение № 5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является неотъемлемой частью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8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территориальную схему включ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ена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информация о соглашениях об организации деятельности по обращению с твердыми коммунальными отходами с региональными операторами в соответствии с 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риложением № 9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«Сведения о соглашениях об организации деятельности по обращению с ТКО с региональными операторами по обращению с ТКО».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Решение вопроса о возможности обращения с ТКО на труднодоступных территориях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осуществляется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согласно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остановления Правительства РФ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№ 775 от 06.06.2024 года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которым утверждены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«Правила разработки, рассмотрения, общественного обсуждения, утверждения, корректировки территориальных схем обращения с отходами производства и потребления»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рамках этих правил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фикс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ируется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учет труднодоступных территорий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что позволяет легально применять к ним особые, более мягкие санитарные и логистические нормы.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соответствии с утвержденной ТСОО Камчатского края согласно Приложения № 5 принято решение об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указании в ТСОО 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перечня муниципальных образований и населенных пунктов как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изолированных зон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границах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труднодоступных территорий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Соответственно в утвержденной ТСОО Камчатского края установлена логистика по утвержденной Схеме потоков ТКО согласно Приложения № 4 по форме Правил в соответствии 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остановлением Правительства РФ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№ 775 от 06.06.2024 года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при этом учтены объекты обращения с ТКО максимально приближенные к указанным муниципальным образованиям и населенным пунктам.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7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«Сведения об источниках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образования твердых коммунальных отходов, 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которых осуществляют деятельность потребители услуги по обращению с твердыми коммунальными отходами»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Информация об источниках образования ТКО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учитывается при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наличии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категорий потребителей, владеющих источниками образования ТКО, для которых установлены нормативы накопления ТКО.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Согласно представленных сведений от регионального оператора д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ля категори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потребителей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(население)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основе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таких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полученных данных от региональн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ого оператора, определены имеющиеся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расчетны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единиц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расчетная масса и объем ТКО, образуемых соответствующей категорией потребителей.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Расчет количества ТКО произведен с использованием нормативов накопления ТКО. Также использованы расчетные нормативы накопления ТКО в показателях массы, полученные с использованием нормативов накопления ТКО в показателях объема, и расчетного коэффициента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плотности ТКО.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соответствии 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Приложением № 6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9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к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определены сведения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5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для категори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источников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представленным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региональным оператором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сведениям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количество расчетных единиц;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5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учтены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ормативы накопления;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5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рассчитана масса и объем ТКО по потребителя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Приложение № 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содержит сводные расчеты по образованию отходов для категори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 вида, включая расчётные коэффициенты,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расчетную массу и расчетные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объемы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ТКО.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Согласно поправкам в Федеральный закон № 52-ФЗ «О санитарно-эпидемиологическом благополучии населения» и Федеральный закон № 89-ФЗ</w:t>
        <w:br/>
        <w:t xml:space="preserve">«Об отходах производства и потребления», медицинские отходы класса «А»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уже классифицируются с 01.07.2025 года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как твердые коммунальные отходы (ТКО). Это эпидемиологически безопасные отходы, такие как канцелярские принадлежности, мебель, бытовой мусор, одежда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 т.д.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Источники образования отходов рассмотрены в полной детализации, что обеспечивает точность построения балансов ТКО и логистических маршрутов в последующих разделах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ТСОО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8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«Сведения о местах (площадках)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накопления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твердых коммунальных отходов»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ТСОО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содержит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сведения о местах накопления 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согласно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Приложения № 7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10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Указанные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сведения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соответств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уют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информации, содержащейся в ФГИС УТКО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проверены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факту в соответствии с реестрами муниципальных образований и сведениями от региональн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ого оператора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в том числе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соответствии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(в том числе и 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сравнении)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предыдущей редакцией ТСОО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Сведения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 местах накопления твердых коммунальных отходов, в том числе об осуществлении раздельного накопления твердых коммунальных отходов размещены органами местного самоуправления в ФГИС УТКО в соответствии 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требованиями приказа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№ 919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Информация о местах накопления ТКО включает в себя информацию о количестве мест накопл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ения ТКО, в том числе, предусматривающих раздельное накопление ТКО, количество используемых контейнеров и бункеров, количество контейнеров и бункеров, планируемых к приобретению региональным оператором, потребность в организации новых мест накопления ТКО. 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Проведена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оценк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потребности в создании и реконструкции мест накопления ТКО, приобретении контейнеров и бункеров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в том числе по созданию инфраструктуры раздельного сбора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Такая оценка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построена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разрезе муниципальных образований с учетом информации об образовании ТКО, график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вывоза ТКО, сведений о состоянии мест накопления ТКО, применению бестарного сбора ТКО и раздельного накопления ТКО, а также других факторов.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 этом учтена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потребность в ежегодном обновлении мест накопления ТКО, приобретении новых контейнеров и бункеров в целях для замены существующих,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основе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план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по созданию и реконструкции мест накопления ТКО, приобретения контейнеров и бункеров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соответствии со ст. 14.1 Федерального закона № 89-ФЗ "Об отходах производства и потребления" обращение с отходами I и II классов опасности регулируется в рамка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х Федеральной схемы обращения с данными отходами. Сведения о местах накопления отходов I и II классов опасности (ртутьсодержащих ламп и источников малого тока), образующихся у населения (физических лиц) на территории Камчатского края, приведены в Приложени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№ 1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«Сведения об образовании отходов I и II классов опасности» в составе приложений к настоящей территориальной схеме исключительно в справочных целях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9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«Расчет количества образования, обработки, утилизации, обезвреживания,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размещения твердых коммунальных отходов,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том числе по зонам деятельности региональных операторов (РО)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по обращению с твердыми коммунальными отходами»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асчетные величины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образования, обработки, утилизации, обезвреживания, размещения твердых коммунальных отходов, в том числе по зонам деятельности региональных операторов (РО) по обращению с твердыми коммунальными отходами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как д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етализированный баланс обращения с ТКО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содержится 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Приложении № 8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11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включает в себя: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6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информацию об образовании ТКО в разрезе муниципальных образований и их частей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деятельности региональных операторов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6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информацию о количестве ТКО, поступивших на каждый объект обращения с ТКО и массе отходов;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6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информацию о накоплении ТКО в разрезе объектов, на которых осуществляется временное накопление ТКО (перегрузочные станции и другие объекты, не включая места накопления ТКО);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6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информацию о массе ТКО и отходов после обработки твердых коммунальных отходов, направленных на размещение, в том числе в разбивке по объектам размещения твердых коммунальных отходов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Баланс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сформирован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 учетом плановых значений показателей эффективности объектов обработки, обезвреживания твердых коммунальных отходов.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Плановые показатели эффективности объектов обработки, обезвреживания твердых коммунальных отходов опреде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лены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правил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определения плановых и фактических значений показателей эффективности объектов обработки, обезвреживания и захоронения твердых коммунальных отходов, утвержденных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остановлением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Правительства РФ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№ 424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(с изменениями от 12 июля 2018 г., 18 марта 2021 г., 14 ноября 2022 г., 15 августа 2025 г.)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единых требований к объектам обработки, утилизации, обезвреживания, размещения твердых коммунальных отходов, утвержденных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остановлением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Правительства РФ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№ 1657,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 этом учтено что с 01.09.2026,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остановление Правительства РФ № 1657 заменяется новым,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остановлением Правительства РФ от 16.05.2026 № 567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Расчет количества образующихся ТКО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Электронная модель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содержит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расчет массы образующихся ТКО для базового года действия территориальной схемы. Такая величина определяется в соответствии с расчетом на основе нормативов накопления ТКО, в соответствии с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риложением № 6 к территориальной схеме, либо на основе данных региональных операторов и операторов объектов по обращению с ТКО о массе ТКО, поступившей на объекты обращения с ТКО.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При определении массы образующихся ТКО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учтены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данные различных источников, включая данные государственной статистики, информацию, внесенную субъектом Российской Федерации в информационную систему «Электронный бюджет», данные ФГИС УТКО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Масса образующихся ТКО определена в разрезе муниципальных образований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Определение массы ТКО, образуемых в муниципальном образовании, осуществляется путем распределения массы ТКО, образующих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ся в субъекте Российской Федерации, пропорционально численности постоянно проживающего населения либо с учетом распределения по муниципальным образованиям источников образования ТКО. Указанная информация приводится в приложении № 8 к территориальной схеме.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Таким образом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асса образующихся ТКО определена на каждый год действия территориальной схемы. При этом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такой расчет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основан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на расчете массы образующихся ТКО в базовый год и корректирующих коэффициентов, учитывающих, в том числе: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9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прогноз динамики изменения численности населения;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9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прогноз динамики образования ТКО;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779"/>
        <w:numPr>
          <w:ilvl w:val="0"/>
          <w:numId w:val="9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прогноз динамики охвата потребителей услугами по обращению с ТКО.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tabs>
          <w:tab w:val="left" w:pos="3516" w:leader="none"/>
          <w:tab w:val="center" w:pos="4674" w:leader="none"/>
        </w:tabs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10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«Сведения о соглашениях об организации деятельности по обращению 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твердыми коммунальными отходами с региональными операторами по обращению с твердыми коммунальными отходами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территории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1_34618"/>
        <w:ind w:left="0" w:right="0" w:firstLine="709"/>
        <w:jc w:val="both"/>
        <w:spacing w:before="0" w:beforeAutospacing="0" w:after="0" w:afterAutospacing="0" w:line="240" w:lineRule="auto"/>
        <w:rPr>
          <w:color w:val="000000"/>
          <w:sz w:val="24"/>
          <w:szCs w:val="24"/>
          <w:shd w:val="clear" w:color="auto" w:fill="ffffff"/>
        </w:rPr>
        <w:suppressLineNumbers w:val="0"/>
      </w:pP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На территории Камчатского края действует единый региональ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ный оператор по обращению с ТКО – АО «Спецтранс». Соглашение об организации деятельности по обращению с ТКО на территории Камчатского края от 30.12.2016 № 273, заключенное между АО «Спецтранс» и Министерством прекращает свое действие 30 декабря 2026 годы.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</w:p>
    <w:p>
      <w:pPr>
        <w:pStyle w:val="1_34618"/>
        <w:ind w:left="0" w:right="0" w:firstLine="709"/>
        <w:jc w:val="both"/>
        <w:spacing w:before="0" w:beforeAutospacing="0" w:after="0" w:afterAutospacing="0" w:line="240" w:lineRule="auto"/>
        <w:rPr>
          <w:color w:val="000000"/>
          <w:sz w:val="24"/>
          <w:szCs w:val="24"/>
          <w:shd w:val="clear" w:color="auto" w:fill="ffffff"/>
        </w:rPr>
        <w:suppressLineNumbers w:val="0"/>
      </w:pP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На момент утверждения настоящей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ТСОО Камчатского края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деятельность осуществляет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единый региональный оператор по обращению с ТКО – АО «Спецтранс».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В связи с истечением срока действия соглашения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от 31.12.2016 года № 273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, уполномоченным органом исполнительной власти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-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Министерств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ом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природных ресурсов и экологии Камчатского края в установление сроки до 30.12. 2026 года будет проведен новый открытый конкурсный отбор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регионального оператора по обращению с ТКО в соответствии с постановлением Правительства РФ № 1133. До момента заключения соглашения с победителем нового конкурсного отбора и начала выполнения им обязанностей, статус регионального оператора сохраняется за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едины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м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региональны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м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оператор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ом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по обращению с ТКО – АО «Спецтранс»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в соответствии с п. 6 ст. 24.6 ФЗ № 89-ФЗ».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При этом, Камчатским краем принято решение, что период, на который будет заключаться соглашение с региональным оператором составит 3 года (2027-2029 годы).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</w:p>
    <w:p>
      <w:pPr>
        <w:pStyle w:val="1_34618"/>
        <w:ind w:left="0" w:right="0" w:firstLine="709"/>
        <w:jc w:val="both"/>
        <w:spacing w:before="0" w:beforeAutospacing="0" w:after="0" w:afterAutospacing="0" w:line="240" w:lineRule="auto"/>
        <w:rPr>
          <w:color w:val="000000"/>
          <w:sz w:val="24"/>
          <w:szCs w:val="24"/>
          <w:shd w:val="clear" w:color="auto" w:fill="ffffff"/>
        </w:rPr>
        <w:suppressLineNumbers w:val="0"/>
      </w:pP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У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читывая изложенное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в ТСОО Камчатского края, на дату утверждения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включена информация о соглашени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и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об организации деятельности по обращению с твердыми коммунальными отходами с региональным оператор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ом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в соответствии с 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Приложением № 9</w:t>
      </w:r>
      <w:r>
        <w:rPr>
          <w:rStyle w:val="753"/>
          <w:b w:val="0"/>
          <w:bCs w:val="0"/>
          <w:color w:val="000000"/>
          <w:sz w:val="28"/>
          <w:szCs w:val="28"/>
          <w:u w:val="none"/>
          <w:shd w:val="clear" w:color="auto" w:fill="ffffff"/>
        </w:rPr>
        <w:footnoteReference w:id="12"/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 «Сведения о соглашениях об организации деятельности по обращению с ТКО с региональными операторами по обращению с ТКО» (приложение к открытой части электронной модели).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</w:p>
    <w:p>
      <w:pPr>
        <w:pStyle w:val="1_34618"/>
        <w:ind w:left="0" w:right="0" w:firstLine="709"/>
        <w:jc w:val="both"/>
        <w:spacing w:before="0" w:beforeAutospacing="0" w:after="0" w:afterAutospacing="0" w:line="240" w:lineRule="auto"/>
        <w:rPr>
          <w:color w:val="000000"/>
          <w:sz w:val="24"/>
          <w:szCs w:val="24"/>
          <w:shd w:val="clear" w:color="auto" w:fill="ffffff"/>
        </w:rPr>
        <w:suppressLineNumbers w:val="0"/>
      </w:pP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11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ведения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 источниках образования отходов производства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потребления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не относящихся к твердым коммунальным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отходам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 количестве образованных, накопленных,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обработанных, обезвреженных, утилизированных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размещенных отходов, не относящихся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 твердым коммунальным отходам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Источник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ами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образования отходов, не относящихся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являются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Производственные отходы: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Отходы, образующиеся в процессе производства, включая остатки сырья, бракованную продукцию, отходы обработки материалов. 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Строительные отходы: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Отходы, образующиеся при строительстве, ремонте и сносе зданий и сооружений (бой кирпича, бетона, демонтированные конструкции). 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 от сельскохозяйственной деятельности: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 растениеводства и животноводства (навоз, помет, растительные остатки). 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 от оказания услуг: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Отходы, образующиеся в процессе оказания различных услуг (медицинские отходы, отходы предприятий общественного питания, отходы от обслуживания автотранспорта). 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 от ликвидации объектов: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Отходы, образующиеся при сносе промышленных объектов, ликвидации свалок. 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 от ремонта и обслуживания техники: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Отходы, образующиеся при ремонте и обслуживании транспортных средств, оборудования. 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 от энергетической деятельности: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Отходы, образующиеся при производстве и транспортировке энергии (шлак, зола, отходы производства нефтепродуктов). 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Орган исполнительной власти Субъекта Российской Федерации таким образом вправе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основании пункта 13 Правил разработки, рас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смотрения, общественного обсуждения, утверждения, корректировки территориальных схем обращения с отходами производства и потребления, утверждённых постановлением Правительства Российской Федерации от 06.06.2024 № 775, установ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ить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 что при разработке территориальной схемы обращения с отходами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Камчатского края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не включать в электронную модель сведения, указанные в подпунктах «з» и «и» пункта 12 Правил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разработки, рассмотрения, общественного обсуждения, утверждения, корректировки территориальных схем обращения с отходами производства и потребления, утверждённых постановлением Правительства Российской Федерации от 06.06.2024 № 775.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1</w:t>
      </w: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2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«Сведения о количестве образованных, накопленных, обработанных, утилизированных, обезвреженных, размещенных отходов производства и потребления, не относящихся к твердым коммунальным отходам»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Формирование сведений о массе образованных, накопленных, обработанных, утилизированных, обезвреженных и размещенных отходов, не относящихся к твердым коммунальным отходам (далее — ТКО), осуществляется на основании положений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остановления Правительства Российской Федерации от 06.06.2024 № 775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«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Об утверждении Правил разработки, соотнесения, утверждения и корректировки территориальных схем обращения с отходами производства и потребления».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1. Источники формирования сведений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Информация аккумулируется путем систематизации данных, полученных из следующих источников: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формы федерального статистического наблюдения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№ 2-ТП (отходы)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«Сведения об образовании, обработке, утилизации, обезвреживании, размещении отходов производства и потребления», утвержденной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риказом Росстата</w:t>
        <w:br/>
        <w:t xml:space="preserve">от 09.10.2020 № 627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данных учета в области обращения с отходами, ведение которого регламентировано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риказом Минприроды России от 08.12.2020 № 1028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сведений, представленных индивидуальными предпринимателями и юридическими лицами, в процессе деятельности которых образуются отходы, в соответствии с запросами исполнительных органов субъекта Российской Федерации.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государственного кадастра отходов (ГКО), формируемого согласно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статьи 20 Федерального закона от 24.06.1998 № 89-ФЗ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2. Содержание и структура учетных данных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Учет отходов, не относящихся к ТКО, ведется в разрезе наименований отходов согласно Федеральному классификационному каталогу отходов (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ФККО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), с указанием кода и класса опасности (I–V классы). Информация включает: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Ежегодные показатели баланса масс отходов (образование, поступление из других субъектов, передача и прием для дальнейшего обращения).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Перечень объектов обработки, утилизации и обезвреживания с указанием их фактической мощности.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numPr>
          <w:ilvl w:val="0"/>
          <w:numId w:val="14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Данные о размещении отходов на объектах, включенных в Государственный реестр объектов размещения отходов (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ГРОРО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).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Орган исполнительной власти Субъекта Российской Федерации таким образом вправе на основании пункта 13 Правил разработки, рассмотрения, общественного обсуждения, утверждения, корректировки территориальн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ых схем обращения с отходами производства и потребления, утверждённых постановлением Правительства Российской Федерации от 06.06.2024 № 775, установить, что при разработке территориальной схемы обращения с отходами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Камчатского края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не включать в электронную модель сведения, указанные в подпунктах «з» и «и» пункта 12 Прави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л разработки, рассмотрения, общественного обсуждения, утверждения, корректировки территориальных схем обращения с отходами производства и потребления, утверждённых постановлением Правительства Российской Федерации от 06.06.2024 № 775.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1</w:t>
      </w: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3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«Сведения о действующих и планируемых к строительству (реконструкции) объектах обработки, утилизации, обезвреживания, размещения отходов производства и потребления, не относящихся к твердым коммунальным отходам, и местах их накопления»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Орган исполнительной власти Субъекта Российской Федерации таким образом вправе на основании пункта 13 Правил разработки, рассмотрения, общественного обсуждения, утверждения, корректировки территориальн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ых схем обращения с отходами производства и потребления, утверждённых постановлением Правительства Российской Федерации от 06.06.2024 № 775, установить, что при разработке территориальной схемы обращения с отходами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Камчатского края</w:t>
      </w:r>
      <w:r>
        <w:rPr>
          <w:b w:val="0"/>
          <w:bCs w:val="0"/>
          <w:color w:val="000000"/>
          <w:sz w:val="28"/>
          <w:szCs w:val="28"/>
          <w:u w:val="none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не включать в электронную модель сведения, указанные в подпунктах «з» и «и» пункта 12 Прави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л разработки, рассмотрения, общественного обсуждения, утверждения, корректировки территориальных схем обращения с отходами производства и потребления, утверждённых постановлением Правительства Российской Федерации от 06.06.2024 № 775.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tabs>
          <w:tab w:val="left" w:pos="1134" w:leader="none"/>
        </w:tabs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Раздел 1</w:t>
      </w: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4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«Тарифы в области обращения с ТКО,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тарифообразование и тарифные последствия»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Тарифы в области обращения с ТКО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b w:val="0"/>
          <w:bCs w:val="0"/>
          <w:sz w:val="28"/>
          <w:szCs w:val="28"/>
          <w:u w:val="none"/>
        </w:rPr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электронной модели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содержатся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сведения о действующих тарифах в области обращения с ТКО 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сведения 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прогнозных предельных тарифах в области обращения с ТКО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региональн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ого оператора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а также прогнозных тарифов для отдельных объектов обращения с ТКО (далее – прогнозных тарифах в области обращения с ТКО).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Тарифы в области обращения с ТКО, процесс тарифообразования и тарифные последствия обоснованно учитывают все вышеперечисленные мероприятия реализации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и указаны в Приложении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–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«Сведения о прогнозных значениях предельных тарифов в области обращения с твердыми коммунальными отходами»</w:t>
      </w:r>
      <w:r>
        <w:rPr>
          <w:rStyle w:val="753"/>
          <w:rFonts w:ascii="Times New Roman" w:hAnsi="Times New Roman"/>
          <w:b w:val="0"/>
          <w:bCs w:val="0"/>
          <w:sz w:val="28"/>
          <w:szCs w:val="28"/>
          <w:u w:val="none"/>
        </w:rPr>
        <w:footnoteReference w:id="13"/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,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с учетом сведений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 прогнозном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сценарии значений предельных тарифов по обращению с ТКО в отсутствии мероприятий по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указанный раздел включ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ены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сведения об изменении прогнозных значений предельных тарифов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 области обращения с ТКО, связанны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с включением планируемых расходов регионального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оператора на приобретение и содержание контейнеров и бункеров в необходимую валовую выручку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регионального оператора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(в том числе на раздельный сбор и раздельное транспортирование)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7575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Прогнозные значения предельных тарифов на услуги регионального оператора по обращению с твердыми коммунальными отходами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рассчитаны на основании следующих нормативно-правовых актов: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7575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Ф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едеральный закон от 24.06.1998 № 89-ФЗ «Об отходах производства и потребления» (ред. от 07.04.2020);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7575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остановление Правительства Российской Федерации от 30.05.2016 № 484 «О ценообразовании в области обращения с твердыми коммунальными отходами» (ред. от 29.10.2019);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7575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п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риказ Федеральной антимонопольной службы от 21.11.2016 № 1638/16 «Об утверждении Методических указаний по расчету регулируемых тарифов в области обращения с твердыми коммунальными отходами».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7575" w:leader="none"/>
        </w:tabs>
        <w:rPr>
          <w:rFonts w:ascii="Times New Roman" w:hAnsi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Расчет прогнозных тарифов на 202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-20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3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6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годы выполнен с учетом показателей прогноза социально-экономического развития Российской Федерации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в части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Сценарных условий функционирования экономики Российской Федерации, основны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параметр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ов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прогноза социально-экономического развития Российской Федерации и прогнозируемы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х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изменени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й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цен (тарифов) на товары, услуги хозяйствующих субъектов, осуществляющих регулируемые виды деятельности в инфраструктурном секторе, на 2026 год и на плановый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период 2027 и 2028 годов.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Значения предельных тарифов на услуги регионального оператора утверждаются органом регулирования тарифов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Заключение</w:t>
      </w:r>
      <w:r>
        <w:rPr>
          <w:rFonts w:ascii="Times New Roman" w:hAnsi="Times New Roman"/>
          <w:b/>
          <w:bCs/>
          <w:sz w:val="28"/>
          <w:szCs w:val="28"/>
          <w:u w:val="none"/>
        </w:rPr>
      </w:r>
      <w:r>
        <w:rPr>
          <w:rFonts w:ascii="Times New Roman" w:hAnsi="Times New Roman"/>
          <w:b/>
          <w:bCs/>
          <w:sz w:val="28"/>
          <w:szCs w:val="28"/>
          <w:u w:val="none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Территориальная схема обращения с отходами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срок действия 10 лет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представляет собой стратегический документ, направленный на формирование современной, эффективной и экологически безопасной системы обращения с ТКО и вторичными ресурсами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 на территории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:u w:val="singl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Настоящая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включает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переход к цифровой модели планирования и учёта (ФГИС УТКО в соответствии с нормами Постановления Правительства Российской Федерации от 06.06.2024 года № 775;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укрупнённую логистику с применением КПО с системными видами деятельности по обращению с ТКО и оптимизированными маршрутами;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повышение доли обработки, утилизации и снижения захоронения с устойчивым положительным ростом целевых показателей;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расширенную сеть объектов обращения с ТКО и инвестиционную составляющую развития ЭЗЦ;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709" w:right="0" w:firstLine="0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обращение с ТКО в рамках единой территориальной зоны</w:t>
      </w:r>
      <w:bookmarkStart w:id="0" w:name="undefined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709" w:right="0" w:firstLine="0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:u w:val="single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Ожидаемый эффект от реализации утвержденных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мероприятий ТСОО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Камчатского края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: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рост уровня охвата населения системой обращения с отходами до 100%;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снижение нагрузки на окружающую среду и улучшение экологической ситуации в регионе;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снижение расходов на транспортную составляющую в тарифе, благодаря оптимизации схемы потоков и перспективным объектам обращения с ТКО;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b/>
          <w:bCs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устойчивое развитие территорий и рост инвестиционной привлекательности отрасли.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Экономическая эффективность реализации ТСОО достигается за счёт: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сокращение затрат на логистику;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сокращение объёмов захоронения путем вовлечения отходов во вторичный оборот;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- утилизации 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  <w:t xml:space="preserve">вторичных ресурсов.</w:t>
      </w:r>
      <w:bookmarkEnd w:id="0"/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4"/>
          <w:szCs w:val="24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4"/>
          <w:szCs w:val="24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14:ligatures w14:val="none"/>
        </w:rPr>
      </w:r>
      <w:r>
        <w:rPr>
          <w:b w:val="0"/>
          <w:bCs w:val="0"/>
          <w:u w:val="none"/>
        </w:rPr>
      </w:r>
      <w:r>
        <w:rPr>
          <w:b w:val="0"/>
          <w:bCs w:val="0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567" w:bottom="1134" w:left="1134" w:header="709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Symbol">
    <w:panose1 w:val="05010000000000000000"/>
  </w:font>
  <w:font w:name="Tahoma">
    <w:panose1 w:val="020B0604030504040204"/>
  </w:font>
  <w:font w:name="Droid Sans">
    <w:panose1 w:val="020B0606030804020204"/>
  </w:font>
  <w:font w:name="Open Sans">
    <w:panose1 w:val="020B0606030504020204"/>
  </w:font>
  <w:font w:name="Courier New">
    <w:panose1 w:val="02070309020205020404"/>
  </w:font>
  <w:font w:name="Segoe UI">
    <w:panose1 w:val="020B0502040504020204"/>
  </w:font>
  <w:font w:name="XO Thames">
    <w:panose1 w:val="02020603050405020304"/>
  </w:font>
  <w:font w:name="Wingdings">
    <w:panose1 w:val="05010000000000000000"/>
  </w:font>
  <w:font w:name="Liberation Sans">
    <w:panose1 w:val="020B0604020202020204"/>
  </w:font>
  <w:font w:name="Calibri Light">
    <w:panose1 w:val="020F050202020403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_34612"/>
        <w:ind w:left="-510" w:right="170"/>
        <w:jc w:val="both"/>
        <w:spacing w:after="0"/>
        <w:rPr>
          <w:rFonts w:ascii="Times New Roman" w:hAnsi="Times New Roman" w:cs="Times New Roman" w:cstheme="minorHAnsi"/>
          <w:sz w:val="18"/>
          <w:szCs w:val="18"/>
        </w:rPr>
      </w:pPr>
      <w:r>
        <w:rPr>
          <w:rStyle w:val="753"/>
          <w:rFonts w:ascii="Times New Roman" w:hAnsi="Times New Roman" w:eastAsia="Times New Roman" w:cs="Times New Roman"/>
          <w:b/>
          <w:bCs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Приложени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Постановления Правительства Российской Федерации № 775 от 06.06.2024 года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– «Целевые показатели по обработке (в том числе извлечению из твердых коммунальных отходов вторичных ресурсов), обезвреживанию, утилизации, размещению твердых коммунальных отходов на период до 203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6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года»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</w:p>
  </w:footnote>
  <w:footnote w:id="3">
    <w:p>
      <w:pPr>
        <w:pStyle w:val="787"/>
        <w:ind w:left="-510" w:right="17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753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Приложение № 1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Постановления Правительства Российской Федерации № 775 от 06.06.2024 года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«Баланс количественных характеристик образования, обработки, утилизации, обезвреживания, размещения твердых коммунальных отходов»</w:t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</w:footnote>
  <w:footnote w:id="4">
    <w:p>
      <w:pPr>
        <w:pStyle w:val="1_34612"/>
        <w:ind w:left="-510" w:right="170"/>
        <w:jc w:val="both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Style w:val="753"/>
          <w:rFonts w:ascii="Times New Roman" w:hAnsi="Times New Roman" w:eastAsia="Times New Roman" w:cs="Times New Roman"/>
          <w:b/>
          <w:bCs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Приложени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е № 8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Постановления Правительства Российской Федерации № 775 от 06.06.2024 года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«Расчетные величины образования, обработки, утилизации, обезвреживания, размещения твердых коммунальных отходов, в том числе по зонам деятельности региональных операторов (РО) по обращению с твердыми коммунальными отходами»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</w:p>
  </w:footnote>
  <w:footnote w:id="5">
    <w:p>
      <w:pPr>
        <w:pStyle w:val="787"/>
        <w:ind w:left="-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753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Приложение № 2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«Действующие объекты обращения с ТКО»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к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Постановления Правительства Российской Федерации № 775 от 06.06.2024 года</w:t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</w:footnote>
  <w:footnote w:id="6">
    <w:p>
      <w:pPr>
        <w:pStyle w:val="1_34612"/>
        <w:ind w:left="-567" w:right="57"/>
        <w:jc w:val="both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Style w:val="753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Приложение №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3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Постановления Правительства Российской Федерации № 775 от 06.06.2024 года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Планируемые к строительству, реконструкции, выведению из эксплуатации объекты обработки, утилизации, обезвреживания, размещения твердых коммунальных отходов, перегрузочные станции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»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</w:p>
  </w:footnote>
  <w:footnote w:id="7">
    <w:p>
      <w:pPr>
        <w:pStyle w:val="1_34612"/>
        <w:ind w:left="-567" w:right="113"/>
        <w:jc w:val="both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Style w:val="753"/>
          <w:b/>
          <w:bCs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Приложени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№ 4 «Схема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потоков твердых коммунальных отходов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Постановления Правительства Российской Федерации № 775 от 06.06.2024 года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»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</w:p>
  </w:footnote>
  <w:footnote w:id="8">
    <w:p>
      <w:pPr>
        <w:pStyle w:val="1_34612"/>
        <w:jc w:val="both"/>
        <w:spacing w:before="0" w:after="0"/>
        <w:rPr>
          <w:lang w:val="ru-RU"/>
        </w:rPr>
      </w:pPr>
      <w:r>
        <w:rPr>
          <w:rStyle w:val="753"/>
          <w:b/>
          <w:bCs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</w:t>
      </w:r>
      <w:r>
        <w:rPr>
          <w:rFonts w:cstheme="minorHAnsi"/>
          <w:sz w:val="18"/>
          <w:szCs w:val="18"/>
          <w:lang w:val="ru-RU"/>
        </w:rPr>
        <w:t xml:space="preserve">Приложени</w:t>
      </w:r>
      <w:r>
        <w:rPr>
          <w:rFonts w:cstheme="minorHAnsi"/>
          <w:sz w:val="18"/>
          <w:szCs w:val="18"/>
          <w:lang w:val="ru-RU"/>
        </w:rPr>
        <w:t xml:space="preserve">е № </w:t>
      </w:r>
      <w:r>
        <w:rPr>
          <w:rFonts w:cstheme="minorHAnsi"/>
          <w:sz w:val="18"/>
          <w:szCs w:val="18"/>
          <w:lang w:val="ru-RU"/>
        </w:rPr>
        <w:t xml:space="preserve">5 </w:t>
      </w:r>
      <w:r>
        <w:rPr>
          <w:rFonts w:cstheme="minorHAnsi"/>
          <w:sz w:val="18"/>
          <w:szCs w:val="18"/>
          <w:lang w:val="ru-RU"/>
        </w:rPr>
        <w:t xml:space="preserve">«</w:t>
      </w:r>
      <w:r>
        <w:rPr>
          <w:rFonts w:cstheme="minorHAnsi"/>
          <w:sz w:val="18"/>
          <w:szCs w:val="18"/>
          <w:lang w:val="ru-RU"/>
        </w:rPr>
        <w:t xml:space="preserve">Сведения о зонах деятельности региональных операторов по обращению с твердыми коммунальными отходами</w:t>
      </w:r>
      <w:r>
        <w:rPr>
          <w:rFonts w:cstheme="minorHAnsi"/>
          <w:sz w:val="18"/>
          <w:szCs w:val="18"/>
          <w:lang w:val="ru-RU"/>
        </w:rPr>
        <w:t xml:space="preserve">»</w:t>
      </w:r>
      <w:r>
        <w:rPr>
          <w:rFonts w:cstheme="minorHAnsi"/>
          <w:sz w:val="18"/>
          <w:szCs w:val="18"/>
          <w:lang w:val="ru-RU"/>
        </w:rPr>
        <w:t xml:space="preserve"> </w:t>
      </w:r>
      <w:r>
        <w:rPr>
          <w:rStyle w:val="1_34610"/>
          <w:rFonts w:cstheme="minorHAnsi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cstheme="minorHAnsi"/>
          <w:sz w:val="18"/>
          <w:szCs w:val="18"/>
        </w:rPr>
        <w:t xml:space="preserve">Камчатского края</w:t>
      </w:r>
      <w:r>
        <w:rPr>
          <w:rStyle w:val="1_34610"/>
          <w:rFonts w:cstheme="minorHAnsi"/>
          <w:sz w:val="18"/>
          <w:szCs w:val="18"/>
        </w:rPr>
        <w:t xml:space="preserve"> </w:t>
      </w:r>
      <w:r>
        <w:rPr>
          <w:rStyle w:val="1_34610"/>
          <w:rFonts w:cstheme="minorHAnsi"/>
          <w:sz w:val="18"/>
          <w:szCs w:val="18"/>
        </w:rPr>
        <w:t xml:space="preserve">с</w:t>
      </w:r>
      <w:r>
        <w:rPr>
          <w:rStyle w:val="1_34610"/>
          <w:rFonts w:cstheme="minorHAnsi"/>
          <w:sz w:val="18"/>
          <w:szCs w:val="18"/>
        </w:rPr>
        <w:t xml:space="preserve">огласно Постановления Правительства Российской Федерации № 775 от 06.06.2024 года</w:t>
      </w:r>
      <w:r>
        <w:rPr>
          <w:lang w:val="ru-RU"/>
        </w:rPr>
      </w:r>
      <w:r>
        <w:rPr>
          <w:lang w:val="ru-RU"/>
        </w:rPr>
      </w:r>
    </w:p>
  </w:footnote>
  <w:footnote w:id="9">
    <w:p>
      <w:pPr>
        <w:pStyle w:val="1_34612"/>
        <w:jc w:val="both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Style w:val="753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Приложени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е № 6 «Сведения об источниках образования твердых коммунальных отходов, в которых осуществляют деятельность потребители услуги по обращению с твердыми коммунальными отходами»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согласно Постановления Правительства Российской Федерации № 775 от 06.06.2024 года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</w:p>
  </w:footnote>
  <w:footnote w:id="10">
    <w:p>
      <w:pPr>
        <w:pStyle w:val="1_34612"/>
        <w:jc w:val="both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Style w:val="753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Приложени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е № 7 «Сведения о местах (площадках) накопления твердых коммунальных отходов»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Постановления Правительства Российской Федерации № 775 от 06.06.2024 года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</w:r>
    </w:p>
  </w:footnote>
  <w:footnote w:id="11">
    <w:p>
      <w:pPr>
        <w:pStyle w:val="787"/>
        <w:jc w:val="both"/>
        <w:rPr>
          <w:rFonts w:ascii="Times New Roman" w:hAnsi="Times New Roman" w:cs="Times New Roman" w:asciiTheme="minorHAnsi" w:hAnsiTheme="minorHAnsi" w:cstheme="minorHAnsi"/>
          <w:sz w:val="18"/>
          <w:szCs w:val="18"/>
        </w:rPr>
      </w:pPr>
      <w:r>
        <w:rPr>
          <w:rStyle w:val="753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Приложени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е № 8 Расчетные величины образования, обработки, утилизации, обезвреживания, размещения твердых коммунальных отходов, в том числе по зонам деятельности региональных операторов (РО) по обращению с твердыми коммунальными отходами»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я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П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остановления Правительства Российской Федерации № 775 от 06.06.2024 года</w:t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</w:footnote>
  <w:footnote w:id="12">
    <w:p>
      <w:pPr>
        <w:pStyle w:val="787"/>
        <w:jc w:val="both"/>
      </w:pPr>
      <w:r>
        <w:rPr>
          <w:rStyle w:val="753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Приложени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е № 9 «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Сведения о соглашениях об организации деятельности по обращению с твердыми коммунальными отходами с региональными операторами по обращению с твердыми коммунальными отходами на территории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»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 Территориальной схеме обращения с отходами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согласно Постановления Правительства Российской Федерации </w:t>
      </w:r>
      <w:r>
        <w:rPr>
          <w:rStyle w:val="1_34610"/>
          <w:rFonts w:cstheme="minorHAnsi"/>
          <w:sz w:val="18"/>
          <w:szCs w:val="18"/>
        </w:rPr>
        <w:t xml:space="preserve">№ 775 от 06.06.2024 года</w:t>
      </w:r>
      <w:r/>
      <w:r/>
    </w:p>
  </w:footnote>
  <w:footnote w:id="13">
    <w:p>
      <w:pPr>
        <w:pStyle w:val="787"/>
        <w:rPr>
          <w:sz w:val="18"/>
          <w:szCs w:val="18"/>
        </w:rPr>
      </w:pPr>
      <w:r>
        <w:rPr>
          <w:rStyle w:val="753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Приложение к текстовой части ТСОО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Style w:val="1_34610"/>
          <w:rFonts w:ascii="Times New Roman" w:hAnsi="Times New Roman" w:eastAsia="Times New Roman" w:cs="Times New Roman"/>
          <w:sz w:val="18"/>
          <w:szCs w:val="18"/>
        </w:rPr>
        <w:t xml:space="preserve">Камчатского края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bookmarkStart w:id="0" w:name="undefined"/>
      <w:r>
        <w:rPr>
          <w:rFonts w:ascii="Times New Roman" w:hAnsi="Times New Roman" w:eastAsia="Times New Roman" w:cs="Times New Roman"/>
          <w:sz w:val="18"/>
          <w:szCs w:val="18"/>
        </w:rPr>
        <w:t xml:space="preserve">«Сведения о прогнозных значениях предельных тарифов в области обращения с твердыми коммунальными отходами»</w:t>
      </w:r>
      <w:bookmarkEnd w:id="0"/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sz w:val="18"/>
          <w:szCs w:val="18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0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jc w:val="right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t xml:space="preserve">ПРОЕКТ</w:t>
    </w:r>
    <w:r>
      <w:rPr>
        <w:rFonts w:ascii="Times New Roman" w:hAnsi="Times New Roman" w:eastAsia="Times New Roman" w:cs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643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643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77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49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1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3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7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9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3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643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55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27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3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9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1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85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437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15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7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9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1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03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75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7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97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numStyleLink w:val="1_34622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numStyleLink w:val="1_34621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numStyleLink w:val="1_34620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91">
    <w:name w:val="No List"/>
    <w:uiPriority w:val="99"/>
    <w:semiHidden/>
    <w:unhideWhenUsed/>
  </w:style>
  <w:style w:type="paragraph" w:styleId="692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693">
    <w:name w:val="Heading 1"/>
    <w:uiPriority w:val="9"/>
    <w:qFormat/>
    <w:pPr>
      <w:jc w:val="left"/>
      <w:keepLines/>
      <w:keepNext/>
      <w:spacing w:before="480" w:beforeAutospacing="0" w:after="0" w:afterAutospacing="0" w:line="264" w:lineRule="auto"/>
      <w:widowControl/>
      <w:outlineLvl w:val="0"/>
    </w:pPr>
    <w:rPr>
      <w:rFonts w:ascii="Calibri Light" w:hAnsi="Calibri Light" w:eastAsia="Times New Roman" w:cs="Times New Roman" w:asciiTheme="majorAscii" w:hAnsiTheme="majorHAnsi"/>
      <w:b/>
      <w:color w:val="2e75b5" w:themeColor="accent1" w:themeShade="BF"/>
      <w:sz w:val="28"/>
      <w:szCs w:val="20"/>
      <w:lang w:val="ru-RU" w:eastAsia="zh-CN" w:bidi="ar-SA"/>
    </w:rPr>
  </w:style>
  <w:style w:type="paragraph" w:styleId="694">
    <w:name w:val="Heading 2"/>
    <w:uiPriority w:val="9"/>
    <w:qFormat/>
    <w:pPr>
      <w:jc w:val="left"/>
      <w:keepLines/>
      <w:keepNext/>
      <w:spacing w:before="200" w:beforeAutospacing="0" w:after="0" w:afterAutospacing="0" w:line="264" w:lineRule="auto"/>
      <w:widowControl/>
      <w:outlineLvl w:val="1"/>
    </w:pPr>
    <w:rPr>
      <w:rFonts w:ascii="Calibri Light" w:hAnsi="Calibri Light" w:eastAsia="Times New Roman" w:cs="Times New Roman" w:asciiTheme="majorAscii" w:hAnsiTheme="majorHAnsi"/>
      <w:b/>
      <w:color w:val="5b9bd5" w:themeColor="accent1"/>
      <w:sz w:val="26"/>
      <w:szCs w:val="20"/>
      <w:lang w:val="ru-RU" w:eastAsia="zh-CN" w:bidi="ar-SA"/>
    </w:rPr>
  </w:style>
  <w:style w:type="paragraph" w:styleId="695">
    <w:name w:val="Heading 3"/>
    <w:uiPriority w:val="9"/>
    <w:qFormat/>
    <w:pPr>
      <w:jc w:val="left"/>
      <w:keepLines/>
      <w:keepNext/>
      <w:spacing w:before="200" w:beforeAutospacing="0" w:after="0" w:afterAutospacing="0" w:line="264" w:lineRule="auto"/>
      <w:widowControl/>
      <w:outlineLvl w:val="2"/>
    </w:pPr>
    <w:rPr>
      <w:rFonts w:ascii="Calibri Light" w:hAnsi="Calibri Light" w:eastAsia="Times New Roman" w:cs="Times New Roman" w:asciiTheme="majorAscii" w:hAnsiTheme="majorHAnsi"/>
      <w:b/>
      <w:color w:val="5b9bd5" w:themeColor="accent1"/>
      <w:sz w:val="22"/>
      <w:szCs w:val="20"/>
      <w:lang w:val="ru-RU" w:eastAsia="zh-CN" w:bidi="ar-SA"/>
    </w:rPr>
  </w:style>
  <w:style w:type="paragraph" w:styleId="696">
    <w:name w:val="Heading 4"/>
    <w:uiPriority w:val="9"/>
    <w:qFormat/>
    <w:pPr>
      <w:jc w:val="left"/>
      <w:keepLines/>
      <w:keepNext/>
      <w:spacing w:before="200" w:beforeAutospacing="0" w:after="0" w:afterAutospacing="0" w:line="264" w:lineRule="auto"/>
      <w:widowControl/>
      <w:outlineLvl w:val="3"/>
    </w:pPr>
    <w:rPr>
      <w:rFonts w:ascii="Calibri Light" w:hAnsi="Calibri Light" w:eastAsia="Times New Roman" w:cs="Times New Roman" w:asciiTheme="majorAscii" w:hAnsiTheme="majorHAnsi"/>
      <w:b/>
      <w:i/>
      <w:color w:val="5b9bd5" w:themeColor="accent1"/>
      <w:sz w:val="22"/>
      <w:szCs w:val="20"/>
      <w:lang w:val="ru-RU" w:eastAsia="zh-CN" w:bidi="ar-SA"/>
    </w:rPr>
  </w:style>
  <w:style w:type="paragraph" w:styleId="697">
    <w:name w:val="Heading 5"/>
    <w:uiPriority w:val="9"/>
    <w:qFormat/>
    <w:pPr>
      <w:jc w:val="left"/>
      <w:keepLines/>
      <w:keepNext/>
      <w:spacing w:before="200" w:beforeAutospacing="0" w:after="0" w:afterAutospacing="0" w:line="264" w:lineRule="auto"/>
      <w:widowControl/>
      <w:outlineLvl w:val="4"/>
    </w:pPr>
    <w:rPr>
      <w:rFonts w:ascii="Calibri Light" w:hAnsi="Calibri Light" w:eastAsia="Times New Roman" w:cs="Times New Roman" w:asciiTheme="majorAscii" w:hAnsiTheme="majorHAnsi"/>
      <w:color w:val="1f4e79" w:themeColor="accent1" w:themeShade="7F"/>
      <w:sz w:val="22"/>
      <w:szCs w:val="20"/>
      <w:lang w:val="ru-RU" w:eastAsia="zh-CN" w:bidi="ar-SA"/>
    </w:rPr>
  </w:style>
  <w:style w:type="paragraph" w:styleId="698">
    <w:name w:val="Heading 6"/>
    <w:uiPriority w:val="9"/>
    <w:qFormat/>
    <w:pPr>
      <w:jc w:val="left"/>
      <w:keepLines/>
      <w:keepNext/>
      <w:spacing w:before="200" w:beforeAutospacing="0" w:after="0" w:afterAutospacing="0" w:line="264" w:lineRule="auto"/>
      <w:widowControl/>
      <w:outlineLvl w:val="5"/>
    </w:pPr>
    <w:rPr>
      <w:rFonts w:ascii="Calibri Light" w:hAnsi="Calibri Light" w:eastAsia="Times New Roman" w:cs="Times New Roman" w:asciiTheme="majorAscii" w:hAnsiTheme="majorHAnsi"/>
      <w:i/>
      <w:color w:val="1f4e79" w:themeColor="accent1" w:themeShade="7F"/>
      <w:sz w:val="22"/>
      <w:szCs w:val="20"/>
      <w:lang w:val="ru-RU" w:eastAsia="zh-CN" w:bidi="ar-SA"/>
    </w:rPr>
  </w:style>
  <w:style w:type="paragraph" w:styleId="699">
    <w:name w:val="Heading 7"/>
    <w:basedOn w:val="692"/>
    <w:next w:val="692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0">
    <w:name w:val="Heading 8"/>
    <w:basedOn w:val="692"/>
    <w:next w:val="692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1">
    <w:name w:val="Heading 9"/>
    <w:basedOn w:val="692"/>
    <w:next w:val="692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2">
    <w:name w:val="Heading 1 Char"/>
    <w:basedOn w:val="733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703">
    <w:name w:val="Heading 2 Char"/>
    <w:basedOn w:val="733"/>
    <w:uiPriority w:val="9"/>
    <w:qFormat/>
    <w:rPr>
      <w:rFonts w:ascii="Liberation Sans" w:hAnsi="Liberation Sans" w:eastAsia="Liberation Sans" w:cs="Liberation Sans"/>
      <w:sz w:val="34"/>
    </w:rPr>
  </w:style>
  <w:style w:type="character" w:styleId="704">
    <w:name w:val="Heading 3 Char"/>
    <w:basedOn w:val="733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705">
    <w:name w:val="Heading 4 Char"/>
    <w:basedOn w:val="733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6">
    <w:name w:val="Heading 5 Char"/>
    <w:basedOn w:val="733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7">
    <w:name w:val="Heading 6 Char"/>
    <w:basedOn w:val="733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8">
    <w:name w:val="Heading 7 Char"/>
    <w:basedOn w:val="733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9">
    <w:name w:val="Heading 8 Char"/>
    <w:basedOn w:val="733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0">
    <w:name w:val="Heading 9 Char"/>
    <w:basedOn w:val="733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1">
    <w:name w:val="Title Char"/>
    <w:basedOn w:val="733"/>
    <w:uiPriority w:val="10"/>
    <w:qFormat/>
    <w:rPr>
      <w:sz w:val="48"/>
      <w:szCs w:val="48"/>
    </w:rPr>
  </w:style>
  <w:style w:type="character" w:styleId="712">
    <w:name w:val="Subtitle Char"/>
    <w:basedOn w:val="733"/>
    <w:uiPriority w:val="11"/>
    <w:qFormat/>
    <w:rPr>
      <w:sz w:val="24"/>
      <w:szCs w:val="24"/>
    </w:rPr>
  </w:style>
  <w:style w:type="character" w:styleId="713">
    <w:name w:val="Quote Char"/>
    <w:link w:val="785"/>
    <w:uiPriority w:val="29"/>
    <w:qFormat/>
    <w:rPr>
      <w:i/>
    </w:rPr>
  </w:style>
  <w:style w:type="character" w:styleId="714">
    <w:name w:val="Intense Quote Char"/>
    <w:link w:val="786"/>
    <w:uiPriority w:val="30"/>
    <w:qFormat/>
    <w:rPr>
      <w:i/>
    </w:rPr>
  </w:style>
  <w:style w:type="character" w:styleId="715">
    <w:name w:val="Header Char"/>
    <w:basedOn w:val="733"/>
    <w:uiPriority w:val="99"/>
    <w:qFormat/>
  </w:style>
  <w:style w:type="character" w:styleId="716">
    <w:name w:val="Footer Char"/>
    <w:basedOn w:val="733"/>
    <w:uiPriority w:val="99"/>
    <w:qFormat/>
  </w:style>
  <w:style w:type="character" w:styleId="717">
    <w:name w:val="Caption Char"/>
    <w:basedOn w:val="733"/>
    <w:uiPriority w:val="35"/>
    <w:qFormat/>
    <w:rPr>
      <w:b/>
      <w:bCs/>
      <w:color w:val="4f81bd" w:themeColor="accent1"/>
      <w:sz w:val="18"/>
      <w:szCs w:val="18"/>
    </w:rPr>
  </w:style>
  <w:style w:type="character" w:styleId="718">
    <w:name w:val="Footnote Text Char"/>
    <w:uiPriority w:val="99"/>
    <w:qFormat/>
    <w:rPr>
      <w:sz w:val="18"/>
    </w:rPr>
  </w:style>
  <w:style w:type="character" w:styleId="719">
    <w:name w:val="Endnote Text Char"/>
    <w:uiPriority w:val="99"/>
    <w:qFormat/>
    <w:rPr>
      <w:sz w:val="20"/>
    </w:rPr>
  </w:style>
  <w:style w:type="character" w:styleId="720">
    <w:name w:val="Contents 2"/>
    <w:qFormat/>
    <w:rPr>
      <w:rFonts w:ascii="XO Thames" w:hAnsi="XO Thames"/>
      <w:sz w:val="28"/>
    </w:rPr>
  </w:style>
  <w:style w:type="character" w:styleId="721">
    <w:name w:val="Contents 4"/>
    <w:qFormat/>
    <w:rPr>
      <w:rFonts w:ascii="XO Thames" w:hAnsi="XO Thames"/>
      <w:sz w:val="28"/>
    </w:rPr>
  </w:style>
  <w:style w:type="character" w:styleId="722">
    <w:name w:val="Endnote"/>
    <w:link w:val="794"/>
    <w:qFormat/>
  </w:style>
  <w:style w:type="character" w:styleId="723">
    <w:name w:val="Contents 6"/>
    <w:qFormat/>
    <w:rPr>
      <w:rFonts w:ascii="XO Thames" w:hAnsi="XO Thames"/>
      <w:sz w:val="28"/>
    </w:rPr>
  </w:style>
  <w:style w:type="character" w:styleId="724">
    <w:name w:val="Standard"/>
    <w:link w:val="796"/>
    <w:qFormat/>
    <w:rPr>
      <w:sz w:val="28"/>
    </w:rPr>
  </w:style>
  <w:style w:type="character" w:styleId="725">
    <w:name w:val="Contents 7"/>
    <w:qFormat/>
    <w:rPr>
      <w:rFonts w:ascii="XO Thames" w:hAnsi="XO Thames"/>
      <w:sz w:val="28"/>
    </w:rPr>
  </w:style>
  <w:style w:type="character" w:styleId="726">
    <w:name w:val="Символ концевой сноски"/>
    <w:basedOn w:val="733"/>
    <w:qFormat/>
    <w:rPr>
      <w:vertAlign w:val="superscript"/>
    </w:rPr>
  </w:style>
  <w:style w:type="character" w:styleId="727">
    <w:name w:val="endnote reference"/>
    <w:rPr>
      <w:vertAlign w:val="superscript"/>
    </w:rPr>
  </w:style>
  <w:style w:type="character" w:styleId="728">
    <w:name w:val="annotation reference"/>
    <w:link w:val="799"/>
    <w:qFormat/>
    <w:rPr>
      <w:sz w:val="16"/>
    </w:rPr>
  </w:style>
  <w:style w:type="character" w:styleId="729">
    <w:name w:val="Heading 31"/>
    <w:qFormat/>
    <w:rPr>
      <w:rFonts w:ascii="Calibri Light" w:hAnsi="Calibri Light" w:asciiTheme="majorAscii" w:hAnsiTheme="majorHAnsi"/>
      <w:b/>
      <w:color w:val="5b9bd5" w:themeColor="accent1"/>
    </w:rPr>
  </w:style>
  <w:style w:type="character" w:styleId="730">
    <w:name w:val="Подзаголовок1"/>
    <w:link w:val="903"/>
    <w:qFormat/>
    <w:rPr>
      <w:i/>
    </w:rPr>
  </w:style>
  <w:style w:type="character" w:styleId="731">
    <w:name w:val="heading 4 1"/>
    <w:link w:val="800"/>
    <w:qFormat/>
    <w:rPr>
      <w:b/>
    </w:rPr>
  </w:style>
  <w:style w:type="character" w:styleId="732">
    <w:name w:val="Footer1"/>
    <w:qFormat/>
    <w:rPr>
      <w:rFonts w:ascii="Times New Roman" w:hAnsi="Times New Roman"/>
      <w:sz w:val="28"/>
    </w:rPr>
  </w:style>
  <w:style w:type="character" w:styleId="733" w:default="1">
    <w:name w:val="Default Paragraph Font"/>
    <w:link w:val="803"/>
    <w:qFormat/>
  </w:style>
  <w:style w:type="character" w:styleId="734">
    <w:name w:val="Normal 1"/>
    <w:link w:val="804"/>
    <w:qFormat/>
  </w:style>
  <w:style w:type="character" w:styleId="735">
    <w:name w:val="annotation subject"/>
    <w:basedOn w:val="754"/>
    <w:link w:val="805"/>
    <w:qFormat/>
    <w:rPr>
      <w:b/>
    </w:rPr>
  </w:style>
  <w:style w:type="character" w:styleId="736">
    <w:name w:val="Название1"/>
    <w:link w:val="904"/>
    <w:qFormat/>
    <w:rPr>
      <w:b/>
      <w:caps/>
      <w:sz w:val="40"/>
    </w:rPr>
  </w:style>
  <w:style w:type="character" w:styleId="737">
    <w:name w:val="Default Paragraph Font 1"/>
    <w:link w:val="807"/>
    <w:qFormat/>
  </w:style>
  <w:style w:type="character" w:styleId="738">
    <w:name w:val="! ТЗ Стиль __ТекстОсн_1и + Times New Roman 12 пт По ширине Первая стр..."/>
    <w:link w:val="808"/>
    <w:qFormat/>
    <w:rPr>
      <w:rFonts w:ascii="Times New Roman" w:hAnsi="Times New Roman"/>
      <w:sz w:val="24"/>
    </w:rPr>
  </w:style>
  <w:style w:type="character" w:styleId="739">
    <w:name w:val="Footnote"/>
    <w:link w:val="809"/>
    <w:qFormat/>
    <w:rPr>
      <w:rFonts w:ascii="Times New Roman" w:hAnsi="Times New Roman"/>
      <w:sz w:val="20"/>
    </w:rPr>
  </w:style>
  <w:style w:type="character" w:styleId="740">
    <w:name w:val="heading 5 1"/>
    <w:link w:val="810"/>
    <w:qFormat/>
    <w:rPr>
      <w:b/>
    </w:rPr>
  </w:style>
  <w:style w:type="character" w:styleId="741">
    <w:name w:val="Text body"/>
    <w:qFormat/>
    <w:rPr>
      <w:rFonts w:ascii="Times New Roman" w:hAnsi="Times New Roman"/>
      <w:sz w:val="24"/>
    </w:rPr>
  </w:style>
  <w:style w:type="character" w:styleId="742">
    <w:name w:val="No Spacing"/>
    <w:link w:val="811"/>
    <w:qFormat/>
    <w:rPr>
      <w:rFonts w:ascii="Times New Roman" w:hAnsi="Times New Roman"/>
      <w:sz w:val="20"/>
    </w:rPr>
  </w:style>
  <w:style w:type="character" w:styleId="743">
    <w:name w:val="header 1"/>
    <w:basedOn w:val="734"/>
    <w:link w:val="812"/>
    <w:qFormat/>
  </w:style>
  <w:style w:type="character" w:styleId="744">
    <w:name w:val="Contents 3"/>
    <w:qFormat/>
    <w:rPr>
      <w:rFonts w:ascii="XO Thames" w:hAnsi="XO Thames"/>
      <w:sz w:val="28"/>
    </w:rPr>
  </w:style>
  <w:style w:type="character" w:styleId="745">
    <w:name w:val="Contents 9"/>
    <w:link w:val="814"/>
    <w:qFormat/>
    <w:rPr>
      <w:sz w:val="28"/>
    </w:rPr>
  </w:style>
  <w:style w:type="character" w:styleId="746">
    <w:name w:val="footer 1"/>
    <w:basedOn w:val="734"/>
    <w:link w:val="815"/>
    <w:qFormat/>
  </w:style>
  <w:style w:type="character" w:styleId="747">
    <w:name w:val="Balloon Text"/>
    <w:link w:val="816"/>
    <w:qFormat/>
    <w:rPr>
      <w:rFonts w:ascii="Segoe UI" w:hAnsi="Segoe UI"/>
      <w:sz w:val="18"/>
    </w:rPr>
  </w:style>
  <w:style w:type="character" w:styleId="748">
    <w:name w:val="Contents 5"/>
    <w:link w:val="817"/>
    <w:qFormat/>
    <w:rPr>
      <w:sz w:val="28"/>
    </w:rPr>
  </w:style>
  <w:style w:type="character" w:styleId="749">
    <w:name w:val="heading 2 1"/>
    <w:link w:val="818"/>
    <w:qFormat/>
    <w:rPr>
      <w:b/>
      <w:sz w:val="28"/>
    </w:rPr>
  </w:style>
  <w:style w:type="character" w:styleId="750">
    <w:name w:val="Heading 51"/>
    <w:qFormat/>
    <w:rPr>
      <w:rFonts w:ascii="Calibri Light" w:hAnsi="Calibri Light" w:asciiTheme="majorAscii" w:hAnsiTheme="majorHAnsi"/>
      <w:color w:val="1f4e79" w:themeColor="accent1" w:themeShade="7F"/>
    </w:rPr>
  </w:style>
  <w:style w:type="character" w:styleId="751">
    <w:name w:val="Heading 11"/>
    <w:qFormat/>
    <w:rPr>
      <w:rFonts w:ascii="Calibri Light" w:hAnsi="Calibri Light" w:asciiTheme="majorAscii" w:hAnsiTheme="majorHAnsi"/>
      <w:b/>
      <w:color w:val="2e75b5" w:themeColor="accent1" w:themeShade="BF"/>
      <w:sz w:val="28"/>
    </w:rPr>
  </w:style>
  <w:style w:type="character" w:styleId="752">
    <w:name w:val="Символ сноски"/>
    <w:basedOn w:val="733"/>
    <w:qFormat/>
    <w:rPr>
      <w:vertAlign w:val="superscript"/>
    </w:rPr>
  </w:style>
  <w:style w:type="character" w:styleId="753">
    <w:name w:val="footnote reference"/>
    <w:rPr>
      <w:vertAlign w:val="superscript"/>
    </w:rPr>
  </w:style>
  <w:style w:type="character" w:styleId="754">
    <w:name w:val="Marginalia"/>
    <w:qFormat/>
    <w:rPr>
      <w:rFonts w:ascii="Times New Roman" w:hAnsi="Times New Roman"/>
      <w:sz w:val="20"/>
    </w:rPr>
  </w:style>
  <w:style w:type="character" w:styleId="755">
    <w:name w:val="Contents 31"/>
    <w:link w:val="820"/>
    <w:qFormat/>
    <w:rPr>
      <w:sz w:val="28"/>
    </w:rPr>
  </w:style>
  <w:style w:type="character" w:styleId="756">
    <w:name w:val="Hyperlink"/>
    <w:basedOn w:val="733"/>
    <w:rPr>
      <w:color w:val="0563c1" w:themeColor="hyperlink"/>
      <w:u w:val="single"/>
    </w:rPr>
  </w:style>
  <w:style w:type="character" w:styleId="757">
    <w:name w:val="Contents 1"/>
    <w:qFormat/>
    <w:rPr>
      <w:rFonts w:ascii="XO Thames" w:hAnsi="XO Thames"/>
      <w:b/>
      <w:sz w:val="28"/>
    </w:rPr>
  </w:style>
  <w:style w:type="character" w:styleId="758">
    <w:name w:val="Header and Footer"/>
    <w:link w:val="801"/>
    <w:qFormat/>
    <w:rPr>
      <w:sz w:val="28"/>
    </w:rPr>
  </w:style>
  <w:style w:type="character" w:styleId="759">
    <w:name w:val="Contents 91"/>
    <w:qFormat/>
    <w:rPr>
      <w:rFonts w:ascii="XO Thames" w:hAnsi="XO Thames"/>
      <w:sz w:val="28"/>
    </w:rPr>
  </w:style>
  <w:style w:type="character" w:styleId="760">
    <w:name w:val="Header1"/>
    <w:qFormat/>
  </w:style>
  <w:style w:type="character" w:styleId="761">
    <w:name w:val="heading 1 1"/>
    <w:link w:val="825"/>
    <w:qFormat/>
    <w:rPr>
      <w:b/>
      <w:sz w:val="32"/>
    </w:rPr>
  </w:style>
  <w:style w:type="character" w:styleId="762">
    <w:name w:val="Contents 21"/>
    <w:link w:val="826"/>
    <w:qFormat/>
    <w:rPr>
      <w:sz w:val="28"/>
    </w:rPr>
  </w:style>
  <w:style w:type="character" w:styleId="763">
    <w:name w:val="Plain Text"/>
    <w:link w:val="827"/>
    <w:qFormat/>
    <w:rPr>
      <w:rFonts w:ascii="Calibri" w:hAnsi="Calibri"/>
    </w:rPr>
  </w:style>
  <w:style w:type="character" w:styleId="764">
    <w:name w:val="Contents 71"/>
    <w:link w:val="828"/>
    <w:qFormat/>
    <w:rPr>
      <w:sz w:val="28"/>
    </w:rPr>
  </w:style>
  <w:style w:type="character" w:styleId="765">
    <w:name w:val="Internet link"/>
    <w:link w:val="829"/>
    <w:qFormat/>
    <w:rPr>
      <w:color w:val="0000ff"/>
      <w:u w:val="single"/>
    </w:rPr>
  </w:style>
  <w:style w:type="character" w:styleId="766">
    <w:name w:val="Contents 8"/>
    <w:qFormat/>
    <w:rPr>
      <w:rFonts w:ascii="XO Thames" w:hAnsi="XO Thames"/>
      <w:sz w:val="28"/>
    </w:rPr>
  </w:style>
  <w:style w:type="character" w:styleId="767">
    <w:name w:val="Contents 11"/>
    <w:link w:val="831"/>
    <w:qFormat/>
    <w:rPr>
      <w:b/>
      <w:sz w:val="28"/>
    </w:rPr>
  </w:style>
  <w:style w:type="character" w:styleId="768">
    <w:name w:val="Contents 51"/>
    <w:qFormat/>
    <w:rPr>
      <w:rFonts w:ascii="XO Thames" w:hAnsi="XO Thames"/>
      <w:sz w:val="28"/>
    </w:rPr>
  </w:style>
  <w:style w:type="character" w:styleId="769">
    <w:name w:val="heading 3 1"/>
    <w:link w:val="833"/>
    <w:qFormat/>
    <w:rPr>
      <w:b/>
      <w:sz w:val="26"/>
    </w:rPr>
  </w:style>
  <w:style w:type="character" w:styleId="770">
    <w:name w:val="Contents 61"/>
    <w:link w:val="834"/>
    <w:qFormat/>
    <w:rPr>
      <w:sz w:val="28"/>
    </w:rPr>
  </w:style>
  <w:style w:type="character" w:styleId="771">
    <w:name w:val="Subtitle1"/>
    <w:qFormat/>
    <w:rPr>
      <w:rFonts w:ascii="XO Thames" w:hAnsi="XO Thames"/>
      <w:i/>
      <w:sz w:val="24"/>
    </w:rPr>
  </w:style>
  <w:style w:type="character" w:styleId="772">
    <w:name w:val="Contents 41"/>
    <w:link w:val="836"/>
    <w:qFormat/>
    <w:rPr>
      <w:sz w:val="28"/>
    </w:rPr>
  </w:style>
  <w:style w:type="character" w:styleId="773">
    <w:name w:val="Contents 81"/>
    <w:link w:val="837"/>
    <w:qFormat/>
    <w:rPr>
      <w:sz w:val="28"/>
    </w:rPr>
  </w:style>
  <w:style w:type="character" w:styleId="774">
    <w:name w:val="HTML Code"/>
    <w:basedOn w:val="733"/>
    <w:link w:val="838"/>
    <w:qFormat/>
    <w:rPr>
      <w:rFonts w:ascii="Courier New" w:hAnsi="Courier New"/>
      <w:sz w:val="20"/>
    </w:rPr>
  </w:style>
  <w:style w:type="character" w:styleId="775">
    <w:name w:val="Title1"/>
    <w:qFormat/>
    <w:rPr>
      <w:rFonts w:ascii="XO Thames" w:hAnsi="XO Thames"/>
      <w:b/>
      <w:caps/>
      <w:sz w:val="40"/>
    </w:rPr>
  </w:style>
  <w:style w:type="character" w:styleId="776">
    <w:name w:val="Heading 41"/>
    <w:qFormat/>
    <w:rPr>
      <w:rFonts w:ascii="Calibri Light" w:hAnsi="Calibri Light" w:asciiTheme="majorAscii" w:hAnsiTheme="majorHAnsi"/>
      <w:b/>
      <w:i/>
      <w:color w:val="5b9bd5" w:themeColor="accent1"/>
    </w:rPr>
  </w:style>
  <w:style w:type="character" w:styleId="777">
    <w:name w:val="Heading 21"/>
    <w:qFormat/>
    <w:rPr>
      <w:rFonts w:ascii="Calibri Light" w:hAnsi="Calibri Light" w:asciiTheme="majorAscii" w:hAnsiTheme="majorHAnsi"/>
      <w:b/>
      <w:color w:val="5b9bd5" w:themeColor="accent1"/>
      <w:sz w:val="26"/>
    </w:rPr>
  </w:style>
  <w:style w:type="character" w:styleId="778">
    <w:name w:val="Heading 61"/>
    <w:qFormat/>
    <w:rPr>
      <w:rFonts w:ascii="Calibri Light" w:hAnsi="Calibri Light" w:asciiTheme="majorAscii" w:hAnsiTheme="majorHAnsi"/>
      <w:i/>
      <w:color w:val="1f4e79" w:themeColor="accent1" w:themeShade="7F"/>
    </w:rPr>
  </w:style>
  <w:style w:type="character" w:styleId="779">
    <w:name w:val="List Paragraph"/>
    <w:link w:val="840"/>
    <w:qFormat/>
    <w:rPr>
      <w:rFonts w:ascii="Times New Roman" w:hAnsi="Times New Roman"/>
      <w:sz w:val="20"/>
    </w:rPr>
  </w:style>
  <w:style w:type="paragraph" w:styleId="780">
    <w:name w:val="Заголовок"/>
    <w:basedOn w:val="692"/>
    <w:next w:val="781"/>
    <w:qFormat/>
    <w:pPr>
      <w:keepNext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781">
    <w:name w:val="Body Text"/>
    <w:basedOn w:val="692"/>
    <w:pPr>
      <w:spacing w:before="0" w:after="0" w:line="240" w:lineRule="auto"/>
      <w:widowControl w:val="off"/>
    </w:pPr>
    <w:rPr>
      <w:rFonts w:ascii="Times New Roman" w:hAnsi="Times New Roman"/>
      <w:sz w:val="24"/>
    </w:rPr>
  </w:style>
  <w:style w:type="paragraph" w:styleId="782">
    <w:name w:val="List"/>
    <w:basedOn w:val="781"/>
    <w:rPr>
      <w:rFonts w:cs="Droid Sans"/>
    </w:rPr>
  </w:style>
  <w:style w:type="paragraph" w:styleId="783">
    <w:name w:val="Caption"/>
    <w:basedOn w:val="692"/>
    <w:next w:val="692"/>
    <w:link w:val="7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84">
    <w:name w:val="Указатель"/>
    <w:basedOn w:val="692"/>
    <w:qFormat/>
    <w:pPr>
      <w:suppressLineNumbers/>
    </w:pPr>
    <w:rPr>
      <w:rFonts w:cs="Droid Sans"/>
    </w:rPr>
  </w:style>
  <w:style w:type="paragraph" w:styleId="785">
    <w:name w:val="Quote"/>
    <w:basedOn w:val="692"/>
    <w:next w:val="692"/>
    <w:link w:val="713"/>
    <w:uiPriority w:val="29"/>
    <w:qFormat/>
    <w:pPr>
      <w:ind w:left="720" w:right="720"/>
    </w:pPr>
    <w:rPr>
      <w:i/>
    </w:rPr>
  </w:style>
  <w:style w:type="paragraph" w:styleId="786">
    <w:name w:val="Intense Quote"/>
    <w:basedOn w:val="692"/>
    <w:next w:val="692"/>
    <w:link w:val="714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7">
    <w:name w:val="footnote text"/>
    <w:basedOn w:val="692"/>
    <w:link w:val="71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88">
    <w:name w:val="endnote text"/>
    <w:basedOn w:val="692"/>
    <w:link w:val="719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89">
    <w:name w:val="index heading"/>
    <w:basedOn w:val="780"/>
  </w:style>
  <w:style w:type="paragraph" w:styleId="790">
    <w:name w:val="TOC Heading"/>
    <w:uiPriority w:val="39"/>
    <w:unhideWhenUsed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91">
    <w:name w:val="table of figures"/>
    <w:basedOn w:val="692"/>
    <w:next w:val="692"/>
    <w:uiPriority w:val="99"/>
    <w:unhideWhenUsed/>
    <w:pPr>
      <w:spacing w:before="0" w:after="0" w:afterAutospacing="0"/>
    </w:pPr>
  </w:style>
  <w:style w:type="paragraph" w:styleId="792">
    <w:name w:val="toc 2"/>
    <w:next w:val="692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793">
    <w:name w:val="toc 4"/>
    <w:next w:val="692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794">
    <w:name w:val="Endnote1"/>
    <w:link w:val="722"/>
    <w:qFormat/>
    <w:pPr>
      <w:ind w:firstLine="851"/>
      <w:jc w:val="both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95">
    <w:name w:val="toc 6"/>
    <w:next w:val="692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796">
    <w:name w:val="Standard1"/>
    <w:link w:val="724"/>
    <w:qFormat/>
    <w:pPr>
      <w:jc w:val="both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797">
    <w:name w:val="toc 7"/>
    <w:next w:val="692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798">
    <w:name w:val="Endnote Symbol"/>
    <w:basedOn w:val="803"/>
    <w:qFormat/>
    <w:rPr>
      <w:vertAlign w:val="superscript"/>
    </w:rPr>
  </w:style>
  <w:style w:type="paragraph" w:styleId="799">
    <w:name w:val="annotation reference1"/>
    <w:link w:val="728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16"/>
      <w:szCs w:val="20"/>
      <w:lang w:val="ru-RU" w:eastAsia="zh-CN" w:bidi="ar-SA"/>
    </w:rPr>
  </w:style>
  <w:style w:type="paragraph" w:styleId="800">
    <w:name w:val="heading 4 11"/>
    <w:link w:val="731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Calibri" w:hAnsi="Calibri" w:eastAsia="Times New Roman" w:cs="Times New Roman" w:asciiTheme="minorAscii" w:hAnsiTheme="minorHAnsi"/>
      <w:b/>
      <w:color w:val="000000"/>
      <w:sz w:val="22"/>
      <w:szCs w:val="20"/>
      <w:lang w:val="ru-RU" w:eastAsia="zh-CN" w:bidi="ar-SA"/>
    </w:rPr>
  </w:style>
  <w:style w:type="paragraph" w:styleId="801">
    <w:name w:val="Header and Footer1"/>
    <w:link w:val="758"/>
    <w:qFormat/>
    <w:pPr>
      <w:jc w:val="both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02">
    <w:name w:val="Footer"/>
    <w:basedOn w:val="69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03">
    <w:name w:val="Default Paragraph Font1"/>
    <w:link w:val="733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04">
    <w:name w:val="Normal 11"/>
    <w:link w:val="734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05">
    <w:name w:val="annotation subject1"/>
    <w:basedOn w:val="806"/>
    <w:next w:val="806"/>
    <w:link w:val="735"/>
    <w:qFormat/>
    <w:rPr>
      <w:b/>
    </w:rPr>
  </w:style>
  <w:style w:type="paragraph" w:styleId="806">
    <w:name w:val="annotation text"/>
    <w:basedOn w:val="692"/>
    <w:pPr>
      <w:spacing w:before="0" w:after="0" w:line="240" w:lineRule="auto"/>
    </w:pPr>
    <w:rPr>
      <w:rFonts w:ascii="Times New Roman" w:hAnsi="Times New Roman"/>
      <w:sz w:val="20"/>
    </w:rPr>
  </w:style>
  <w:style w:type="paragraph" w:styleId="807">
    <w:name w:val="Default Paragraph Font 11"/>
    <w:link w:val="737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08">
    <w:name w:val="! ТЗ Стиль __ТекстОсн_1и + Times New Roman 12 пт По ширине Первая стр...1"/>
    <w:basedOn w:val="692"/>
    <w:link w:val="738"/>
    <w:qFormat/>
    <w:pPr>
      <w:ind w:firstLine="709"/>
      <w:jc w:val="both"/>
      <w:spacing w:before="60" w:after="60" w:line="360" w:lineRule="auto"/>
      <w:tabs>
        <w:tab w:val="clear" w:pos="708" w:leader="none"/>
        <w:tab w:val="left" w:pos="851" w:leader="none"/>
      </w:tabs>
    </w:pPr>
    <w:rPr>
      <w:rFonts w:ascii="Times New Roman" w:hAnsi="Times New Roman"/>
      <w:sz w:val="24"/>
    </w:rPr>
  </w:style>
  <w:style w:type="paragraph" w:styleId="809">
    <w:name w:val="Footnote1"/>
    <w:basedOn w:val="692"/>
    <w:link w:val="739"/>
    <w:qFormat/>
    <w:pPr>
      <w:spacing w:before="0" w:after="0" w:line="240" w:lineRule="auto"/>
    </w:pPr>
    <w:rPr>
      <w:rFonts w:ascii="Times New Roman" w:hAnsi="Times New Roman"/>
      <w:sz w:val="20"/>
    </w:rPr>
  </w:style>
  <w:style w:type="paragraph" w:styleId="810">
    <w:name w:val="heading 5 11"/>
    <w:link w:val="740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Calibri" w:hAnsi="Calibri" w:eastAsia="Times New Roman" w:cs="Times New Roman" w:asciiTheme="minorAscii" w:hAnsiTheme="minorHAnsi"/>
      <w:b/>
      <w:color w:val="000000"/>
      <w:sz w:val="22"/>
      <w:szCs w:val="20"/>
      <w:lang w:val="ru-RU" w:eastAsia="zh-CN" w:bidi="ar-SA"/>
    </w:rPr>
  </w:style>
  <w:style w:type="paragraph" w:styleId="811">
    <w:name w:val="No Spacing1"/>
    <w:link w:val="742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color w:val="000000"/>
      <w:sz w:val="20"/>
      <w:szCs w:val="20"/>
      <w:lang w:val="ru-RU" w:eastAsia="zh-CN" w:bidi="ar-SA"/>
    </w:rPr>
  </w:style>
  <w:style w:type="paragraph" w:styleId="812">
    <w:name w:val="header 11"/>
    <w:basedOn w:val="804"/>
    <w:link w:val="743"/>
    <w:qFormat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13">
    <w:name w:val="toc 3"/>
    <w:next w:val="692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4">
    <w:name w:val="Contents 92"/>
    <w:link w:val="745"/>
    <w:qFormat/>
    <w:pPr>
      <w:ind w:left="160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15">
    <w:name w:val="footer 11"/>
    <w:basedOn w:val="804"/>
    <w:link w:val="746"/>
    <w:qFormat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16">
    <w:name w:val="Balloon Text1"/>
    <w:basedOn w:val="692"/>
    <w:link w:val="747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17">
    <w:name w:val="Contents 52"/>
    <w:link w:val="748"/>
    <w:qFormat/>
    <w:pPr>
      <w:ind w:left="80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18">
    <w:name w:val="heading 2 11"/>
    <w:link w:val="74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Calibri" w:hAnsi="Calibri" w:eastAsia="Times New Roman" w:cs="Times New Roman" w:asciiTheme="minorAscii" w:hAnsiTheme="minorHAnsi"/>
      <w:b/>
      <w:color w:val="000000"/>
      <w:sz w:val="28"/>
      <w:szCs w:val="20"/>
      <w:lang w:val="ru-RU" w:eastAsia="zh-CN" w:bidi="ar-SA"/>
    </w:rPr>
  </w:style>
  <w:style w:type="paragraph" w:styleId="819">
    <w:name w:val="Footnote Symbol"/>
    <w:basedOn w:val="803"/>
    <w:qFormat/>
    <w:rPr>
      <w:vertAlign w:val="superscript"/>
    </w:rPr>
  </w:style>
  <w:style w:type="paragraph" w:styleId="820">
    <w:name w:val="Contents 32"/>
    <w:link w:val="755"/>
    <w:qFormat/>
    <w:pPr>
      <w:ind w:left="40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21">
    <w:name w:val="Internet link1"/>
    <w:basedOn w:val="803"/>
    <w:qFormat/>
    <w:rPr>
      <w:color w:val="0563c1" w:themeColor="hyperlink"/>
      <w:u w:val="single"/>
    </w:rPr>
  </w:style>
  <w:style w:type="paragraph" w:styleId="822">
    <w:name w:val="toc 1"/>
    <w:next w:val="692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23">
    <w:name w:val="toc 9"/>
    <w:next w:val="692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24">
    <w:name w:val="Header"/>
    <w:basedOn w:val="69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5">
    <w:name w:val="heading 1 11"/>
    <w:link w:val="761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Calibri" w:hAnsi="Calibri" w:eastAsia="Times New Roman" w:cs="Times New Roman" w:asciiTheme="minorAscii" w:hAnsiTheme="minorHAnsi"/>
      <w:b/>
      <w:color w:val="000000"/>
      <w:sz w:val="32"/>
      <w:szCs w:val="20"/>
      <w:lang w:val="ru-RU" w:eastAsia="zh-CN" w:bidi="ar-SA"/>
    </w:rPr>
  </w:style>
  <w:style w:type="paragraph" w:styleId="826">
    <w:name w:val="Contents 22"/>
    <w:link w:val="762"/>
    <w:qFormat/>
    <w:pPr>
      <w:ind w:left="20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27">
    <w:name w:val="Plain Text1"/>
    <w:basedOn w:val="692"/>
    <w:link w:val="763"/>
    <w:qFormat/>
    <w:pPr>
      <w:spacing w:before="0" w:after="0" w:line="240" w:lineRule="auto"/>
    </w:pPr>
    <w:rPr>
      <w:rFonts w:ascii="Calibri" w:hAnsi="Calibri"/>
    </w:rPr>
  </w:style>
  <w:style w:type="paragraph" w:styleId="828">
    <w:name w:val="Contents 72"/>
    <w:link w:val="764"/>
    <w:qFormat/>
    <w:pPr>
      <w:ind w:left="120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29">
    <w:name w:val="Internet link2"/>
    <w:link w:val="765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ar-SA"/>
    </w:rPr>
  </w:style>
  <w:style w:type="paragraph" w:styleId="830">
    <w:name w:val="toc 8"/>
    <w:next w:val="692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1">
    <w:name w:val="Contents 12"/>
    <w:link w:val="767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b/>
      <w:color w:val="000000"/>
      <w:sz w:val="28"/>
      <w:szCs w:val="20"/>
      <w:lang w:val="ru-RU" w:eastAsia="zh-CN" w:bidi="ar-SA"/>
    </w:rPr>
  </w:style>
  <w:style w:type="paragraph" w:styleId="832">
    <w:name w:val="toc 5"/>
    <w:next w:val="692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3">
    <w:name w:val="heading 3 11"/>
    <w:link w:val="76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Calibri" w:hAnsi="Calibri" w:eastAsia="Times New Roman" w:cs="Times New Roman" w:asciiTheme="minorAscii" w:hAnsiTheme="minorHAnsi"/>
      <w:b/>
      <w:color w:val="000000"/>
      <w:sz w:val="26"/>
      <w:szCs w:val="20"/>
      <w:lang w:val="ru-RU" w:eastAsia="zh-CN" w:bidi="ar-SA"/>
    </w:rPr>
  </w:style>
  <w:style w:type="paragraph" w:styleId="834">
    <w:name w:val="Contents 62"/>
    <w:link w:val="770"/>
    <w:qFormat/>
    <w:pPr>
      <w:ind w:left="100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35">
    <w:name w:val="Subtitle"/>
    <w:next w:val="692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36">
    <w:name w:val="Contents 42"/>
    <w:link w:val="772"/>
    <w:qFormat/>
    <w:pPr>
      <w:ind w:left="60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37">
    <w:name w:val="Contents 82"/>
    <w:link w:val="773"/>
    <w:qFormat/>
    <w:pPr>
      <w:ind w:left="1400"/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8"/>
      <w:szCs w:val="20"/>
      <w:lang w:val="ru-RU" w:eastAsia="zh-CN" w:bidi="ar-SA"/>
    </w:rPr>
  </w:style>
  <w:style w:type="paragraph" w:styleId="838">
    <w:name w:val="HTML Code1"/>
    <w:basedOn w:val="803"/>
    <w:link w:val="774"/>
    <w:qFormat/>
    <w:rPr>
      <w:rFonts w:ascii="Courier New" w:hAnsi="Courier New"/>
      <w:sz w:val="20"/>
    </w:rPr>
  </w:style>
  <w:style w:type="paragraph" w:styleId="839">
    <w:name w:val="Title"/>
    <w:next w:val="692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40">
    <w:name w:val="List Paragraph1"/>
    <w:basedOn w:val="692"/>
    <w:link w:val="779"/>
    <w:qFormat/>
    <w:pPr>
      <w:contextualSpacing/>
      <w:ind w:left="720"/>
      <w:spacing w:before="0" w:after="0" w:line="240" w:lineRule="auto"/>
    </w:pPr>
    <w:rPr>
      <w:rFonts w:ascii="Times New Roman" w:hAnsi="Times New Roman"/>
      <w:sz w:val="20"/>
    </w:rPr>
  </w:style>
  <w:style w:type="numbering" w:styleId="841" w:default="1">
    <w:name w:val="Без списка"/>
    <w:uiPriority w:val="99"/>
    <w:semiHidden/>
    <w:unhideWhenUsed/>
    <w:qFormat/>
  </w:style>
  <w:style w:type="table" w:styleId="842">
    <w:name w:val="Table Grid Light"/>
    <w:basedOn w:val="96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3">
    <w:name w:val="Plain Table 1"/>
    <w:basedOn w:val="96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4">
    <w:name w:val="Plain Table 2"/>
    <w:basedOn w:val="96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5">
    <w:name w:val="Plain Table 3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6">
    <w:name w:val="Plain Table 4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7">
    <w:name w:val="Plain Table 5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8">
    <w:name w:val="Grid Table 1 Light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>
    <w:name w:val="Grid Table 1 Light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>
    <w:name w:val="Grid Table 1 Light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>
    <w:name w:val="Grid Table 1 Light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>
    <w:name w:val="Grid Table 1 Light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>
    <w:name w:val="Grid Table 1 Light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>
    <w:name w:val="Grid Table 1 Light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>
    <w:name w:val="Grid Table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2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2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4"/>
    <w:basedOn w:val="9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70">
    <w:name w:val="Grid Table 4 - Accent 1"/>
    <w:basedOn w:val="9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71">
    <w:name w:val="Grid Table 4 - Accent 2"/>
    <w:basedOn w:val="9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72">
    <w:name w:val="Grid Table 4 - Accent 3"/>
    <w:basedOn w:val="9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73">
    <w:name w:val="Grid Table 4 - Accent 4"/>
    <w:basedOn w:val="9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74">
    <w:name w:val="Grid Table 4 - Accent 5"/>
    <w:basedOn w:val="9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75">
    <w:name w:val="Grid Table 4 - Accent 6"/>
    <w:basedOn w:val="9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76">
    <w:name w:val="Grid Table 5 Dark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77">
    <w:name w:val="Grid Table 5 Dark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878">
    <w:name w:val="Grid Table 5 Dark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880">
    <w:name w:val="Grid Table 5 Dark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881">
    <w:name w:val="Grid Table 5 Dark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882">
    <w:name w:val="Grid Table 5 Dark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883">
    <w:name w:val="Grid Table 6 Colorful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84">
    <w:name w:val="Grid Table 6 Colorful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885">
    <w:name w:val="Grid Table 6 Colorful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86">
    <w:name w:val="Grid Table 6 Colorful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887">
    <w:name w:val="Grid Table 6 Colorful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88">
    <w:name w:val="Grid Table 6 Colorful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89">
    <w:name w:val="Grid Table 6 Colorful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90">
    <w:name w:val="Grid Table 7 Colorful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7 Colorful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7 Colorful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1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2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3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4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1 Light - Accent 5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 - Accent 6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05">
    <w:name w:val="List Table 2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06">
    <w:name w:val="List Table 2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07">
    <w:name w:val="List Table 2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08">
    <w:name w:val="List Table 2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09">
    <w:name w:val="List Table 2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10">
    <w:name w:val="List Table 2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11">
    <w:name w:val="List Table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>
    <w:name w:val="List Table 3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>
    <w:name w:val="List Table 3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>
    <w:name w:val="List Table 3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>
    <w:name w:val="List Table 3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>
    <w:name w:val="List Table 3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>
    <w:name w:val="List Table 3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>
    <w:name w:val="List Table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>
    <w:name w:val="List Table 4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>
    <w:name w:val="List Table 4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>
    <w:name w:val="List Table 4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>
    <w:name w:val="List Table 4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>
    <w:name w:val="List Table 4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>
    <w:name w:val="List Table 4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>
    <w:name w:val="List Table 5 Dark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6">
    <w:name w:val="List Table 5 Dark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7">
    <w:name w:val="List Table 5 Dark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8">
    <w:name w:val="List Table 5 Dark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9">
    <w:name w:val="List Table 5 Dark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0">
    <w:name w:val="List Table 5 Dark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1">
    <w:name w:val="List Table 5 Dark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2">
    <w:name w:val="List Table 6 Colorful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3">
    <w:name w:val="List Table 6 Colorful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4">
    <w:name w:val="List Table 6 Colorful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35">
    <w:name w:val="List Table 6 Colorful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36">
    <w:name w:val="List Table 6 Colorful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37">
    <w:name w:val="List Table 6 Colorful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38">
    <w:name w:val="List Table 6 Colorful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39">
    <w:name w:val="List Table 7 Colorful"/>
    <w:basedOn w:val="9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40">
    <w:name w:val="List Table 7 Colorful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941">
    <w:name w:val="List Table 7 Colorful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942">
    <w:name w:val="List Table 7 Colorful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943">
    <w:name w:val="List Table 7 Colorful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944">
    <w:name w:val="List Table 7 Colorful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945">
    <w:name w:val="List Table 7 Colorful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946">
    <w:name w:val="Lined - Accent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47">
    <w:name w:val="Lined - Accent 1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48">
    <w:name w:val="Lined - Accent 2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49">
    <w:name w:val="Lined - Accent 3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50">
    <w:name w:val="Lined - Accent 4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51">
    <w:name w:val="Lined - Accent 5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52">
    <w:name w:val="Lined - Accent 6"/>
    <w:basedOn w:val="9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53">
    <w:name w:val="Bordered &amp; Lined - Accent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54">
    <w:name w:val="Bordered &amp; Lined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55">
    <w:name w:val="Bordered &amp; Lined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56">
    <w:name w:val="Bordered &amp; Lined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57">
    <w:name w:val="Bordered &amp; Lined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58">
    <w:name w:val="Bordered &amp; Lined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59">
    <w:name w:val="Bordered &amp; Lined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60">
    <w:name w:val="Bordered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61">
    <w:name w:val="Bordered - Accent 1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2">
    <w:name w:val="Bordered - Accent 2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63">
    <w:name w:val="Bordered - Accent 3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64">
    <w:name w:val="Bordered - Accent 4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65">
    <w:name w:val="Bordered - Accent 5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66">
    <w:name w:val="Bordered - Accent 6"/>
    <w:basedOn w:val="9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67">
    <w:name w:val="Normal Table 1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68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69">
    <w:name w:val="Сетка таблицы3"/>
    <w:basedOn w:val="96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0">
    <w:name w:val="Table Grid"/>
    <w:basedOn w:val="96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1">
    <w:name w:val="Сетка таблицы2"/>
    <w:basedOn w:val="96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2">
    <w:name w:val="Сетка таблицы1"/>
    <w:basedOn w:val="96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_34612" w:customStyle="1">
    <w:name w:val="Compact"/>
    <w:basedOn w:val="1143"/>
    <w:qFormat/>
    <w:pPr>
      <w:contextualSpacing w:val="0"/>
      <w:ind w:left="0" w:right="0" w:firstLine="0"/>
      <w:jc w:val="left"/>
      <w:keepLines w:val="0"/>
      <w:keepNext w:val="0"/>
      <w:pageBreakBefore w:val="0"/>
      <w:spacing w:before="36" w:beforeAutospacing="0" w:after="36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character" w:styleId="1_34610" w:customStyle="1">
    <w:name w:val="wmi-callto"/>
    <w:rPr>
      <w:lang w:val="ru-RU"/>
    </w:rPr>
  </w:style>
  <w:style w:type="numbering" w:styleId="1_34622" w:customStyle="1">
    <w:name w:val="Импортированный стиль 19"/>
    <w:pPr>
      <w:numPr>
        <w:ilvl w:val="0"/>
        <w:numId w:val="0"/>
      </w:numPr>
    </w:pPr>
  </w:style>
  <w:style w:type="numbering" w:styleId="1_34621" w:customStyle="1">
    <w:name w:val="Импортированный стиль 20"/>
    <w:pPr>
      <w:numPr>
        <w:ilvl w:val="0"/>
        <w:numId w:val="0"/>
      </w:numPr>
    </w:pPr>
  </w:style>
  <w:style w:type="numbering" w:styleId="1_34620" w:customStyle="1">
    <w:name w:val="Импортированный стиль 21"/>
    <w:pPr>
      <w:numPr>
        <w:ilvl w:val="0"/>
        <w:numId w:val="0"/>
      </w:numPr>
    </w:pPr>
  </w:style>
  <w:style w:type="paragraph" w:styleId="1_34617" w:customStyle="1">
    <w:name w:val="Normal (Web)"/>
    <w:basedOn w:val="110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_34616" w:customStyle="1">
    <w:name w:val="Heading #1|1"/>
    <w:basedOn w:val="1107"/>
    <w:link w:val="1168"/>
    <w:pPr>
      <w:contextualSpacing w:val="0"/>
      <w:ind w:left="500" w:right="0" w:firstLine="0"/>
      <w:jc w:val="left"/>
      <w:keepLines w:val="0"/>
      <w:keepNext w:val="0"/>
      <w:pageBreakBefore w:val="0"/>
      <w:spacing w:before="0" w:beforeAutospacing="0" w:after="240" w:afterAutospacing="0" w:line="240" w:lineRule="auto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Theme="minorHAnsi" w:hAnsiTheme="minorHAnsi" w:eastAsiaTheme="minorHAnsi" w:cstheme="minorBid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ru-RU" w:eastAsia="en-US" w:bidi="ar-SA"/>
      <w14:ligatures w14:val="standardContextual"/>
    </w:rPr>
  </w:style>
  <w:style w:type="paragraph" w:styleId="1_34618" w:customStyle="1">
    <w:name w:val="Основной текст (2)1"/>
    <w:basedOn w:val="1107"/>
    <w:link w:val="1182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60" w:beforeAutospacing="0" w:after="360" w:afterAutospacing="0" w:line="24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standardContextu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jpg"/><Relationship Id="rId13" Type="http://schemas.openxmlformats.org/officeDocument/2006/relationships/hyperlink" Target="https://login.consultant.ru/link/?req=doc&amp;base=LAW&amp;n=529662&amp;dst=306&amp;field=134&amp;date=01.10.2026" TargetMode="External"/><Relationship Id="rId14" Type="http://schemas.openxmlformats.org/officeDocument/2006/relationships/hyperlink" Target="https://login.consultant.ru/link/?req=doc&amp;base=LAW&amp;n=171262&amp;dst=100091&amp;field=134&amp;date=01.10.2026" TargetMode="External"/><Relationship Id="rId15" Type="http://schemas.openxmlformats.org/officeDocument/2006/relationships/hyperlink" Target="https://login.consultant.ru/link/?req=doc&amp;base=RLAW296&amp;n=221719&amp;dst=100012&amp;field=134&amp;date=01.10.2026" TargetMode="External"/><Relationship Id="rId16" Type="http://schemas.openxmlformats.org/officeDocument/2006/relationships/image" Target="media/image2.jpg"/><Relationship Id="rId17" Type="http://schemas.openxmlformats.org/officeDocument/2006/relationships/hyperlink" Target="https://obs-c.ru/public/?r=MbS1wcl%2B1wluoWub8WhMBQ%3D%3D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chugaevaen</cp:lastModifiedBy>
  <cp:revision>6</cp:revision>
  <dcterms:modified xsi:type="dcterms:W3CDTF">2026-10-01T03:21:56Z</dcterms:modified>
</cp:coreProperties>
</file>