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  <w:szCs w:val="28"/>
        </w:rPr>
      </w:pPr>
      <w:r>
        <w:rPr>
          <w:sz w:val="32"/>
          <w:szCs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МИНИСТЕРСТВО </w:t>
      </w:r>
      <w:r>
        <w:rPr>
          <w:b/>
          <w:sz w:val="28"/>
          <w:szCs w:val="28"/>
        </w:rPr>
        <w:t xml:space="preserve">ФИНАНСОВ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КАМЧАТСКОГО КРАЯ</w:t>
      </w:r>
      <w:r>
        <w:rPr>
          <w:b/>
          <w:sz w:val="28"/>
          <w:szCs w:val="28"/>
        </w:rPr>
      </w:r>
    </w:p>
    <w:p>
      <w:pPr>
        <w:jc w:val="center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</w:r>
      <w:r>
        <w:rPr>
          <w:sz w:val="20"/>
          <w:szCs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</w:pPr>
            <w:r/>
            <w:bookmarkStart w:id="0" w:name="REGNUMDATESTAMP"/>
            <w:r>
              <w:rPr>
                <w:color w:val="ffffff"/>
              </w:rPr>
              <w:t xml:space="preserve"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rPr>
                <w:u w:val="single"/>
              </w:rPr>
            </w:pPr>
            <w:r>
              <w:t xml:space="preserve">г. Петропавловск-Камчатский</w:t>
            </w:r>
            <w:r>
              <w:rPr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Style w:val="678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</w:t>
            </w:r>
            <w:r>
              <w:rPr>
                <w:b/>
                <w:sz w:val="28"/>
                <w:szCs w:val="28"/>
              </w:rPr>
              <w:t xml:space="preserve">я</w:t>
            </w:r>
            <w:r>
              <w:rPr>
                <w:b/>
                <w:sz w:val="28"/>
                <w:szCs w:val="28"/>
              </w:rPr>
              <w:t xml:space="preserve"> в </w:t>
            </w:r>
            <w:r>
              <w:rPr>
                <w:b/>
                <w:sz w:val="28"/>
                <w:szCs w:val="28"/>
              </w:rPr>
              <w:t xml:space="preserve">таблицу приложения</w:t>
            </w:r>
            <w:r>
              <w:rPr>
                <w:b/>
                <w:sz w:val="28"/>
                <w:szCs w:val="28"/>
              </w:rPr>
              <w:t xml:space="preserve"> к приказу Министерства финансов Камчатского края от 10.01.2014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№ 6 «Об утверждении перечня кодов подвидов по видам доходов, главными администраторами которых являются </w:t>
            </w:r>
            <w:r>
              <w:rPr>
                <w:b/>
                <w:sz w:val="28"/>
                <w:szCs w:val="28"/>
              </w:rPr>
              <w:t xml:space="preserve">исполнительные </w:t>
            </w:r>
            <w:r>
              <w:rPr>
                <w:b/>
                <w:sz w:val="28"/>
                <w:szCs w:val="28"/>
              </w:rPr>
              <w:t xml:space="preserve">органы Камчатского края и находящиеся в их ведении казенные учреждения»</w:t>
            </w:r>
            <w:r>
              <w:rPr>
                <w:b/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ПРИКАЗЫВАЮ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Внести в </w:t>
      </w:r>
      <w:r>
        <w:rPr>
          <w:bCs/>
          <w:sz w:val="28"/>
          <w:szCs w:val="28"/>
        </w:rPr>
        <w:t xml:space="preserve">таблицу приложения</w:t>
      </w:r>
      <w:r>
        <w:rPr>
          <w:bCs/>
          <w:sz w:val="28"/>
          <w:szCs w:val="28"/>
        </w:rPr>
        <w:t xml:space="preserve"> к приказу Министерства финансов Камчатского края </w:t>
      </w:r>
      <w:r>
        <w:rPr>
          <w:bCs/>
          <w:sz w:val="28"/>
          <w:szCs w:val="28"/>
        </w:rPr>
        <w:t xml:space="preserve">от 10.01.2014 </w:t>
      </w:r>
      <w:r>
        <w:rPr>
          <w:bCs/>
          <w:sz w:val="28"/>
          <w:szCs w:val="28"/>
        </w:rPr>
        <w:t xml:space="preserve">№</w:t>
      </w:r>
      <w:r>
        <w:rPr>
          <w:bCs/>
          <w:sz w:val="28"/>
          <w:szCs w:val="28"/>
        </w:rPr>
        <w:t xml:space="preserve"> 6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Об утверждении перечня кодов подвидов по видам доходов, главными администраторами которых являются </w:t>
      </w:r>
      <w:r>
        <w:rPr>
          <w:bCs/>
          <w:sz w:val="28"/>
          <w:szCs w:val="28"/>
        </w:rPr>
        <w:t xml:space="preserve">исполнительные </w:t>
      </w:r>
      <w:r>
        <w:rPr>
          <w:bCs/>
          <w:sz w:val="28"/>
          <w:szCs w:val="28"/>
        </w:rPr>
        <w:t xml:space="preserve">органы Камчатского края и находящиеся в их ведении казенные учреждения</w:t>
      </w:r>
      <w:r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изменени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, изложив строк</w:t>
      </w:r>
      <w:r>
        <w:rPr>
          <w:bCs/>
          <w:sz w:val="28"/>
          <w:szCs w:val="28"/>
        </w:rPr>
        <w:t xml:space="preserve">у</w:t>
      </w:r>
      <w:r>
        <w:rPr>
          <w:bCs/>
          <w:sz w:val="28"/>
          <w:szCs w:val="28"/>
        </w:rPr>
        <w:t xml:space="preserve"> 1</w:t>
      </w:r>
      <w:r>
        <w:rPr>
          <w:bCs/>
          <w:sz w:val="28"/>
          <w:szCs w:val="28"/>
        </w:rPr>
        <w:t xml:space="preserve"> в следующей редакции</w:t>
      </w:r>
      <w:bookmarkStart w:id="1" w:name="_GoBack"/>
      <w:r/>
      <w:bookmarkEnd w:id="1"/>
      <w:r>
        <w:rPr>
          <w:bCs/>
          <w:sz w:val="28"/>
          <w:szCs w:val="28"/>
        </w:rPr>
        <w:t xml:space="preserve">:</w:t>
      </w:r>
      <w:r>
        <w:rPr>
          <w:bCs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</w:r>
    </w:p>
    <w:tbl>
      <w:tblPr>
        <w:tblStyle w:val="678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831"/>
        <w:gridCol w:w="850"/>
        <w:gridCol w:w="4242"/>
      </w:tblGrid>
      <w:tr>
        <w:tblPrEx/>
        <w:trPr>
          <w:trHeight w:val="274"/>
        </w:trPr>
        <w:tc>
          <w:tcPr>
            <w:tcW w:w="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3831" w:type="dxa"/>
            <w:vAlign w:val="center"/>
            <w:vMerge w:val="restart"/>
            <w:textDirection w:val="lrTb"/>
            <w:noWrap w:val="false"/>
          </w:tcPr>
          <w:p>
            <w:pPr>
              <w:pStyle w:val="691"/>
              <w:jc w:val="both"/>
              <w:spacing w:before="0" w:beforeAutospacing="0" w:after="0" w:afterAutospacing="0" w:line="288" w:lineRule="atLeas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000 1 08 07082 01 0000 110 «Государственная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</w:t>
            </w:r>
            <w:r>
              <w:rPr>
                <w:sz w:val="28"/>
                <w:szCs w:val="28"/>
              </w:rPr>
              <w:t xml:space="preserve">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yellow"/>
              </w:rPr>
            </w:r>
          </w:p>
          <w:p>
            <w:pPr>
              <w:pStyle w:val="691"/>
              <w:jc w:val="both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424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сумма платежа (перерасчеты, недоимка и задолженность по соответствующему платежу, в том числе по отмененному)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W w:w="704" w:type="dxa"/>
            <w:vAlign w:val="center"/>
            <w:vMerge w:val="continue"/>
            <w:textDirection w:val="lrTb"/>
            <w:noWrap w:val="false"/>
          </w:tcPr>
          <w:p>
            <w:r/>
          </w:p>
        </w:tc>
        <w:tc>
          <w:tcPr>
            <w:shd w:val="clear" w:color="auto" w:fill="auto"/>
            <w:tcW w:w="3831" w:type="dxa"/>
            <w:vAlign w:val="center"/>
            <w:vMerge w:val="continue"/>
            <w:textDirection w:val="lrTb"/>
            <w:noWrap w:val="false"/>
          </w:tcPr>
          <w:p>
            <w:r/>
          </w:p>
        </w:tc>
        <w:tc>
          <w:tcPr>
            <w:shd w:val="clear" w:color="auto" w:fill="auto"/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242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лицензирование розничной продажи алкогольной продукции (за исключением лицензирования розничной продажи произведенной сельскохозяйственными производителями винодельческой продукции (вино, игристое вино) в рамках осуществления деятельности по производству, х</w:t>
            </w:r>
            <w:r>
              <w:rPr>
                <w:sz w:val="28"/>
                <w:szCs w:val="28"/>
              </w:rPr>
              <w:t xml:space="preserve">ранению, поставке и розничной продаже произведенной сельскохозяйственными производителями винодельческой продукции)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74"/>
        </w:trPr>
        <w:tc>
          <w:tcPr>
            <w:tcW w:w="70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3831" w:type="dxa"/>
            <w:vAlign w:val="center"/>
            <w:vMerge w:val="continue"/>
            <w:textDirection w:val="lrTb"/>
            <w:noWrap w:val="false"/>
          </w:tcPr>
          <w:p>
            <w:pPr>
              <w:pStyle w:val="691"/>
              <w:jc w:val="both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2002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242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лицензирование розничной торговли табачной продукцией и никотиносодержащей продукцией и развозной торговли табачной продукцией и никотиносодержащей продукцией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07"/>
        </w:trPr>
        <w:tc>
          <w:tcPr>
            <w:tcW w:w="704" w:type="dxa"/>
            <w:vAlign w:val="center"/>
            <w:vMerge w:val="continue"/>
            <w:textDirection w:val="lrTb"/>
            <w:noWrap w:val="false"/>
          </w:tcPr>
          <w:p>
            <w:r/>
          </w:p>
        </w:tc>
        <w:tc>
          <w:tcPr>
            <w:shd w:val="clear" w:color="ffffff" w:fill="ffffff"/>
            <w:tcW w:w="3831" w:type="dxa"/>
            <w:vAlign w:val="center"/>
            <w:vMerge w:val="continue"/>
            <w:textDirection w:val="lrTb"/>
            <w:noWrap w:val="false"/>
          </w:tcPr>
          <w:p>
            <w:r/>
          </w:p>
        </w:tc>
        <w:tc>
          <w:tcPr>
            <w:shd w:val="clear" w:color="ffffff" w:fill="ffffff"/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4000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424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прочие поступления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Настоящий приказ вступает в силу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дня </w:t>
      </w:r>
      <w:r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официального опубликования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W w:w="96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5"/>
        <w:gridCol w:w="4421"/>
        <w:gridCol w:w="2282"/>
      </w:tblGrid>
      <w:tr>
        <w:tblPrEx/>
        <w:trPr>
          <w:trHeight w:val="284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95" w:type="dxa"/>
            <w:textDirection w:val="lrTb"/>
            <w:noWrap w:val="false"/>
          </w:tcPr>
          <w:p>
            <w:pPr>
              <w:ind w:right="27"/>
            </w:pPr>
            <w:r>
              <w:rPr>
                <w:sz w:val="28"/>
              </w:rPr>
              <w:t xml:space="preserve">Министр</w:t>
            </w:r>
            <w:r>
              <w:rPr>
                <w:sz w:val="28"/>
              </w:rPr>
            </w:r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421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/>
            <w:bookmarkStart w:id="2" w:name="SIGNERSTAMP1"/>
            <w:r>
              <w:rPr>
                <w:color w:val="ffffff" w:themeColor="background1"/>
              </w:rPr>
              <w:t xml:space="preserve">[горизонтальный штамп подписи 1]</w:t>
            </w:r>
            <w:bookmarkEnd w:id="2"/>
            <w:r/>
            <w:r>
              <w:rPr>
                <w:color w:val="000000" w:themeColor="text1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82" w:type="dxa"/>
            <w:textDirection w:val="lrTb"/>
            <w:noWrap w:val="false"/>
          </w:tcPr>
          <w:p>
            <w:pPr>
              <w:jc w:val="right"/>
            </w:pPr>
            <w:r>
              <w:rPr>
                <w:sz w:val="28"/>
              </w:rPr>
              <w:t xml:space="preserve">А.Н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 xml:space="preserve">Бутылин</w:t>
            </w:r>
            <w:r/>
          </w:p>
        </w:tc>
      </w:tr>
    </w:tbl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567" w:footer="56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68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4"/>
    <w:next w:val="67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4"/>
    <w:next w:val="67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4"/>
    <w:next w:val="67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4"/>
    <w:next w:val="67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4"/>
    <w:next w:val="67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4"/>
    <w:next w:val="67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4"/>
    <w:next w:val="67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4"/>
    <w:next w:val="67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4"/>
    <w:next w:val="67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4"/>
    <w:next w:val="67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5"/>
    <w:link w:val="35"/>
    <w:uiPriority w:val="10"/>
    <w:rPr>
      <w:sz w:val="48"/>
      <w:szCs w:val="48"/>
    </w:rPr>
  </w:style>
  <w:style w:type="paragraph" w:styleId="37">
    <w:name w:val="Subtitle"/>
    <w:basedOn w:val="674"/>
    <w:next w:val="67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5"/>
    <w:link w:val="37"/>
    <w:uiPriority w:val="11"/>
    <w:rPr>
      <w:sz w:val="24"/>
      <w:szCs w:val="24"/>
    </w:rPr>
  </w:style>
  <w:style w:type="paragraph" w:styleId="39">
    <w:name w:val="Quote"/>
    <w:basedOn w:val="674"/>
    <w:next w:val="67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4"/>
    <w:next w:val="67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5"/>
    <w:link w:val="685"/>
    <w:uiPriority w:val="99"/>
  </w:style>
  <w:style w:type="character" w:styleId="46">
    <w:name w:val="Footer Char"/>
    <w:basedOn w:val="675"/>
    <w:link w:val="681"/>
    <w:uiPriority w:val="99"/>
  </w:style>
  <w:style w:type="paragraph" w:styleId="47">
    <w:name w:val="Caption"/>
    <w:basedOn w:val="674"/>
    <w:next w:val="67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7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5"/>
    <w:uiPriority w:val="99"/>
    <w:unhideWhenUsed/>
    <w:rPr>
      <w:vertAlign w:val="superscript"/>
    </w:rPr>
  </w:style>
  <w:style w:type="paragraph" w:styleId="179">
    <w:name w:val="endnote text"/>
    <w:basedOn w:val="67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5"/>
    <w:uiPriority w:val="99"/>
    <w:semiHidden/>
    <w:unhideWhenUsed/>
    <w:rPr>
      <w:vertAlign w:val="superscript"/>
    </w:rPr>
  </w:style>
  <w:style w:type="paragraph" w:styleId="182">
    <w:name w:val="toc 1"/>
    <w:basedOn w:val="674"/>
    <w:next w:val="67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4"/>
    <w:next w:val="67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4"/>
    <w:next w:val="67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4"/>
    <w:next w:val="67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4"/>
    <w:next w:val="67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4"/>
    <w:next w:val="67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4"/>
    <w:next w:val="67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4"/>
    <w:next w:val="67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4"/>
    <w:next w:val="67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4"/>
    <w:next w:val="674"/>
    <w:uiPriority w:val="99"/>
    <w:unhideWhenUsed/>
    <w:pPr>
      <w:spacing w:after="0" w:afterAutospacing="0"/>
    </w:pPr>
  </w:style>
  <w:style w:type="paragraph" w:styleId="67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table" w:styleId="678">
    <w:name w:val="Table Grid"/>
    <w:basedOn w:val="67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79">
    <w:name w:val="Plain Text"/>
    <w:basedOn w:val="674"/>
    <w:link w:val="680"/>
    <w:uiPriority w:val="99"/>
    <w:semiHidden/>
    <w:unhideWhenUsed/>
    <w:rPr>
      <w:rFonts w:ascii="Calibri" w:hAnsi="Calibri" w:eastAsia="Calibri"/>
      <w:szCs w:val="21"/>
    </w:rPr>
  </w:style>
  <w:style w:type="character" w:styleId="680" w:customStyle="1">
    <w:name w:val="Текст Знак"/>
    <w:basedOn w:val="675"/>
    <w:link w:val="679"/>
    <w:uiPriority w:val="99"/>
    <w:semiHidden/>
    <w:rPr>
      <w:rFonts w:ascii="Calibri" w:hAnsi="Calibri" w:eastAsia="Calibri" w:cs="Times New Roman"/>
      <w:szCs w:val="21"/>
    </w:rPr>
  </w:style>
  <w:style w:type="paragraph" w:styleId="681">
    <w:name w:val="Footer"/>
    <w:basedOn w:val="674"/>
    <w:link w:val="682"/>
    <w:uiPriority w:val="99"/>
    <w:pPr>
      <w:tabs>
        <w:tab w:val="center" w:pos="4677" w:leader="none"/>
        <w:tab w:val="right" w:pos="9355" w:leader="none"/>
      </w:tabs>
    </w:pPr>
    <w:rPr>
      <w:sz w:val="28"/>
      <w:szCs w:val="28"/>
    </w:rPr>
  </w:style>
  <w:style w:type="character" w:styleId="682" w:customStyle="1">
    <w:name w:val="Нижний колонтитул Знак"/>
    <w:basedOn w:val="675"/>
    <w:link w:val="681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683">
    <w:name w:val="Balloon Text"/>
    <w:basedOn w:val="674"/>
    <w:link w:val="68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84" w:customStyle="1">
    <w:name w:val="Текст выноски Знак"/>
    <w:basedOn w:val="675"/>
    <w:link w:val="683"/>
    <w:uiPriority w:val="99"/>
    <w:semiHidden/>
    <w:rPr>
      <w:rFonts w:ascii="Segoe UI" w:hAnsi="Segoe UI" w:cs="Segoe UI"/>
      <w:sz w:val="18"/>
      <w:szCs w:val="18"/>
    </w:rPr>
  </w:style>
  <w:style w:type="paragraph" w:styleId="685">
    <w:name w:val="Header"/>
    <w:basedOn w:val="674"/>
    <w:link w:val="686"/>
    <w:uiPriority w:val="99"/>
    <w:unhideWhenUsed/>
    <w:pPr>
      <w:tabs>
        <w:tab w:val="center" w:pos="4677" w:leader="none"/>
        <w:tab w:val="right" w:pos="9355" w:leader="none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686" w:customStyle="1">
    <w:name w:val="Верхний колонтитул Знак"/>
    <w:basedOn w:val="675"/>
    <w:link w:val="685"/>
    <w:uiPriority w:val="99"/>
  </w:style>
  <w:style w:type="character" w:styleId="687">
    <w:name w:val="Hyperlink"/>
    <w:basedOn w:val="675"/>
    <w:uiPriority w:val="99"/>
    <w:unhideWhenUsed/>
    <w:rPr>
      <w:color w:val="0563c1" w:themeColor="hyperlink"/>
      <w:u w:val="single"/>
    </w:rPr>
  </w:style>
  <w:style w:type="table" w:styleId="688" w:customStyle="1">
    <w:name w:val="Сетка таблицы1"/>
    <w:basedOn w:val="676"/>
    <w:next w:val="678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89" w:customStyle="1">
    <w:name w:val="Сетка таблицы2"/>
    <w:basedOn w:val="676"/>
    <w:next w:val="678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0">
    <w:name w:val="List Paragraph"/>
    <w:basedOn w:val="674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691">
    <w:name w:val="Normal (Web)"/>
    <w:basedOn w:val="674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A683-0623-4C0E-848A-F1372CEF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kardashas</cp:lastModifiedBy>
  <cp:revision>76</cp:revision>
  <dcterms:created xsi:type="dcterms:W3CDTF">2024-08-11T21:38:00Z</dcterms:created>
  <dcterms:modified xsi:type="dcterms:W3CDTF">2026-09-30T21:55:27Z</dcterms:modified>
</cp:coreProperties>
</file>