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приложение к постановлению Правительства Камчатского края от 08.08.2016 № 311-П «Об утверждении Примерного положения о системе оплаты труда работников краевых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 xml:space="preserve">государственных учреждений, подведомственных Администрации Губернатора Камчатского края»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Внести в приложение к постановлению Правительства Камчатского края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от 08.08.2016 № 311-П «Об утверждении Примерного положения о системе оплаты труда работников краевых государственных учреждений, подведомственных Администрации Губернатора Камчатского края» изменения согласно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приложению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к настоящему постановлению.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 xml:space="preserve">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2"/>
        <w:gridCol w:w="3260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862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260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tabs>
                <w:tab w:val="left" w:pos="705" w:leader="none"/>
              </w:tabs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jc w:val="right"/>
              <w:spacing w:after="0" w:line="240" w:lineRule="auto"/>
              <w:tabs>
                <w:tab w:val="left" w:pos="705" w:leader="none"/>
              </w:tabs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tbl>
      <w:tblPr>
        <w:tblStyle w:val="941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 w:type="page" w:clear="all"/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highlight w:val="yellow"/>
        </w:rPr>
        <w:t xml:space="preserve">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 w:eastAsia="Calibr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Изменения</w:t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</w: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eastAsia="Calibri"/>
          <w:color w:val="auto"/>
          <w:sz w:val="28"/>
          <w:szCs w:val="28"/>
          <w:lang w:eastAsia="en-US"/>
        </w:rPr>
        <w:t xml:space="preserve">в приложение к постановлению </w:t>
      </w:r>
      <w:r>
        <w:rPr>
          <w:rFonts w:ascii="Times New Roman" w:hAnsi="Times New Roman" w:eastAsia="Calibri"/>
          <w:bCs/>
          <w:color w:val="auto"/>
          <w:sz w:val="28"/>
          <w:szCs w:val="28"/>
          <w:lang w:eastAsia="en-US"/>
        </w:rPr>
        <w:t xml:space="preserve">Правительства Камчатского края от 08.08.2016                  № 311-П «Об утверждении Примерного положения о системе оплаты труда работников краевых государственных учреждений, подведомственных Администрации Губернатора Камчатского края»</w:t>
      </w:r>
      <w:r>
        <w:rPr>
          <w:rFonts w:ascii="Times New Roman" w:hAnsi="Times New Roman"/>
          <w:color w:val="auto"/>
          <w:sz w:val="24"/>
          <w:szCs w:val="24"/>
        </w:rPr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both"/>
        <w:spacing w:after="0" w:line="240" w:lineRule="auto"/>
        <w:tabs>
          <w:tab w:val="left" w:pos="6663" w:leader="none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/>
        <w:ind w:left="72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left="720"/>
        <w:jc w:val="both"/>
        <w:keepLines/>
        <w:keepNext/>
        <w:spacing w:after="0" w:line="240" w:lineRule="auto"/>
        <w:rPr>
          <w:rFonts w:ascii="Times New Roman" w:hAnsi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части 1: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contextualSpacing w:val="0"/>
        <w:ind w:left="709" w:right="0" w:firstLine="0"/>
        <w:jc w:val="both"/>
        <w:keepLines/>
        <w:keepNext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</w:rPr>
        <w:t xml:space="preserve">1) пункт 1 изложить в следующей редакции: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порядок и условия оплаты труда работников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краевых государственных учреждений, п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одведомственных Администрации Губер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натора Камчатского края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(далее соответственно – работники учреждения, учреждения, Администрация)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том числе: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 подпункт «а» пункта 1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рекомендуемые размеры окладов (должностных окладов) работников  учреждений, занимающих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 основе профессиональных квалификационных групп (далее – ПКГ) д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олжности служащих, профессии рабочих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В абзаце втором части 10 слова «приказом Администрации Губернатора Камчатского края (далее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дминистрация)» заменить словами «приказом Администрации».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3. Раздел 2 изложить в следующей редакции: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keepLines/>
        <w:keepNext/>
        <w:spacing w:line="240" w:lineRule="auto"/>
        <w:rPr>
          <w:rFonts w:ascii="Times New Roman" w:hAnsi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bCs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«2. Порядок и условия оплаты труда работников учреждений,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занимающих по ПКГ должности служащих,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  <w:t xml:space="preserve">профессии рабочих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4. Рекомендуемые размеры окладов (должностных окладов) работников учреждений, осуществляющих деятельность по видам экономической деятельности «Деятельность гостиниц и прочих мест для временного проживания», «Деятельность по организации конференций и выстав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к», устанавливаются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 основе отнесения занимаемых ими должностей к ПКГ, утвержденным: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 приказом Министерства здравоохранения и социального развития Российской Федерации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247н «Об утверждении профессиональных квалификаци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онных групп общеотраслевых должностей руководителей, специалистов и служащих»: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59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ind w:left="0" w:right="16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59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6196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6809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7495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8988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10264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10790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11224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третьего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9616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10684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11224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11748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12924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00" w:beforeAutospacing="1"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четвертого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14219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15640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17203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1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248н «Об утверждении профессиональных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квалификационных групп общеотраслевых профессий рабочих»: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59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59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firstLine="363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ind w:hanging="1303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                        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5399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5957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7056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7423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7981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8677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5. Рекомендуемые размеры окладов (должностных окладов) работников учреждений, осуществляющих деятельность по виду экономической деятельности «Деятельность органов государственной власти субъектов Российской Федерации (республик, краев, областей), кроме суд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бной власти, представительств исполнительных органов государственной власти субъектов Российской Федерации при Президенте Российской Федерации», «Образование профессиональное дополнительное» устанавливаются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 на основе отнесения занимаемых ими должностей к 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КГ, утвержденным: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 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247н «Об утверждении профессиональных квалификационных групп общеотраслевых должностей руково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дителей, специалистов и служащих»: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59"/>
        <w:gridCol w:w="2550"/>
      </w:tblGrid>
      <w:tr>
        <w:tblPrEx/>
        <w:trPr>
          <w:jc w:val="center"/>
          <w:trHeight w:val="11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400" w:firstRow="0" w:lastRow="0" w:firstColumn="0" w:lastColumn="0" w:noHBand="0" w:noVBand="1"/>
      </w:tblPr>
      <w:tblGrid>
        <w:gridCol w:w="629"/>
        <w:gridCol w:w="3196"/>
        <w:gridCol w:w="3260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8945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18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9505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9922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18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10482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11039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1160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12228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третьего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13457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14205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15701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16745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17944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четвертого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20931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26612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32892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2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 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248н «Об утверждении профессиональных квалификационных групп общеотраслевых профессий рабочих»: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60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60"/>
        <w:gridCol w:w="2550"/>
      </w:tblGrid>
      <w:tr>
        <w:tblPrEx/>
        <w:trPr>
          <w:jc w:val="center"/>
          <w:trHeight w:val="28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13834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14533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00" w:beforeAutospacing="1" w:after="100" w:afterAutospacing="1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16064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16866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17709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18597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6. Рекомендуемые размеры окладов (должностных окладов) работников учреждений, осуществляющих деятельность по виду экономической деятельности «Перевозки пассажиров сухопутным транспортом нерегулярные», устанавливаются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 на основе отнесения занимаемых ими долж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ностей к ПКГ, утвержденным: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keepLines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247н «Об утверждении профессиональных квалификационных групп общеотраслевых должностей руководителей, специалистов и служащих»: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60"/>
        <w:gridCol w:w="2550"/>
      </w:tblGrid>
      <w:tr>
        <w:tblPrEx/>
        <w:trPr>
          <w:cantSplit/>
          <w:jc w:val="center"/>
          <w:trHeight w:val="826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60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15268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15494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15833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  <w:lang w:val="en-US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  <w:lang w:val="en-US"/>
              </w:rPr>
            </w:r>
          </w:p>
        </w:tc>
      </w:tr>
      <w:tr>
        <w:tblPrEx/>
        <w:trPr>
          <w:jc w:val="center"/>
          <w:trHeight w:val="22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18095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10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23749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24880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26011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третьего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26577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26803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27142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27482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5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27707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четвертого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27707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49194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50890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06.08.2007 № 526 «Об утверждении профессиональных квалификационных групп должностей медицинских и фармацевтических работников»: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8" w:type="dxa"/>
        <w:tblInd w:w="-1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3260"/>
        <w:gridCol w:w="255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«Средний медицинский и фармацевтический персонал»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19791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2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248н «Об утверждении профессиональных квалификационных групп общеотраслевых профессий рабочих»: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29"/>
        <w:gridCol w:w="3196"/>
        <w:gridCol w:w="3260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6" w:type="dxa"/>
        <w:jc w:val="center"/>
        <w:tblInd w:w="-2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631"/>
        <w:gridCol w:w="3195"/>
        <w:gridCol w:w="3260"/>
        <w:gridCol w:w="2551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15833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16964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18095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3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19225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3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1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20356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21487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7. Рекомендуемые размеры окладов (должностных окладов) работников учреждений, осуществляющих деятельность по видам экономической деятельности «Деятельность центров обработки телефонных вызовов», устанавливаются на основе отнесения занимаемых ими должностей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 ПКГ, утвержденным: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приказом Министерства здравоохранения и социального развития Российской Федерации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247н «Об утверждении профессиональных квалификационных групп общеотраслевых должностей руководителей, специалистов и служащих»: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03" w:type="dxa"/>
        <w:jc w:val="center"/>
        <w:tblInd w:w="493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9"/>
        <w:gridCol w:w="6343"/>
        <w:gridCol w:w="2551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04" w:type="dxa"/>
        <w:jc w:val="center"/>
        <w:tblInd w:w="526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9"/>
        <w:gridCol w:w="6344"/>
        <w:gridCol w:w="2551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3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725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5226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второго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5800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9865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третьего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7059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11491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четвертого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11491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13937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18.07.2008 № 342н «Об утверждении профессиональных квалификационных групп должностей работников печатных средств массовой информации»: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576" w:type="dxa"/>
        <w:jc w:val="center"/>
        <w:tblInd w:w="58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9"/>
        <w:gridCol w:w="3087"/>
        <w:gridCol w:w="3260"/>
        <w:gridCol w:w="2521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585" w:type="dxa"/>
        <w:jc w:val="center"/>
        <w:tblInd w:w="49" w:type="dxa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9"/>
        <w:gridCol w:w="6351"/>
        <w:gridCol w:w="2525"/>
      </w:tblGrid>
      <w:tr>
        <w:tblPrEx/>
        <w:trPr>
          <w:jc w:val="center"/>
          <w:trHeight w:val="25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left="12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51" w:type="dxa"/>
            <w:vAlign w:val="center"/>
            <w:textDirection w:val="lrTb"/>
            <w:noWrap w:val="false"/>
          </w:tcPr>
          <w:p>
            <w:pPr>
              <w:ind w:left="12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третьего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7059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11491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18.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Рекомендуемые размеры окладов (должностных окладов) работников учреждений, осуществляющих деятельность по видам экономической деятельности «Деятельность в области исполнительских искусств», «Деятельность вспомогательная, связанная с исполнительскими иск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усствами», устанавливаются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 основе отнесения занимаемых ими должностей к ПКГ, утвержденным: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247н «Об утверждении профессиональных квалификационных групп общеотраслевых должностей руководителей, специалистов и служащих»: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  <w:trHeight w:val="264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  <w:trHeight w:val="5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ind w:left="12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ind w:left="120"/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должности служащих четвертого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35312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31.08.2007 № 570 «Об утверждении профессиональных квалификационных групп должностей работников культуры, искусства и кинематографии»: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6378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6378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12428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2662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«Должности руководящего состава учреждений культуры, искусства и кинематографии»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897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–2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2332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14.03.2008 № 121н «Об утверждении профессиональных квалификационных групп профессий рабочих культуры, искусства и кинематографии»: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Должности служащих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«Профессии рабочих культуры, искусства и кинематографии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Костюмер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11401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20"/>
        <w:jc w:val="both"/>
        <w:spacing w:after="0" w:line="240" w:lineRule="auto"/>
        <w:tabs>
          <w:tab w:val="right" w:pos="9637" w:leader="none"/>
        </w:tabs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приказом Министерства здравоохранения и социального развития Российской Федерации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29.05.2008 № 248н «Об утверждении профессиональных квалификац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ионных групп общеотраслевых профессий рабочих»: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п/п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Профессиональная квалификационная группа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Рекомендуемые размеры окладов (должностных окладов), рублей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auto"/>
          <w:sz w:val="2"/>
          <w:szCs w:val="2"/>
          <w:highlight w:val="white"/>
        </w:rPr>
      </w:pP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  <w:r>
        <w:rPr>
          <w:rFonts w:ascii="Times New Roman" w:hAnsi="Times New Roman"/>
          <w:color w:val="auto"/>
          <w:sz w:val="2"/>
          <w:szCs w:val="2"/>
          <w:highlight w:val="white"/>
        </w:rPr>
      </w:r>
    </w:p>
    <w:tbl>
      <w:tblPr>
        <w:tblW w:w="9634" w:type="dxa"/>
        <w:jc w:val="center"/>
        <w:tblLayout w:type="fixed"/>
        <w:tblCellMar>
          <w:left w:w="62" w:type="dxa"/>
          <w:top w:w="28" w:type="dxa"/>
          <w:right w:w="62" w:type="dxa"/>
          <w:bottom w:w="28" w:type="dxa"/>
        </w:tblCellMar>
        <w:tblLook w:val="0000" w:firstRow="0" w:lastRow="0" w:firstColumn="0" w:lastColumn="0" w:noHBand="0" w:noVBand="0"/>
      </w:tblPr>
      <w:tblGrid>
        <w:gridCol w:w="706"/>
        <w:gridCol w:w="3119"/>
        <w:gridCol w:w="3260"/>
        <w:gridCol w:w="2550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1.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«Общеотраслевые профессии рабочих первого уровня»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 xml:space="preserve">1 квалификационный уровень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  <w:lang w:val="en-US"/>
              </w:rPr>
              <w:t xml:space="preserve">5142</w:t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2"/>
                <w:szCs w:val="22"/>
                <w:highlight w:val="white"/>
              </w:rPr>
            </w:r>
          </w:p>
        </w:tc>
      </w:tr>
    </w:tbl>
    <w:p>
      <w:pPr>
        <w:contextualSpacing/>
        <w:ind w:left="0" w:right="0" w:firstLine="709"/>
        <w:jc w:val="both"/>
        <w:spacing w:line="240" w:lineRule="auto"/>
        <w:rPr>
          <w:highlight w:val="white"/>
        </w:rPr>
      </w:pPr>
      <w:r>
        <w:rPr>
          <w:szCs w:val="28"/>
          <w:highlight w:val="white"/>
          <w:lang w:val="en-US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19.  По иным должностям служащих, профессиям рабочих, не вошедших в ПКГ, размеры окладов (должностных окладов) работникам учреждений устанавливаются по решению руководителя учреждения.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20.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Оклад (должностной оклад) заместителя начальника отдела учреждения, за исключением оклада (должностного оклада) заместителя главного бухгалтера, устанавливается на 10 процентов ниже оклада (должностного оклада) начальника отдела учреждения.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».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keepLines w:val="0"/>
        <w:keepNext w:val="0"/>
        <w:spacing w:line="240" w:lineRule="auto"/>
        <w:widowControl w:val="off"/>
        <w:rPr>
          <w:rFonts w:ascii="Times New Roman" w:hAnsi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Раздел 3 изложить в следующей редакции: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0"/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0"/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орядок и условия предоставления выпла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0"/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стимулирующего характера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21. С целью стимулирования труда работников в зависимости от результатов и качества работы, а также их заинтересованности в эффективном функционировании структурных показателей и учреждения в целом, 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аботникам учреждений могут устанавливаться следующие выплаты стимулирующего характера: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персональный повышающий коэффициент к окладу (должностному окладу);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повышающий коэффициент к окладу (должностному окладу) за выслугу лет;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повышающий коэффициент к окладу (должностному окладу) за интенсивность и качество работы;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ыплата за стаж непрерывной работы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 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ыплата за наличие ученой степени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овышающий коэффициент к окладу (должностному окладу) за присвоенную квалификационную категорию (классность)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7)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ыплата за наставничество в сфере труда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22. Повышающие коэффициенты к окладу (должностному окладу) носят стимулирующий характер и устанавливаются на определенный период времени в течение календарного года.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23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Решение об установлении повышающих коэффициентов к окладу (должностному окладу) принимается руководителем учреждения в пределах фонда оплаты труда, установленного учреждению Администрацией в пределах бюджетных ассигнований, предусмотренных на указанные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цели законом Камчатского края о краевом бюджете на соответствующий финансовый год.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Размер выплат по повышающему коэффициенту к окладу (должностному окладу) определяется путем умножения размера оклада (должностного оклада) работника учреждения на повышающий коэффициент.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24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Персональный повышающий коэффициент к окладу (должностному окладу) может быть установлен работнику учреждения с учетом уровня его профессиональной подготовки, сложности, важности выполняемой работы, степени самостоятельности и ответственности при выполн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ении поставленных задач и других факторов.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25.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Решение об установлении персонального повышающего коэффициента к окладу (должностному окладу) и его размере принимается руководителем учреждения индивидуально в отношении конкретного работника учреждения.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екомендуемый предельный размер персонального повышающего коэффициента к окладу для учреждений, осуществляющих деятельность по видам экономической деятельности «Деятельность гостиниц и прочих мест для временного проживания», «Деятельность по организации кон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ф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еренций и выставок», «Деятельность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 Российской Федерации», «Деятельность в области исполнительских искусств», «Деятельность вспомогательная, связанная с исполнительскими искусствами» , «Деятельность центров обработки телефонных вызовов», «Образование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профессиональное дополнительное» – 3; Для учреждений, осуществляющих деятельность по видам экономической деятельности «Перевозки пассажиров сухопутным транспортом нерегулярные» – не устанавливается;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26.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Применение персонального повышающего коэффициента к окладу (должностному окладу) не образует новый оклад и не учитывается при начислении иных стимулирующих и компенсационных выплат, устанавливаемых в процентном отношении к окладу (должностному окладу).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27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Повышающий коэффициент к окладу (должностному окладу) за выслугу лет устанавливается руководителем учреждения.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установлении повышающего коэффициента к окладу (должностному окладу) за выслугу лет рекомендуется учитывать периоды работы работников,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проработанных в том числе в органах государственной власти, органах местного самоуправления,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государственных и муниципальных учреждениях, определенной отрасли, а также в организациях, опыт и знание работы в которых необходимы для выполнения долж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остных обязанностей.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Рекомендуемые предельные размеры повышающего коэффициента к окладу (должностному окладу) за выслугу лет: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выслуге от 1 года до 3 лет – 0,1;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выслуге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3 лет до 8 лет – 0,15;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выслуге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от 8 лет до 15 лет – 0,2;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выслуге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свыше 15 лет – 0,3.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Применени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 повышающего коэффициента к окладу (должностному окладу) за выслугу лет не образует новый оклад и не учитывается при начислении иных стимулирующих и компенсационных выплат, устанавливаемых в процентном отношении к окладу (должностному окладу).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28.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Выплата за стаж непрерывной работы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закрепляется локальным нормативным актом учреждения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устанавливается руководителем учреждения работникам учреждения в зависимости от общего количес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тва лет,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29. Повышающий коэффициент к окладу (должностному окладу) за интенсивность и качество работы может быть установлен работнику учреждения за высокое качество выполняемой работы, выполнение поставленных задач с проявлением определенной инициативы.</w:t>
      </w: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4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30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Решение об установлении повышающего коэффициента к окладу (должностному окладу) за интенсивность и качество работы и его размере принимается руководителем учреждения индивидуально в отношении конкретного работника учреждения.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31.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екомендуемый предельный размер повышающего коэффициента к окладу (должностному окладу) для учреждений, осуществляющих деятельность по видам экономической деятельности «Деятельность гостиниц и прочих мест для временного проживания», «Деятельность по организ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ции конференций и выставок», «Деятельность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резиденте Российской Федерации», «Деятельность в области исполнительских искусств», «Деятельность вспомогательная, связанная с исполнительскими искусствами» , «Деятельность центров обработки телефонных вызовов», «Обр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азование профессиональное дополнительное» – 0,5; Для учреждений, осуществляющих деятельность по видам экономической деятельности «Перевозки пассажиров сухопутным транспортом нерегулярные» – 3.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рименение повышающего коэффициента к окладу (должностному окладу) за интенсивность и качество работы не образует новый оклад и не учитывается при начислении иных стимулирующих и компенсационных выплат, устанавливаемых в процентном отношении к окладу (должн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остному окладу).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32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Выплаты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 наличие ученой степени кандидата наук, доктора наук устанавливаются при условии соответствия ученой степени направлению профессиональной деятельности непосредственно по занимаемой должности. Рекомендуемые предельные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размеры повышающего коэффициента к основному окладу (основному должностному окладу) за наличие ученой степени: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 при наличии ученой степени доктора наук – 0,2;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при наличии ученой степени кандидата наук – 0,1.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Повышающий коэффициент к окладу (должностному окладу) за присвоенную квалификационную категорию (классность) устанавливается в следующих рекомендуемых предельных размерах: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 водителю 1 класса – 0,25;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 водителю 2 класса – 0,1.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рименение повышающего коэффициента к окладу (должностному окладу) за присвоенную квалификационную категорию (классность) не образует новый оклад (должностной оклад) и не учитывается при начислении иных стимулирующих и компенсационных выплат, устанавливаемы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в процентном отношении к окладу (должностному окладу).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keepLines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34.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Выплаты за наставничество в сфере труда устанавливаются при условии письменного согласия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к трудовому договору) с указанием содержания, сроков, формы и объема выполнения работы по наставничеству.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keepLines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Рекомендуемый размер выплат за наставничество в сфере труда не более 20 процентов основного оклада (основного должностного оклада) за осуществление наставничества в отношении одного работника.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35.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целях поощрения работников учреждения за выполненную работу работникам учреждения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рекомендуется устанавливать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ледующие виды выплат стимулирующего характера: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премия за интенсивность и высокие результаты работы;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  премия за качество выполняемых работ;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   премия по итогам работы (за месяц, за квартал, год);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4) 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премия за выполнение особо важных и срочных работ.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36.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установлении премии за интенсивность и высокие результаты работы учитываются: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  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спешное и добросовестное исполнение работником учреждения своих должностных обязанностей;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 инициатива, творческий подход и применение в работе современных форм и методов организации труда;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 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качественная подготовка и проведение мероприятий, связанных с уставной деятельностью учреждения;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4)  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ачественное выполнение порученной работы, связанной с обеспечением рабочего процесса или уставной деятельности учреждения;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5)  качественная подготовка и своевременная сдача отчетности;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6) 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участие в выполнении особо важных работ, мероприятий;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7)  интенсивность и напряженность работы;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8)  организация и проведение мероприятий, направленных на повышение авторитета и имиджа учреждения среди населения;</w:t>
      </w:r>
      <w:r>
        <w:rPr>
          <w:highlight w:val="white"/>
        </w:rPr>
      </w:r>
      <w:r>
        <w:rPr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9)  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епосредственное участие в реализации национальных проектов, федеральных и региональных программ.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37. Премии за качество выполняемых работ выплачиваются работникам учреждения единовременно при: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поощрении Президентом Российской Федерации, Правительством Российской Федерации, присвоении почетных званий Российской Федерации и награждении особым знаком отличия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медалью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Золотая Звезда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знаками отличия Российской Федерации, награждении орденами и медалями Российской Федерации;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аграждении ведомственными наградами в случаях, предусмотренных федеральным законодательством, и наградами Камчатского края, в случаях, предусмотренных законодательством Камчатского края.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38. Премия по итогам работы (за месяц, за квартал,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год), выплачивается с учетом эффективности труда работников в соответствующем периоде, определяемой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 основе показателей и критериев оценки эффективности труда. При премировании может учитываться как индивидуальный, так и коллективный результат труда.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39. Премия за выполнение особо важных и срочных работ выплачивается работнику учреждения по итогам выполнения особо важных и срочных работ с целью поощрения за оперативность и качественный результат труда.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40. Выплаты стимулирующего характера осуществляются по решению руководителя учреждения в пределах бюджетных ассигнований на оплату труда работников учреждения, а также средств от приносящей доход деятельности, направленных учреждением на оплату труда: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заместителям руководителя, главному бухгалтеру, главным специалистам и иным работникам учреждения, подчиненным руководителю учреждения непосредственно;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руководителям структурных подразделений учреждения, главным специалистам и иным работникам учреждения, подчиненным заместителям руководителе учреждения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представлению заместителей руководителя учреждения;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 остальным работникам, занятым в структурных подразделениях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учреждения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представлению</w:t>
      </w:r>
      <w:bookmarkStart w:id="6" w:name="_GoBack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6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руководителей структурных подразделений учреждения.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41. Премирование работников учреждения осуществляется на основе положения о премировании,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утверждаемого локальным нормативным актом учреждения.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42. Размер премии может устанавливаться как в процентах к окладу (должностному окладу) работника, так и в абсолютном размере.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43. С учетом условий труда работникам учреждений устанавливаются выплаты компенсационного характера в соответствии с разделом 5 настоящего Примерного положения.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5. В части 51 цифру «6» заменить цифрой «3».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4"/>
        <w:contextualSpacing/>
        <w:ind w:left="0"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6. Раздел 6 изложить в следующей редакции: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«6. Порядок и условия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выплаты работникам учреждения материальной помощи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63. Руководителю и работникам учреждения при наличии экономии фонда оплаты труда выплачивается материальная помощь.</w:t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64. Материальная помощь выплачивается в следующих случаях: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заключением брака;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рождением ребенка;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со смертью близких родственников (родителей, детей, супруга (супруги);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связи с причиненным ущербом имуществу работников учреждения в результате стихийного бедствия, чрезвычайной ситуации, противоправных действий третьих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заболеванием, получением травмы работником учреждения;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юбилейными датами.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65. Решение о выплате материальной помощи и ее конкретных размерах руководителю учреждения принимает руководитель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основании письменного заявления руководителя учреждения с приложением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копий документов, подтверждающих наступление события, указанного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hyperlink w:tooltip="#Par455" w:anchor="Par45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части </w:t>
        </w:r>
        <w:r>
          <w:rPr>
            <w:rFonts w:ascii="Times New Roman" w:hAnsi="Times New Roman" w:eastAsia="Times New Roman" w:cs="Times New Roman"/>
            <w:strike/>
            <w:color w:val="000000" w:themeColor="text1"/>
            <w:sz w:val="28"/>
            <w:szCs w:val="28"/>
          </w:rPr>
        </w:r>
      </w:hyperlink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59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настоящего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Примерного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Решение о выплате материальной помощи и ее конкретных размерах работнику учреждения принимает руководитель учреждения на основании письменного заявления работника учреждения с приложением копий документов, подтверждающих наступление события, указанного в </w:t>
      </w:r>
      <w:hyperlink w:tooltip="#Par455" w:anchor="Par45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части </w:t>
        </w:r>
        <w:r>
          <w:rPr>
            <w:rFonts w:ascii="Times New Roman" w:hAnsi="Times New Roman" w:eastAsia="Times New Roman" w:cs="Times New Roman"/>
            <w:strike/>
            <w:color w:val="000000" w:themeColor="text1"/>
            <w:sz w:val="28"/>
            <w:szCs w:val="28"/>
          </w:rPr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настоящего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Примерного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7. Раздел 7 признать утратившим силу.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417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31737369"/>
      <w:docPartObj>
        <w:docPartGallery w:val="Page Numbers (Top of Page)"/>
        <w:docPartUnique w:val="true"/>
      </w:docPartObj>
      <w:rPr/>
    </w:sdtPr>
    <w:sdtContent>
      <w:p>
        <w:pPr>
          <w:pStyle w:val="903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7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9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5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1">
    <w:name w:val="Heading 1 Char"/>
    <w:basedOn w:val="895"/>
    <w:link w:val="8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2">
    <w:name w:val="Heading 2 Char"/>
    <w:basedOn w:val="895"/>
    <w:link w:val="891"/>
    <w:uiPriority w:val="9"/>
    <w:rPr>
      <w:rFonts w:ascii="Liberation Sans" w:hAnsi="Liberation Sans" w:eastAsia="Liberation Sans" w:cs="Liberation Sans"/>
      <w:sz w:val="34"/>
    </w:rPr>
  </w:style>
  <w:style w:type="character" w:styleId="733">
    <w:name w:val="Heading 3 Char"/>
    <w:basedOn w:val="895"/>
    <w:link w:val="89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4">
    <w:name w:val="Heading 4 Char"/>
    <w:basedOn w:val="895"/>
    <w:link w:val="8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5">
    <w:name w:val="Heading 5 Char"/>
    <w:basedOn w:val="895"/>
    <w:link w:val="8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6">
    <w:name w:val="Heading 6"/>
    <w:basedOn w:val="889"/>
    <w:next w:val="889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7">
    <w:name w:val="Heading 6 Char"/>
    <w:basedOn w:val="895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8">
    <w:name w:val="Heading 7"/>
    <w:basedOn w:val="889"/>
    <w:next w:val="889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9">
    <w:name w:val="Heading 7 Char"/>
    <w:basedOn w:val="895"/>
    <w:link w:val="73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0">
    <w:name w:val="Heading 8"/>
    <w:basedOn w:val="889"/>
    <w:next w:val="889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1">
    <w:name w:val="Heading 8 Char"/>
    <w:basedOn w:val="895"/>
    <w:link w:val="74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2">
    <w:name w:val="Heading 9"/>
    <w:basedOn w:val="889"/>
    <w:next w:val="889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3">
    <w:name w:val="Heading 9 Char"/>
    <w:basedOn w:val="895"/>
    <w:link w:val="74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4">
    <w:name w:val="List Paragraph"/>
    <w:basedOn w:val="889"/>
    <w:uiPriority w:val="34"/>
    <w:qFormat/>
    <w:pPr>
      <w:contextualSpacing/>
      <w:ind w:left="720"/>
    </w:pPr>
  </w:style>
  <w:style w:type="paragraph" w:styleId="745">
    <w:name w:val="No Spacing"/>
    <w:uiPriority w:val="1"/>
    <w:qFormat/>
    <w:pPr>
      <w:spacing w:before="0" w:after="0" w:line="240" w:lineRule="auto"/>
    </w:pPr>
  </w:style>
  <w:style w:type="character" w:styleId="746">
    <w:name w:val="Title Char"/>
    <w:basedOn w:val="895"/>
    <w:link w:val="935"/>
    <w:uiPriority w:val="10"/>
    <w:rPr>
      <w:sz w:val="48"/>
      <w:szCs w:val="48"/>
    </w:rPr>
  </w:style>
  <w:style w:type="character" w:styleId="747">
    <w:name w:val="Subtitle Char"/>
    <w:basedOn w:val="895"/>
    <w:link w:val="931"/>
    <w:uiPriority w:val="11"/>
    <w:rPr>
      <w:sz w:val="24"/>
      <w:szCs w:val="24"/>
    </w:rPr>
  </w:style>
  <w:style w:type="paragraph" w:styleId="748">
    <w:name w:val="Quote"/>
    <w:basedOn w:val="889"/>
    <w:next w:val="889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889"/>
    <w:next w:val="889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character" w:styleId="752">
    <w:name w:val="Header Char"/>
    <w:basedOn w:val="895"/>
    <w:link w:val="903"/>
    <w:uiPriority w:val="99"/>
  </w:style>
  <w:style w:type="character" w:styleId="753">
    <w:name w:val="Footer Char"/>
    <w:basedOn w:val="895"/>
    <w:link w:val="933"/>
    <w:uiPriority w:val="99"/>
  </w:style>
  <w:style w:type="paragraph" w:styleId="754">
    <w:name w:val="Caption"/>
    <w:basedOn w:val="889"/>
    <w:next w:val="889"/>
    <w:link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895"/>
    <w:link w:val="754"/>
    <w:uiPriority w:val="35"/>
    <w:rPr>
      <w:b/>
      <w:bCs/>
      <w:color w:val="4f81bd" w:themeColor="accent1"/>
      <w:sz w:val="18"/>
      <w:szCs w:val="18"/>
    </w:rPr>
  </w:style>
  <w:style w:type="table" w:styleId="756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8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9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8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9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0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1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2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3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4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4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55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56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57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58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59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0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2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6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9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0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1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2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3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4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1">
    <w:name w:val="footnote text"/>
    <w:basedOn w:val="889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basedOn w:val="895"/>
    <w:uiPriority w:val="99"/>
    <w:unhideWhenUsed/>
    <w:rPr>
      <w:vertAlign w:val="superscript"/>
    </w:rPr>
  </w:style>
  <w:style w:type="paragraph" w:styleId="884">
    <w:name w:val="endnote text"/>
    <w:basedOn w:val="889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895"/>
    <w:uiPriority w:val="99"/>
    <w:semiHidden/>
    <w:unhideWhenUsed/>
    <w:rPr>
      <w:vertAlign w:val="superscript"/>
    </w:rPr>
  </w:style>
  <w:style w:type="paragraph" w:styleId="887">
    <w:name w:val="TOC Heading"/>
    <w:uiPriority w:val="39"/>
    <w:unhideWhenUsed/>
  </w:style>
  <w:style w:type="paragraph" w:styleId="888">
    <w:name w:val="table of figures"/>
    <w:basedOn w:val="889"/>
    <w:next w:val="889"/>
    <w:uiPriority w:val="99"/>
    <w:unhideWhenUsed/>
    <w:pPr>
      <w:spacing w:after="0" w:afterAutospacing="0"/>
    </w:pPr>
  </w:style>
  <w:style w:type="paragraph" w:styleId="889" w:default="1">
    <w:name w:val="Normal"/>
    <w:link w:val="898"/>
    <w:qFormat/>
  </w:style>
  <w:style w:type="paragraph" w:styleId="890">
    <w:name w:val="Heading 1"/>
    <w:next w:val="889"/>
    <w:link w:val="915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91">
    <w:name w:val="Heading 2"/>
    <w:next w:val="889"/>
    <w:link w:val="94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92">
    <w:name w:val="Heading 3"/>
    <w:next w:val="889"/>
    <w:link w:val="90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93">
    <w:name w:val="Heading 4"/>
    <w:next w:val="889"/>
    <w:link w:val="939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94">
    <w:name w:val="Heading 5"/>
    <w:next w:val="889"/>
    <w:link w:val="914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character" w:styleId="898" w:customStyle="1">
    <w:name w:val="Обычный1"/>
  </w:style>
  <w:style w:type="paragraph" w:styleId="899">
    <w:name w:val="toc 2"/>
    <w:next w:val="889"/>
    <w:link w:val="900"/>
    <w:uiPriority w:val="39"/>
    <w:pPr>
      <w:ind w:left="200"/>
    </w:pPr>
    <w:rPr>
      <w:rFonts w:ascii="XO Thames" w:hAnsi="XO Thames"/>
      <w:sz w:val="28"/>
    </w:rPr>
  </w:style>
  <w:style w:type="character" w:styleId="900" w:customStyle="1">
    <w:name w:val="Оглавление 2 Знак"/>
    <w:link w:val="899"/>
    <w:rPr>
      <w:rFonts w:ascii="XO Thames" w:hAnsi="XO Thames"/>
      <w:sz w:val="28"/>
    </w:rPr>
  </w:style>
  <w:style w:type="paragraph" w:styleId="901">
    <w:name w:val="toc 4"/>
    <w:next w:val="889"/>
    <w:link w:val="902"/>
    <w:uiPriority w:val="39"/>
    <w:pPr>
      <w:ind w:left="600"/>
    </w:pPr>
    <w:rPr>
      <w:rFonts w:ascii="XO Thames" w:hAnsi="XO Thames"/>
      <w:sz w:val="28"/>
    </w:rPr>
  </w:style>
  <w:style w:type="character" w:styleId="902" w:customStyle="1">
    <w:name w:val="Оглавление 4 Знак"/>
    <w:link w:val="901"/>
    <w:rPr>
      <w:rFonts w:ascii="XO Thames" w:hAnsi="XO Thames"/>
      <w:sz w:val="28"/>
    </w:rPr>
  </w:style>
  <w:style w:type="paragraph" w:styleId="903">
    <w:name w:val="Header"/>
    <w:basedOn w:val="889"/>
    <w:link w:val="904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898"/>
    <w:link w:val="903"/>
    <w:uiPriority w:val="99"/>
  </w:style>
  <w:style w:type="paragraph" w:styleId="905">
    <w:name w:val="toc 6"/>
    <w:next w:val="889"/>
    <w:link w:val="906"/>
    <w:uiPriority w:val="39"/>
    <w:pPr>
      <w:ind w:left="1000"/>
    </w:pPr>
    <w:rPr>
      <w:rFonts w:ascii="XO Thames" w:hAnsi="XO Thames"/>
      <w:sz w:val="28"/>
    </w:rPr>
  </w:style>
  <w:style w:type="character" w:styleId="906" w:customStyle="1">
    <w:name w:val="Оглавление 6 Знак"/>
    <w:link w:val="905"/>
    <w:rPr>
      <w:rFonts w:ascii="XO Thames" w:hAnsi="XO Thames"/>
      <w:sz w:val="28"/>
    </w:rPr>
  </w:style>
  <w:style w:type="paragraph" w:styleId="907">
    <w:name w:val="toc 7"/>
    <w:next w:val="889"/>
    <w:link w:val="908"/>
    <w:uiPriority w:val="39"/>
    <w:pPr>
      <w:ind w:left="1200"/>
    </w:pPr>
    <w:rPr>
      <w:rFonts w:ascii="XO Thames" w:hAnsi="XO Thames"/>
      <w:sz w:val="28"/>
    </w:rPr>
  </w:style>
  <w:style w:type="character" w:styleId="908" w:customStyle="1">
    <w:name w:val="Оглавление 7 Знак"/>
    <w:link w:val="907"/>
    <w:rPr>
      <w:rFonts w:ascii="XO Thames" w:hAnsi="XO Thames"/>
      <w:sz w:val="28"/>
    </w:rPr>
  </w:style>
  <w:style w:type="character" w:styleId="909" w:customStyle="1">
    <w:name w:val="Заголовок 3 Знак"/>
    <w:link w:val="892"/>
    <w:rPr>
      <w:rFonts w:ascii="XO Thames" w:hAnsi="XO Thames"/>
      <w:b/>
      <w:sz w:val="26"/>
    </w:rPr>
  </w:style>
  <w:style w:type="paragraph" w:styleId="910">
    <w:name w:val="Plain Text"/>
    <w:basedOn w:val="889"/>
    <w:link w:val="911"/>
    <w:pPr>
      <w:spacing w:after="0" w:line="240" w:lineRule="auto"/>
    </w:pPr>
    <w:rPr>
      <w:rFonts w:ascii="Calibri" w:hAnsi="Calibri"/>
    </w:rPr>
  </w:style>
  <w:style w:type="character" w:styleId="911" w:customStyle="1">
    <w:name w:val="Текст Знак"/>
    <w:basedOn w:val="898"/>
    <w:link w:val="910"/>
    <w:rPr>
      <w:rFonts w:ascii="Calibri" w:hAnsi="Calibri"/>
    </w:rPr>
  </w:style>
  <w:style w:type="paragraph" w:styleId="912">
    <w:name w:val="toc 3"/>
    <w:next w:val="889"/>
    <w:link w:val="913"/>
    <w:uiPriority w:val="39"/>
    <w:pPr>
      <w:ind w:left="400"/>
    </w:pPr>
    <w:rPr>
      <w:rFonts w:ascii="XO Thames" w:hAnsi="XO Thames"/>
      <w:sz w:val="28"/>
    </w:rPr>
  </w:style>
  <w:style w:type="character" w:styleId="913" w:customStyle="1">
    <w:name w:val="Оглавление 3 Знак"/>
    <w:link w:val="912"/>
    <w:rPr>
      <w:rFonts w:ascii="XO Thames" w:hAnsi="XO Thames"/>
      <w:sz w:val="28"/>
    </w:rPr>
  </w:style>
  <w:style w:type="character" w:styleId="914" w:customStyle="1">
    <w:name w:val="Заголовок 5 Знак"/>
    <w:link w:val="894"/>
    <w:rPr>
      <w:rFonts w:ascii="XO Thames" w:hAnsi="XO Thames"/>
      <w:b/>
      <w:sz w:val="22"/>
    </w:rPr>
  </w:style>
  <w:style w:type="character" w:styleId="915" w:customStyle="1">
    <w:name w:val="Заголовок 1 Знак"/>
    <w:link w:val="890"/>
    <w:rPr>
      <w:rFonts w:ascii="XO Thames" w:hAnsi="XO Thames"/>
      <w:b/>
      <w:sz w:val="32"/>
    </w:rPr>
  </w:style>
  <w:style w:type="paragraph" w:styleId="916" w:customStyle="1">
    <w:name w:val="Гиперссылка1"/>
    <w:basedOn w:val="924"/>
    <w:link w:val="917"/>
    <w:rPr>
      <w:color w:val="0563c1" w:themeColor="hyperlink"/>
      <w:u w:val="single"/>
    </w:rPr>
  </w:style>
  <w:style w:type="character" w:styleId="917">
    <w:name w:val="Hyperlink"/>
    <w:basedOn w:val="895"/>
    <w:link w:val="916"/>
    <w:rPr>
      <w:color w:val="0563c1" w:themeColor="hyperlink"/>
      <w:u w:val="single"/>
    </w:rPr>
  </w:style>
  <w:style w:type="paragraph" w:styleId="918" w:customStyle="1">
    <w:name w:val="Footnote"/>
    <w:link w:val="919"/>
    <w:pPr>
      <w:ind w:firstLine="851"/>
      <w:jc w:val="both"/>
    </w:pPr>
    <w:rPr>
      <w:rFonts w:ascii="XO Thames" w:hAnsi="XO Thames"/>
    </w:rPr>
  </w:style>
  <w:style w:type="character" w:styleId="919" w:customStyle="1">
    <w:name w:val="Footnote"/>
    <w:link w:val="918"/>
    <w:rPr>
      <w:rFonts w:ascii="XO Thames" w:hAnsi="XO Thames"/>
      <w:sz w:val="22"/>
    </w:rPr>
  </w:style>
  <w:style w:type="paragraph" w:styleId="920">
    <w:name w:val="toc 1"/>
    <w:next w:val="889"/>
    <w:link w:val="921"/>
    <w:uiPriority w:val="39"/>
    <w:rPr>
      <w:rFonts w:ascii="XO Thames" w:hAnsi="XO Thames"/>
      <w:b/>
      <w:sz w:val="28"/>
    </w:rPr>
  </w:style>
  <w:style w:type="character" w:styleId="921" w:customStyle="1">
    <w:name w:val="Оглавление 1 Знак"/>
    <w:link w:val="920"/>
    <w:rPr>
      <w:rFonts w:ascii="XO Thames" w:hAnsi="XO Thames"/>
      <w:b/>
      <w:sz w:val="28"/>
    </w:rPr>
  </w:style>
  <w:style w:type="paragraph" w:styleId="922" w:customStyle="1">
    <w:name w:val="Header and Footer"/>
    <w:link w:val="923"/>
    <w:pPr>
      <w:jc w:val="both"/>
      <w:spacing w:line="240" w:lineRule="auto"/>
    </w:pPr>
    <w:rPr>
      <w:rFonts w:ascii="XO Thames" w:hAnsi="XO Thames"/>
      <w:sz w:val="20"/>
    </w:rPr>
  </w:style>
  <w:style w:type="character" w:styleId="923" w:customStyle="1">
    <w:name w:val="Header and Footer"/>
    <w:link w:val="922"/>
    <w:rPr>
      <w:rFonts w:ascii="XO Thames" w:hAnsi="XO Thames"/>
      <w:sz w:val="20"/>
    </w:rPr>
  </w:style>
  <w:style w:type="paragraph" w:styleId="924" w:customStyle="1">
    <w:name w:val="Основной шрифт абзаца1"/>
  </w:style>
  <w:style w:type="paragraph" w:styleId="925">
    <w:name w:val="toc 9"/>
    <w:next w:val="889"/>
    <w:link w:val="926"/>
    <w:uiPriority w:val="39"/>
    <w:pPr>
      <w:ind w:left="1600"/>
    </w:pPr>
    <w:rPr>
      <w:rFonts w:ascii="XO Thames" w:hAnsi="XO Thames"/>
      <w:sz w:val="28"/>
    </w:rPr>
  </w:style>
  <w:style w:type="character" w:styleId="926" w:customStyle="1">
    <w:name w:val="Оглавление 9 Знак"/>
    <w:link w:val="925"/>
    <w:rPr>
      <w:rFonts w:ascii="XO Thames" w:hAnsi="XO Thames"/>
      <w:sz w:val="28"/>
    </w:rPr>
  </w:style>
  <w:style w:type="paragraph" w:styleId="927">
    <w:name w:val="toc 8"/>
    <w:next w:val="889"/>
    <w:link w:val="928"/>
    <w:uiPriority w:val="39"/>
    <w:pPr>
      <w:ind w:left="1400"/>
    </w:pPr>
    <w:rPr>
      <w:rFonts w:ascii="XO Thames" w:hAnsi="XO Thames"/>
      <w:sz w:val="28"/>
    </w:rPr>
  </w:style>
  <w:style w:type="character" w:styleId="928" w:customStyle="1">
    <w:name w:val="Оглавление 8 Знак"/>
    <w:link w:val="927"/>
    <w:rPr>
      <w:rFonts w:ascii="XO Thames" w:hAnsi="XO Thames"/>
      <w:sz w:val="28"/>
    </w:rPr>
  </w:style>
  <w:style w:type="paragraph" w:styleId="929">
    <w:name w:val="toc 5"/>
    <w:next w:val="889"/>
    <w:link w:val="930"/>
    <w:uiPriority w:val="39"/>
    <w:pPr>
      <w:ind w:left="800"/>
    </w:pPr>
    <w:rPr>
      <w:rFonts w:ascii="XO Thames" w:hAnsi="XO Thames"/>
      <w:sz w:val="28"/>
    </w:rPr>
  </w:style>
  <w:style w:type="character" w:styleId="930" w:customStyle="1">
    <w:name w:val="Оглавление 5 Знак"/>
    <w:link w:val="929"/>
    <w:rPr>
      <w:rFonts w:ascii="XO Thames" w:hAnsi="XO Thames"/>
      <w:sz w:val="28"/>
    </w:rPr>
  </w:style>
  <w:style w:type="paragraph" w:styleId="931">
    <w:name w:val="Subtitle"/>
    <w:next w:val="889"/>
    <w:link w:val="932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32" w:customStyle="1">
    <w:name w:val="Подзаголовок Знак"/>
    <w:link w:val="931"/>
    <w:rPr>
      <w:rFonts w:ascii="XO Thames" w:hAnsi="XO Thames"/>
      <w:i/>
      <w:sz w:val="24"/>
    </w:rPr>
  </w:style>
  <w:style w:type="paragraph" w:styleId="933">
    <w:name w:val="Footer"/>
    <w:basedOn w:val="889"/>
    <w:link w:val="934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34" w:customStyle="1">
    <w:name w:val="Нижний колонтитул Знак"/>
    <w:basedOn w:val="898"/>
    <w:link w:val="933"/>
    <w:rPr>
      <w:rFonts w:ascii="Times New Roman" w:hAnsi="Times New Roman"/>
      <w:sz w:val="28"/>
    </w:rPr>
  </w:style>
  <w:style w:type="paragraph" w:styleId="935">
    <w:name w:val="Title"/>
    <w:next w:val="889"/>
    <w:link w:val="93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36" w:customStyle="1">
    <w:name w:val="Название Знак"/>
    <w:link w:val="935"/>
    <w:rPr>
      <w:rFonts w:ascii="XO Thames" w:hAnsi="XO Thames"/>
      <w:b/>
      <w:caps/>
      <w:sz w:val="40"/>
    </w:rPr>
  </w:style>
  <w:style w:type="paragraph" w:styleId="937">
    <w:name w:val="Balloon Text"/>
    <w:basedOn w:val="889"/>
    <w:link w:val="938"/>
    <w:pPr>
      <w:spacing w:after="0" w:line="240" w:lineRule="auto"/>
    </w:pPr>
    <w:rPr>
      <w:rFonts w:ascii="Segoe UI" w:hAnsi="Segoe UI"/>
      <w:sz w:val="18"/>
    </w:rPr>
  </w:style>
  <w:style w:type="character" w:styleId="938" w:customStyle="1">
    <w:name w:val="Текст выноски Знак"/>
    <w:basedOn w:val="898"/>
    <w:link w:val="937"/>
    <w:rPr>
      <w:rFonts w:ascii="Segoe UI" w:hAnsi="Segoe UI"/>
      <w:sz w:val="18"/>
    </w:rPr>
  </w:style>
  <w:style w:type="character" w:styleId="939" w:customStyle="1">
    <w:name w:val="Заголовок 4 Знак"/>
    <w:link w:val="893"/>
    <w:rPr>
      <w:rFonts w:ascii="XO Thames" w:hAnsi="XO Thames"/>
      <w:b/>
      <w:sz w:val="24"/>
    </w:rPr>
  </w:style>
  <w:style w:type="character" w:styleId="940" w:customStyle="1">
    <w:name w:val="Заголовок 2 Знак"/>
    <w:link w:val="891"/>
    <w:rPr>
      <w:rFonts w:ascii="XO Thames" w:hAnsi="XO Thames"/>
      <w:b/>
      <w:sz w:val="28"/>
    </w:rPr>
  </w:style>
  <w:style w:type="table" w:styleId="941">
    <w:name w:val="Table Grid"/>
    <w:basedOn w:val="896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2" w:customStyle="1">
    <w:name w:val="Сетка таблицы1"/>
    <w:basedOn w:val="896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3" w:customStyle="1">
    <w:name w:val="Сетка таблицы2"/>
    <w:basedOn w:val="896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E5D3-4CB5-419C-86B0-FBD50F7CC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nikitinayn</cp:lastModifiedBy>
  <cp:revision>37</cp:revision>
  <dcterms:created xsi:type="dcterms:W3CDTF">2025-01-31T01:52:00Z</dcterms:created>
  <dcterms:modified xsi:type="dcterms:W3CDTF">2026-09-29T04:51:12Z</dcterms:modified>
</cp:coreProperties>
</file>