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3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2" y="0"/>
                    <wp:lineTo x="-2" y="20883"/>
                    <wp:lineTo x="20966" y="20883"/>
                    <wp:lineTo x="20966" y="0"/>
                    <wp:lineTo x="-2" y="0"/>
                  </wp:wrapPolygon>
                </wp:wrapTight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8 0 -8 96681 97065 96681 97065 0 -8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83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683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83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83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83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83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83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83"/>
        <w:ind w:firstLine="709"/>
        <w:jc w:val="center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W w:w="4253" w:type="dxa"/>
            <w:textDirection w:val="lrTb"/>
            <w:noWrap w:val="false"/>
          </w:tcPr>
          <w:p>
            <w:pPr>
              <w:pStyle w:val="683"/>
              <w:jc w:val="left"/>
              <w:spacing w:before="0" w:beforeAutospacing="0" w:after="160" w:afterAutospacing="0" w:line="264" w:lineRule="auto"/>
              <w:widowControl/>
            </w:pPr>
            <w:r/>
            <w:r/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683"/>
              <w:jc w:val="center"/>
              <w:spacing w:before="0"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683"/>
              <w:jc w:val="both"/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83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  <w:t xml:space="preserve">О внесении изменений в приложение к постановлению</w:t>
      </w:r>
      <w:r>
        <w:rPr>
          <w:rFonts w:ascii="Times New Roman" w:hAnsi="Times New Roman"/>
          <w:b/>
          <w:sz w:val="28"/>
        </w:rPr>
        <w:t xml:space="preserve"> Правительства Камчатского края от 27.06.2013 № 277-П «Об утверждении Примерного положения о системе оплаты труда работников краевых государственных учреждений, подведомственных Министерству сельского хозяйства, пищевой и перерабатывающей промышленности Ка</w:t>
      </w:r>
      <w:r>
        <w:rPr>
          <w:rFonts w:ascii="Times New Roman" w:hAnsi="Times New Roman"/>
          <w:b/>
          <w:sz w:val="28"/>
        </w:rPr>
        <w:t xml:space="preserve">мчатского края»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1. Внести в приложение к </w:t>
      </w:r>
      <w:r>
        <w:rPr>
          <w:rFonts w:ascii="Times New Roman" w:hAnsi="Times New Roman"/>
          <w:sz w:val="28"/>
          <w:szCs w:val="28"/>
          <w:highlight w:val="white"/>
        </w:rPr>
        <w:t xml:space="preserve">постановлению Правительства Камчатского края </w:t>
      </w:r>
      <w:r>
        <w:rPr>
          <w:rFonts w:ascii="Times New Roman" w:hAnsi="Times New Roman"/>
          <w:sz w:val="28"/>
          <w:szCs w:val="28"/>
          <w:highlight w:val="white"/>
        </w:rPr>
        <w:t xml:space="preserve">от 27.06.2013 № 277-П «Об утверждении Примерного положения о системе оплаты труда работников краевых государственных учреждений, подведомственных Министерству сельского хозяйства, пищевой и перерабатывающей промышленности Ка</w:t>
      </w:r>
      <w:r>
        <w:rPr>
          <w:rFonts w:ascii="Times New Roman" w:hAnsi="Times New Roman"/>
          <w:sz w:val="28"/>
          <w:szCs w:val="28"/>
          <w:highlight w:val="white"/>
        </w:rPr>
        <w:t xml:space="preserve">мчатского края»</w:t>
      </w:r>
      <w:r>
        <w:rPr>
          <w:rFonts w:ascii="Times New Roman" w:hAnsi="Times New Roman"/>
          <w:sz w:val="28"/>
          <w:szCs w:val="28"/>
          <w:highlight w:val="white"/>
        </w:rPr>
        <w:t xml:space="preserve"> следующие изменения: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1</w:t>
      </w:r>
      <w:r>
        <w:rPr>
          <w:rFonts w:ascii="Times New Roman" w:hAnsi="Times New Roman"/>
          <w:sz w:val="28"/>
          <w:highlight w:val="white"/>
        </w:rPr>
        <w:t xml:space="preserve">) часть </w:t>
      </w:r>
      <w:r>
        <w:rPr>
          <w:rFonts w:ascii="Times New Roman" w:hAnsi="Times New Roman"/>
          <w:sz w:val="28"/>
          <w:highlight w:val="white"/>
        </w:rPr>
        <w:t xml:space="preserve">17</w:t>
      </w:r>
      <w:r>
        <w:rPr>
          <w:rFonts w:ascii="Times New Roman" w:hAnsi="Times New Roman"/>
          <w:sz w:val="28"/>
          <w:highlight w:val="white"/>
        </w:rPr>
        <w:t xml:space="preserve"> дополнить пунктом </w:t>
      </w:r>
      <w:r>
        <w:rPr>
          <w:rFonts w:ascii="Times New Roman" w:hAnsi="Times New Roman"/>
          <w:sz w:val="28"/>
          <w:highlight w:val="white"/>
        </w:rPr>
        <w:t xml:space="preserve">5</w:t>
      </w:r>
      <w:r>
        <w:rPr>
          <w:rFonts w:ascii="Times New Roman" w:hAnsi="Times New Roman"/>
          <w:sz w:val="28"/>
          <w:highlight w:val="white"/>
        </w:rPr>
        <w:t xml:space="preserve"> следующего содержания: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5</w:t>
      </w:r>
      <w:r>
        <w:rPr>
          <w:rFonts w:ascii="Times New Roman" w:hAnsi="Times New Roman"/>
          <w:sz w:val="28"/>
          <w:highlight w:val="white"/>
        </w:rPr>
        <w:t xml:space="preserve">) </w:t>
      </w:r>
      <w:r>
        <w:rPr>
          <w:rFonts w:ascii="Times New Roman" w:hAnsi="Times New Roman"/>
          <w:sz w:val="28"/>
          <w:highlight w:val="white"/>
        </w:rPr>
        <w:t xml:space="preserve">повышающий коэффициент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sz w:val="28"/>
          <w:highlight w:val="white"/>
        </w:rPr>
        <w:t xml:space="preserve">к окладу (должностному окладу) </w:t>
      </w:r>
      <w:r>
        <w:rPr>
          <w:rFonts w:ascii="Times New Roman" w:hAnsi="Times New Roman"/>
          <w:sz w:val="28"/>
          <w:highlight w:val="white"/>
        </w:rPr>
        <w:t xml:space="preserve">за наставничество в сфере труда.»;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2) дополнить частью </w:t>
      </w:r>
      <w:r>
        <w:rPr>
          <w:rFonts w:ascii="Times New Roman" w:hAnsi="Times New Roman"/>
          <w:sz w:val="28"/>
          <w:highlight w:val="white"/>
        </w:rPr>
        <w:t xml:space="preserve">29</w:t>
      </w:r>
      <w:r>
        <w:rPr>
          <w:rFonts w:ascii="Times New Roman" w:hAnsi="Times New Roman"/>
          <w:sz w:val="28"/>
          <w:highlight w:val="white"/>
          <w:vertAlign w:val="superscript"/>
        </w:rPr>
        <w:t xml:space="preserve">1</w:t>
      </w:r>
      <w:r>
        <w:rPr>
          <w:rFonts w:ascii="Times New Roman" w:hAnsi="Times New Roman"/>
          <w:sz w:val="28"/>
          <w:highlight w:val="white"/>
        </w:rPr>
        <w:t xml:space="preserve"> следующего содержания: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29</w:t>
      </w:r>
      <w:r>
        <w:rPr>
          <w:rFonts w:ascii="Times New Roman" w:hAnsi="Times New Roman"/>
          <w:sz w:val="28"/>
          <w:highlight w:val="white"/>
          <w:vertAlign w:val="superscript"/>
        </w:rPr>
        <w:t xml:space="preserve">1</w:t>
      </w:r>
      <w:r>
        <w:rPr>
          <w:rFonts w:ascii="Times New Roman" w:hAnsi="Times New Roman"/>
          <w:sz w:val="28"/>
          <w:highlight w:val="white"/>
        </w:rPr>
        <w:t xml:space="preserve">. </w:t>
      </w:r>
      <w:r>
        <w:rPr>
          <w:rFonts w:ascii="Times New Roman" w:hAnsi="Times New Roman"/>
          <w:sz w:val="28"/>
          <w:highlight w:val="white"/>
        </w:rPr>
        <w:t xml:space="preserve">Повышающий коэффициент</w:t>
      </w:r>
      <w:r>
        <w:rPr>
          <w:rFonts w:ascii="Times New Roman" w:hAnsi="Times New Roman"/>
          <w:sz w:val="28"/>
          <w:highlight w:val="white"/>
        </w:rPr>
        <w:t xml:space="preserve"> за наставничество в сфере труда устанавливаются при условии письменного со</w:t>
      </w:r>
      <w:r>
        <w:rPr>
          <w:rFonts w:ascii="Times New Roman" w:hAnsi="Times New Roman"/>
          <w:sz w:val="28"/>
          <w:highlight w:val="white"/>
        </w:rPr>
        <w:t xml:space="preserve">г</w:t>
      </w:r>
      <w:r>
        <w:rPr>
          <w:rFonts w:ascii="Times New Roman" w:hAnsi="Times New Roman"/>
          <w:sz w:val="28"/>
          <w:highlight w:val="white"/>
        </w:rPr>
        <w:t xml:space="preserve">ласия работника на осуществление наставничества и оформления поручения об осуществлении наставничества в трудовом договоре (дополнительном соглашении к трудовому договору) с указанием содержания, сроков, формы и объема выполнения работы по наставничеству. </w:t>
      </w:r>
      <w:r>
        <w:rPr>
          <w:rFonts w:ascii="Times New Roman" w:hAnsi="Times New Roman"/>
          <w:sz w:val="28"/>
          <w:highlight w:val="white"/>
        </w:rPr>
        <w:t xml:space="preserve">Рекомендуемый размер выплат за наставничество в сфере труда не более 20 процентов основного оклада (основного должностного оклада) за осуществление наставничества в отношении одного работника.»;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before="0" w:after="0" w:line="240" w:lineRule="auto"/>
        <w:rPr>
          <w:rFonts w:ascii="PT Serif" w:hAnsi="PT Serif" w:eastAsia="PT Serif" w:cs="PT Serif"/>
          <w:color w:val="22272f"/>
          <w:sz w:val="23"/>
          <w:szCs w:val="23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3)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асть 32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изложить в следующей редакции:</w:t>
      </w:r>
      <w:r>
        <w:rPr>
          <w:rFonts w:ascii="PT Serif" w:hAnsi="PT Serif" w:eastAsia="PT Serif" w:cs="PT Serif"/>
          <w:color w:val="22272f"/>
          <w:sz w:val="23"/>
          <w:szCs w:val="23"/>
          <w:highlight w:val="white"/>
        </w:rPr>
      </w:r>
      <w:r>
        <w:rPr>
          <w:rFonts w:ascii="PT Serif" w:hAnsi="PT Serif" w:eastAsia="PT Serif" w:cs="PT Serif"/>
          <w:color w:val="22272f"/>
          <w:sz w:val="23"/>
          <w:szCs w:val="23"/>
          <w:highlight w:val="whit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32. Применение к окладу (должностному окладу) следующих коэффициентов: персонального повышающего, за выслугу лет, за интенсивность и качество работ, за наличие ученой степени, з</w:t>
      </w:r>
      <w:r>
        <w:rPr>
          <w:rFonts w:ascii="Times New Roman" w:hAnsi="Times New Roman"/>
          <w:sz w:val="28"/>
          <w:szCs w:val="28"/>
        </w:rPr>
        <w:t xml:space="preserve">а наставничество </w:t>
      </w:r>
      <w:r>
        <w:rPr>
          <w:rFonts w:ascii="Times New Roman" w:hAnsi="Times New Roman"/>
          <w:sz w:val="28"/>
          <w:szCs w:val="28"/>
        </w:rPr>
        <w:t xml:space="preserve">не образуют новый оклад и не учитываются при начислении иных стимулирующих и комп</w:t>
      </w:r>
      <w:r>
        <w:rPr>
          <w:rFonts w:ascii="Times New Roman" w:hAnsi="Times New Roman"/>
          <w:sz w:val="28"/>
          <w:szCs w:val="28"/>
        </w:rPr>
        <w:t xml:space="preserve">енсационных выплат, устанавливаемых в процентном отношении к окладу (должностному окладу).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4</w:t>
      </w:r>
      <w:r>
        <w:rPr>
          <w:rFonts w:ascii="Times New Roman" w:hAnsi="Times New Roman"/>
          <w:sz w:val="28"/>
          <w:highlight w:val="white"/>
        </w:rPr>
        <w:t xml:space="preserve">) часть 38 дополнить пунктом 5 следующего содержания: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«</w:t>
      </w:r>
      <w:r>
        <w:rPr>
          <w:rFonts w:ascii="Times New Roman" w:hAnsi="Times New Roman"/>
          <w:sz w:val="28"/>
          <w:highlight w:val="white"/>
        </w:rPr>
        <w:t xml:space="preserve">5</w:t>
      </w:r>
      <w:r>
        <w:rPr>
          <w:rFonts w:ascii="Times New Roman" w:hAnsi="Times New Roman"/>
          <w:sz w:val="28"/>
          <w:highlight w:val="white"/>
        </w:rPr>
        <w:t xml:space="preserve">) </w:t>
      </w:r>
      <w:r>
        <w:rPr>
          <w:rFonts w:ascii="Times New Roman" w:hAnsi="Times New Roman"/>
          <w:sz w:val="28"/>
          <w:highlight w:val="white"/>
        </w:rPr>
        <w:t xml:space="preserve">повышающий коэффициент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b w:val="0"/>
          <w:sz w:val="28"/>
          <w:highlight w:val="white"/>
        </w:rPr>
        <w:t xml:space="preserve">к окладу (должностному окладу) </w:t>
      </w:r>
      <w:r>
        <w:rPr>
          <w:rFonts w:ascii="Times New Roman" w:hAnsi="Times New Roman"/>
          <w:sz w:val="28"/>
          <w:highlight w:val="white"/>
        </w:rPr>
        <w:t xml:space="preserve">за наставничество в сфере труда.»;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vertAlign w:val="baseline"/>
        </w:rPr>
      </w:pPr>
      <w:r>
        <w:rPr>
          <w:rFonts w:ascii="Times New Roman" w:hAnsi="Times New Roman"/>
          <w:sz w:val="28"/>
          <w:highlight w:val="none"/>
        </w:rPr>
        <w:t xml:space="preserve">5) дополнить частью </w:t>
      </w:r>
      <w:r>
        <w:rPr>
          <w:rFonts w:ascii="Times New Roman" w:hAnsi="Times New Roman"/>
          <w:sz w:val="28"/>
        </w:rPr>
        <w:t xml:space="preserve">46</w:t>
      </w:r>
      <w:r>
        <w:rPr>
          <w:rFonts w:ascii="Times New Roman" w:hAnsi="Times New Roman"/>
          <w:sz w:val="28"/>
          <w:vertAlign w:val="superscript"/>
        </w:rPr>
        <w:t xml:space="preserve">1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следующего содержания: </w:t>
      </w:r>
      <w:r>
        <w:rPr>
          <w:rFonts w:ascii="Times New Roman" w:hAnsi="Times New Roman"/>
          <w:sz w:val="28"/>
          <w:szCs w:val="28"/>
          <w:vertAlign w:val="baseline"/>
        </w:rPr>
      </w:r>
      <w:r>
        <w:rPr>
          <w:rFonts w:ascii="Times New Roman" w:hAnsi="Times New Roman"/>
          <w:sz w:val="28"/>
          <w:szCs w:val="28"/>
          <w:vertAlign w:val="baseline"/>
        </w:rPr>
      </w:r>
    </w:p>
    <w:p>
      <w:pPr>
        <w:ind w:firstLine="709"/>
        <w:jc w:val="both"/>
        <w:spacing w:before="0" w:after="0" w:line="240" w:lineRule="auto"/>
      </w:pPr>
      <w:r>
        <w:rPr>
          <w:rFonts w:ascii="Times New Roman" w:hAnsi="Times New Roman"/>
          <w:sz w:val="28"/>
          <w:highlight w:val="white"/>
        </w:rPr>
        <w:t xml:space="preserve">«46</w:t>
      </w:r>
      <w:r>
        <w:rPr>
          <w:rFonts w:ascii="Times New Roman" w:hAnsi="Times New Roman"/>
          <w:sz w:val="28"/>
          <w:highlight w:val="white"/>
          <w:vertAlign w:val="superscript"/>
        </w:rPr>
        <w:t xml:space="preserve">1</w:t>
      </w:r>
      <w:r>
        <w:rPr>
          <w:rFonts w:ascii="Times New Roman" w:hAnsi="Times New Roman"/>
          <w:sz w:val="28"/>
          <w:highlight w:val="white"/>
        </w:rPr>
        <w:t xml:space="preserve">. </w:t>
      </w:r>
      <w:r>
        <w:rPr>
          <w:rFonts w:ascii="Times New Roman" w:hAnsi="Times New Roman"/>
          <w:sz w:val="28"/>
          <w:highlight w:val="white"/>
        </w:rPr>
        <w:t xml:space="preserve">Повышающий коэффициент</w:t>
      </w:r>
      <w:r>
        <w:rPr>
          <w:rFonts w:ascii="Times New Roman" w:hAnsi="Times New Roman"/>
          <w:sz w:val="28"/>
          <w:highlight w:val="white"/>
        </w:rPr>
        <w:t xml:space="preserve"> за наставничество в сфере труда устанавливаются при условии письменного со</w:t>
      </w:r>
      <w:r>
        <w:rPr>
          <w:rFonts w:ascii="Times New Roman" w:hAnsi="Times New Roman"/>
          <w:sz w:val="28"/>
          <w:highlight w:val="white"/>
        </w:rPr>
        <w:t xml:space="preserve">гласия работника на осуществление наставничества и оформления поручения об осуществлении наставничества в трудовом договоре (дополнительном соглашении к трудовому договору) с указанием содержания, сроков, формы и объема выполнения работы по наставничеству.</w:t>
      </w:r>
      <w:r>
        <w:rPr>
          <w:rFonts w:ascii="Times New Roman" w:hAnsi="Times New Roman"/>
          <w:sz w:val="28"/>
          <w:highlight w:val="white"/>
        </w:rPr>
        <w:t xml:space="preserve">Рекомендуемый размер выплат за наставничество в сфере труда не более 20 процентов основного оклада (основного должностного оклада) за осуществление наставничества в отношении одного работника.»</w:t>
      </w:r>
      <w:r>
        <w:rPr>
          <w:rFonts w:ascii="Times New Roman" w:hAnsi="Times New Roman"/>
          <w:sz w:val="28"/>
          <w:highlight w:val="white"/>
        </w:rPr>
        <w:t xml:space="preserve">;</w:t>
      </w:r>
      <w:r/>
    </w:p>
    <w:p>
      <w:pPr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6) 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47 изложить в следующей редакции: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47. Применение к окладу (должностному окладу) следующих коэффициентов: персонального повышающего, за выслугу лет, за присвоенную квалификационную категорию (классность), за безаварийность, </w:t>
      </w:r>
      <w:r>
        <w:rPr>
          <w:rFonts w:ascii="Times New Roman" w:hAnsi="Times New Roman"/>
          <w:sz w:val="28"/>
        </w:rPr>
        <w:t xml:space="preserve">за наставничество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 образуют новый оклад и не учитываются при начислении иных стимули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рующих и компенсационных выплат, устанавливаемых в </w:t>
      </w:r>
      <w:r>
        <w:rPr>
          <w:rFonts w:ascii="Times New Roman" w:hAnsi="Times New Roman"/>
          <w:sz w:val="28"/>
          <w:szCs w:val="28"/>
        </w:rPr>
        <w:t xml:space="preserve">процентном отношении к окладу (должностному окладу).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vertAlign w:val="baseline"/>
        </w:rPr>
      </w:pPr>
      <w:r>
        <w:rPr>
          <w:rFonts w:ascii="Times New Roman" w:hAnsi="Times New Roman"/>
          <w:sz w:val="28"/>
          <w:highlight w:val="none"/>
        </w:rPr>
        <w:t xml:space="preserve">7) дополнить частью </w:t>
      </w:r>
      <w:r>
        <w:rPr>
          <w:rFonts w:ascii="Times New Roman" w:hAnsi="Times New Roman"/>
          <w:sz w:val="28"/>
          <w:highlight w:val="none"/>
        </w:rPr>
        <w:t xml:space="preserve">57</w:t>
      </w:r>
      <w:r>
        <w:rPr>
          <w:rFonts w:ascii="Times New Roman" w:hAnsi="Times New Roman"/>
          <w:sz w:val="28"/>
          <w:vertAlign w:val="superscript"/>
        </w:rPr>
        <w:t xml:space="preserve">1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Times New Roman" w:hAnsi="Times New Roman"/>
          <w:sz w:val="28"/>
          <w:highlight w:val="none"/>
        </w:rPr>
        <w:t xml:space="preserve">следующего содержания: </w:t>
      </w:r>
      <w:r>
        <w:rPr>
          <w:rFonts w:ascii="Times New Roman" w:hAnsi="Times New Roman"/>
          <w:sz w:val="28"/>
          <w:szCs w:val="28"/>
          <w:vertAlign w:val="baseline"/>
        </w:rPr>
      </w:r>
      <w:r>
        <w:rPr>
          <w:rFonts w:ascii="Times New Roman" w:hAnsi="Times New Roman"/>
          <w:sz w:val="28"/>
          <w:szCs w:val="28"/>
          <w:vertAlign w:val="baseli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«57</w:t>
      </w:r>
      <w:r>
        <w:rPr>
          <w:rFonts w:ascii="Times New Roman" w:hAnsi="Times New Roman"/>
          <w:sz w:val="28"/>
          <w:szCs w:val="28"/>
          <w:highlight w:val="none"/>
          <w:vertAlign w:val="superscript"/>
          <w14:ligatures w14:val="none"/>
        </w:rPr>
        <w:t xml:space="preserve">1</w:t>
      </w:r>
      <w:r>
        <w:rPr>
          <w:rFonts w:ascii="Times New Roman" w:hAnsi="Times New Roman"/>
          <w:sz w:val="28"/>
          <w:szCs w:val="28"/>
          <w:highlight w:val="none"/>
          <w:vertAlign w:val="baseline"/>
          <w14:ligatures w14:val="none"/>
        </w:rPr>
        <w:t xml:space="preserve">. </w:t>
      </w:r>
      <w:r>
        <w:rPr>
          <w:rFonts w:ascii="Times New Roman" w:hAnsi="Times New Roman"/>
          <w:sz w:val="28"/>
          <w:szCs w:val="28"/>
          <w:highlight w:val="white"/>
        </w:rPr>
        <w:t xml:space="preserve">Руководителю учреждения устанавливается </w:t>
      </w:r>
      <w:r>
        <w:rPr>
          <w:rFonts w:ascii="Times New Roman" w:hAnsi="Times New Roman"/>
          <w:sz w:val="28"/>
          <w:szCs w:val="28"/>
          <w:highlight w:val="white"/>
        </w:rPr>
        <w:t xml:space="preserve">повышающий коэффициент к окладу (должностному окладу) за выслугу в зависимости от общего количества </w:t>
      </w:r>
      <w:r>
        <w:rPr>
          <w:rFonts w:ascii="Times New Roman" w:hAnsi="Times New Roman"/>
          <w:sz w:val="28"/>
          <w:szCs w:val="28"/>
          <w:highlight w:val="white"/>
        </w:rPr>
        <w:t xml:space="preserve">лет, проработанных им в </w:t>
      </w:r>
      <w:r>
        <w:rPr>
          <w:rFonts w:ascii="Times New Roman" w:hAnsi="Times New Roman"/>
          <w:sz w:val="28"/>
          <w:szCs w:val="28"/>
          <w:highlight w:val="white"/>
        </w:rPr>
        <w:t xml:space="preserve">должности </w:t>
      </w:r>
      <w:r>
        <w:rPr>
          <w:rFonts w:ascii="Times New Roman" w:hAnsi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/>
          <w:sz w:val="28"/>
          <w:szCs w:val="28"/>
          <w:highlight w:val="white"/>
        </w:rPr>
        <w:t xml:space="preserve">к</w:t>
      </w:r>
      <w:r>
        <w:rPr>
          <w:rFonts w:ascii="Times New Roman" w:hAnsi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/>
          <w:sz w:val="28"/>
          <w:szCs w:val="28"/>
          <w:highlight w:val="white"/>
        </w:rPr>
        <w:t xml:space="preserve">д</w:t>
      </w:r>
      <w:r>
        <w:rPr>
          <w:rFonts w:ascii="Times New Roman" w:hAnsi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/>
          <w:sz w:val="28"/>
          <w:szCs w:val="28"/>
          <w:highlight w:val="white"/>
        </w:rPr>
        <w:t xml:space="preserve">л</w:t>
      </w:r>
      <w:r>
        <w:rPr>
          <w:rFonts w:ascii="Times New Roman" w:hAnsi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государственного учреждения ветеринарии</w:t>
      </w:r>
      <w:r>
        <w:rPr>
          <w:rFonts w:ascii="Times New Roman" w:hAnsi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Рекомендуемые размеры повышающего коэффициента к окладу (должностному окладу):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bookmarkStart w:id="0" w:name="undefined"/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а) при выслуге лет от 5 лет до 10 лет – 0,05;</w:t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4"/>
          <w:highlight w:val="none"/>
        </w:rPr>
      </w:pPr>
      <w:r/>
      <w:bookmarkEnd w:id="0"/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bookmarkStart w:id="0" w:name="undefined"/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б) при выслуге лет от 10 лет до 15 лет – 0,1;</w:t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4"/>
          <w:highlight w:val="none"/>
        </w:rPr>
      </w:pPr>
      <w:r/>
      <w:bookmarkEnd w:id="0"/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в) при выслуге лет свыше 15 лет – 0,15.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»;</w:t>
      </w:r>
      <w:r>
        <w:rPr>
          <w:rFonts w:ascii="Times New Roman" w:hAnsi="Times New Roman"/>
          <w:sz w:val="24"/>
          <w:highlight w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vertAlign w:val="subscript"/>
          <w14:ligatures w14:val="none"/>
        </w:rPr>
      </w:r>
      <w:r>
        <w:rPr>
          <w:rFonts w:ascii="Times New Roman" w:hAnsi="Times New Roman"/>
          <w:sz w:val="28"/>
          <w:szCs w:val="28"/>
        </w:rPr>
        <w:t xml:space="preserve">8) </w:t>
      </w:r>
      <w:r>
        <w:rPr>
          <w:rFonts w:ascii="Times New Roman" w:hAnsi="Times New Roman"/>
          <w:sz w:val="28"/>
          <w:szCs w:val="28"/>
        </w:rPr>
        <w:t xml:space="preserve">часть72 и</w:t>
      </w:r>
      <w:r>
        <w:rPr>
          <w:rFonts w:ascii="Times New Roman" w:hAnsi="Times New Roman"/>
          <w:sz w:val="28"/>
          <w:szCs w:val="28"/>
        </w:rPr>
        <w:t xml:space="preserve">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«72. В целях поощрения работников учреждения за выполненную работу работникам учреждения устанавливаются следующие виды стимулирующего характера: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1) премия за образцовое качество выполняемых работ;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2) премия по итогам работы за месяц;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3) премия за многолетний и добросовестный труд.»;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9) часть 76 признать утратившей силу;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10) часть 78 признать утратившей силу;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11) в части 79 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слова «, за квартал, за год» исключить, </w:t>
      </w:r>
      <w:r>
        <w:rPr>
          <w:rFonts w:ascii="Times New Roman" w:hAnsi="Times New Roman"/>
          <w:sz w:val="28"/>
          <w:szCs w:val="28"/>
          <w:highlight w:val="none"/>
        </w:rPr>
        <w:t xml:space="preserve">слова «в соответствующем» заменить на «в отчетном»;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12) в приложении: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а) часть 3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«3. К премиальным выплатам относятся: премия по итогам работы за месяц, премия </w:t>
      </w:r>
      <w:r>
        <w:rPr>
          <w:rFonts w:ascii="Times New Roman" w:hAnsi="Times New Roman"/>
          <w:sz w:val="28"/>
          <w:szCs w:val="28"/>
        </w:rPr>
        <w:t xml:space="preserve">за образцовое качество выполняемых работ, </w:t>
      </w:r>
      <w:r>
        <w:rPr>
          <w:rFonts w:ascii="Times New Roman" w:hAnsi="Times New Roman"/>
          <w:sz w:val="28"/>
          <w:szCs w:val="28"/>
        </w:rPr>
        <w:t xml:space="preserve">премия за многолетний и добросовестный труд</w:t>
      </w:r>
      <w:r>
        <w:rPr>
          <w:rFonts w:ascii="Times New Roman" w:hAnsi="Times New Roman"/>
          <w:sz w:val="28"/>
          <w:szCs w:val="28"/>
        </w:rPr>
        <w:t xml:space="preserve">.»;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б) в части 5 слова «, за квартал, за год» исключить;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в) часть 15 исключить;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83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W w:w="3578" w:type="dxa"/>
            <w:textDirection w:val="lrTb"/>
            <w:noWrap w:val="false"/>
          </w:tcPr>
          <w:p>
            <w:pPr>
              <w:pStyle w:val="683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683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683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0" w:name="_GoBack"/>
            <w:r/>
            <w:bookmarkEnd w:id="0"/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pStyle w:val="683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3544" w:type="dxa"/>
            <w:textDirection w:val="lrTb"/>
            <w:noWrap w:val="false"/>
          </w:tcPr>
          <w:p>
            <w:pPr>
              <w:pStyle w:val="683"/>
              <w:ind w:left="3" w:hanging="3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683"/>
              <w:ind w:right="13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683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683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pStyle w:val="683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474" w:right="851" w:bottom="1389" w:left="1418" w:header="113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Tahoma">
    <w:panose1 w:val="020B0604030504040204"/>
  </w:font>
  <w:font w:name="Droid Sans">
    <w:panose1 w:val="020B0606030804020204"/>
  </w:font>
  <w:font w:name="Open Sans">
    <w:panose1 w:val="020B0606030504020204"/>
  </w:font>
  <w:font w:name="Segoe UI">
    <w:panose1 w:val="020B0503020204020204"/>
  </w:font>
  <w:font w:name="Liberation Sans">
    <w:panose1 w:val="020B0604020202020204"/>
  </w:font>
  <w:font w:name="XO Thames">
    <w:panose1 w:val="02000603000000000000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  <w:jc w:val="center"/>
    </w:pPr>
    <w:r/>
    <w:bookmarkStart w:id="1" w:name="PageNumWizard_HEADER_Базовый1_Копия_2"/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bookmarkEnd w:id="1"/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  <w:jc w:val="center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82">
    <w:name w:val="No List"/>
    <w:uiPriority w:val="99"/>
    <w:semiHidden/>
    <w:unhideWhenUsed/>
  </w:style>
  <w:style w:type="paragraph" w:styleId="683" w:default="1">
    <w:name w:val="Normal"/>
    <w:link w:val="716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684">
    <w:name w:val="Heading 1"/>
    <w:next w:val="683"/>
    <w:link w:val="726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ru-RU" w:bidi="ar-SA"/>
    </w:rPr>
  </w:style>
  <w:style w:type="paragraph" w:styleId="685">
    <w:name w:val="Heading 2"/>
    <w:next w:val="683"/>
    <w:link w:val="738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686">
    <w:name w:val="Heading 3"/>
    <w:next w:val="683"/>
    <w:link w:val="722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ru-RU" w:bidi="ar-SA"/>
    </w:rPr>
  </w:style>
  <w:style w:type="paragraph" w:styleId="687">
    <w:name w:val="Heading 4"/>
    <w:next w:val="683"/>
    <w:link w:val="737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ru-RU" w:bidi="ar-SA"/>
    </w:rPr>
  </w:style>
  <w:style w:type="paragraph" w:styleId="688">
    <w:name w:val="Heading 5"/>
    <w:next w:val="683"/>
    <w:link w:val="725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ru-RU" w:bidi="ar-SA"/>
    </w:rPr>
  </w:style>
  <w:style w:type="paragraph" w:styleId="689">
    <w:name w:val="Heading 6"/>
    <w:basedOn w:val="683"/>
    <w:next w:val="683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0">
    <w:name w:val="Heading 7"/>
    <w:basedOn w:val="683"/>
    <w:next w:val="683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1">
    <w:name w:val="Heading 8"/>
    <w:basedOn w:val="683"/>
    <w:next w:val="683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2">
    <w:name w:val="Heading 9"/>
    <w:basedOn w:val="683"/>
    <w:next w:val="683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3">
    <w:name w:val="Heading 1 Char"/>
    <w:basedOn w:val="715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694">
    <w:name w:val="Heading 2 Char"/>
    <w:basedOn w:val="715"/>
    <w:uiPriority w:val="9"/>
    <w:qFormat/>
    <w:rPr>
      <w:rFonts w:ascii="Liberation Sans" w:hAnsi="Liberation Sans" w:eastAsia="Liberation Sans" w:cs="Liberation Sans"/>
      <w:sz w:val="34"/>
    </w:rPr>
  </w:style>
  <w:style w:type="character" w:styleId="695">
    <w:name w:val="Heading 3 Char"/>
    <w:basedOn w:val="715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696">
    <w:name w:val="Heading 4 Char"/>
    <w:basedOn w:val="715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7">
    <w:name w:val="Heading 5 Char"/>
    <w:basedOn w:val="715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8">
    <w:name w:val="Heading 6 Char"/>
    <w:basedOn w:val="715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9">
    <w:name w:val="Heading 7 Char"/>
    <w:basedOn w:val="715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0">
    <w:name w:val="Heading 8 Char"/>
    <w:basedOn w:val="715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1">
    <w:name w:val="Heading 9 Char"/>
    <w:basedOn w:val="715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2">
    <w:name w:val="Title Char"/>
    <w:basedOn w:val="715"/>
    <w:uiPriority w:val="10"/>
    <w:qFormat/>
    <w:rPr>
      <w:sz w:val="48"/>
      <w:szCs w:val="48"/>
    </w:rPr>
  </w:style>
  <w:style w:type="character" w:styleId="703">
    <w:name w:val="Subtitle Char"/>
    <w:basedOn w:val="715"/>
    <w:uiPriority w:val="11"/>
    <w:qFormat/>
    <w:rPr>
      <w:sz w:val="24"/>
      <w:szCs w:val="24"/>
    </w:rPr>
  </w:style>
  <w:style w:type="character" w:styleId="704">
    <w:name w:val="Quote Char"/>
    <w:link w:val="746"/>
    <w:uiPriority w:val="29"/>
    <w:qFormat/>
    <w:rPr>
      <w:i/>
    </w:rPr>
  </w:style>
  <w:style w:type="character" w:styleId="705">
    <w:name w:val="Intense Quote Char"/>
    <w:link w:val="747"/>
    <w:uiPriority w:val="30"/>
    <w:qFormat/>
    <w:rPr>
      <w:i/>
    </w:rPr>
  </w:style>
  <w:style w:type="character" w:styleId="706">
    <w:name w:val="Header Char"/>
    <w:basedOn w:val="715"/>
    <w:uiPriority w:val="99"/>
    <w:qFormat/>
  </w:style>
  <w:style w:type="character" w:styleId="707">
    <w:name w:val="Footer Char"/>
    <w:basedOn w:val="715"/>
    <w:uiPriority w:val="99"/>
    <w:qFormat/>
  </w:style>
  <w:style w:type="character" w:styleId="708">
    <w:name w:val="Caption Char"/>
    <w:basedOn w:val="715"/>
    <w:uiPriority w:val="35"/>
    <w:qFormat/>
    <w:rPr>
      <w:b/>
      <w:bCs/>
      <w:color w:val="4f81bd" w:themeColor="accent1"/>
      <w:sz w:val="18"/>
      <w:szCs w:val="18"/>
    </w:rPr>
  </w:style>
  <w:style w:type="character" w:styleId="709">
    <w:name w:val="Footnote Text Char"/>
    <w:uiPriority w:val="99"/>
    <w:qFormat/>
    <w:rPr>
      <w:sz w:val="18"/>
    </w:rPr>
  </w:style>
  <w:style w:type="character" w:styleId="710">
    <w:name w:val="Символ сноски"/>
    <w:basedOn w:val="715"/>
    <w:uiPriority w:val="99"/>
    <w:unhideWhenUsed/>
    <w:qFormat/>
    <w:rPr>
      <w:vertAlign w:val="superscript"/>
    </w:rPr>
  </w:style>
  <w:style w:type="character" w:styleId="711">
    <w:name w:val="footnote reference"/>
    <w:rPr>
      <w:vertAlign w:val="superscript"/>
    </w:rPr>
  </w:style>
  <w:style w:type="character" w:styleId="712">
    <w:name w:val="Endnote Text Char"/>
    <w:uiPriority w:val="99"/>
    <w:qFormat/>
    <w:rPr>
      <w:sz w:val="20"/>
    </w:rPr>
  </w:style>
  <w:style w:type="character" w:styleId="713">
    <w:name w:val="Символ концевой сноски"/>
    <w:basedOn w:val="715"/>
    <w:uiPriority w:val="99"/>
    <w:semiHidden/>
    <w:unhideWhenUsed/>
    <w:qFormat/>
    <w:rPr>
      <w:vertAlign w:val="superscript"/>
    </w:rPr>
  </w:style>
  <w:style w:type="character" w:styleId="714">
    <w:name w:val="endnote reference"/>
    <w:rPr>
      <w:vertAlign w:val="superscript"/>
    </w:rPr>
  </w:style>
  <w:style w:type="character" w:styleId="715" w:default="1">
    <w:name w:val="Default Paragraph Font"/>
    <w:uiPriority w:val="1"/>
    <w:semiHidden/>
    <w:unhideWhenUsed/>
    <w:qFormat/>
  </w:style>
  <w:style w:type="character" w:styleId="716" w:customStyle="1">
    <w:name w:val="Обычный1"/>
    <w:qFormat/>
  </w:style>
  <w:style w:type="character" w:styleId="717" w:customStyle="1">
    <w:name w:val="Оглавление 2 Знак"/>
    <w:qFormat/>
    <w:rPr>
      <w:rFonts w:ascii="XO Thames" w:hAnsi="XO Thames"/>
      <w:sz w:val="28"/>
    </w:rPr>
  </w:style>
  <w:style w:type="character" w:styleId="718" w:customStyle="1">
    <w:name w:val="Оглавление 4 Знак"/>
    <w:qFormat/>
    <w:rPr>
      <w:rFonts w:ascii="XO Thames" w:hAnsi="XO Thames"/>
      <w:sz w:val="28"/>
    </w:rPr>
  </w:style>
  <w:style w:type="character" w:styleId="719" w:customStyle="1">
    <w:name w:val="Верхний колонтитул Знак"/>
    <w:basedOn w:val="716"/>
    <w:uiPriority w:val="99"/>
    <w:qFormat/>
  </w:style>
  <w:style w:type="character" w:styleId="720" w:customStyle="1">
    <w:name w:val="Оглавление 6 Знак"/>
    <w:qFormat/>
    <w:rPr>
      <w:rFonts w:ascii="XO Thames" w:hAnsi="XO Thames"/>
      <w:sz w:val="28"/>
    </w:rPr>
  </w:style>
  <w:style w:type="character" w:styleId="721" w:customStyle="1">
    <w:name w:val="Оглавление 7 Знак"/>
    <w:qFormat/>
    <w:rPr>
      <w:rFonts w:ascii="XO Thames" w:hAnsi="XO Thames"/>
      <w:sz w:val="28"/>
    </w:rPr>
  </w:style>
  <w:style w:type="character" w:styleId="722" w:customStyle="1">
    <w:name w:val="Заголовок 3 Знак"/>
    <w:qFormat/>
    <w:rPr>
      <w:rFonts w:ascii="XO Thames" w:hAnsi="XO Thames"/>
      <w:b/>
      <w:sz w:val="26"/>
    </w:rPr>
  </w:style>
  <w:style w:type="character" w:styleId="723" w:customStyle="1">
    <w:name w:val="Текст Знак"/>
    <w:basedOn w:val="716"/>
    <w:link w:val="759"/>
    <w:qFormat/>
    <w:rPr>
      <w:rFonts w:ascii="Calibri" w:hAnsi="Calibri"/>
    </w:rPr>
  </w:style>
  <w:style w:type="character" w:styleId="724" w:customStyle="1">
    <w:name w:val="Оглавление 3 Знак"/>
    <w:qFormat/>
    <w:rPr>
      <w:rFonts w:ascii="XO Thames" w:hAnsi="XO Thames"/>
      <w:sz w:val="28"/>
    </w:rPr>
  </w:style>
  <w:style w:type="character" w:styleId="725" w:customStyle="1">
    <w:name w:val="Заголовок 5 Знак"/>
    <w:qFormat/>
    <w:rPr>
      <w:rFonts w:ascii="XO Thames" w:hAnsi="XO Thames"/>
      <w:b/>
      <w:sz w:val="22"/>
    </w:rPr>
  </w:style>
  <w:style w:type="character" w:styleId="726" w:customStyle="1">
    <w:name w:val="Заголовок 1 Знак"/>
    <w:qFormat/>
    <w:rPr>
      <w:rFonts w:ascii="XO Thames" w:hAnsi="XO Thames"/>
      <w:b/>
      <w:sz w:val="32"/>
    </w:rPr>
  </w:style>
  <w:style w:type="character" w:styleId="727">
    <w:name w:val="Hyperlink"/>
    <w:basedOn w:val="715"/>
    <w:link w:val="761"/>
    <w:rPr>
      <w:color w:val="0563c1" w:themeColor="hyperlink"/>
      <w:u w:val="single"/>
    </w:rPr>
  </w:style>
  <w:style w:type="character" w:styleId="728" w:customStyle="1">
    <w:name w:val="Footnote"/>
    <w:link w:val="762"/>
    <w:qFormat/>
    <w:rPr>
      <w:rFonts w:ascii="XO Thames" w:hAnsi="XO Thames"/>
      <w:sz w:val="22"/>
    </w:rPr>
  </w:style>
  <w:style w:type="character" w:styleId="729" w:customStyle="1">
    <w:name w:val="Оглавление 1 Знак"/>
    <w:qFormat/>
    <w:rPr>
      <w:rFonts w:ascii="XO Thames" w:hAnsi="XO Thames"/>
      <w:b/>
      <w:sz w:val="28"/>
    </w:rPr>
  </w:style>
  <w:style w:type="character" w:styleId="730" w:customStyle="1">
    <w:name w:val="Header and Footer"/>
    <w:qFormat/>
    <w:rPr>
      <w:rFonts w:ascii="XO Thames" w:hAnsi="XO Thames"/>
      <w:sz w:val="20"/>
    </w:rPr>
  </w:style>
  <w:style w:type="character" w:styleId="731" w:customStyle="1">
    <w:name w:val="Оглавление 9 Знак"/>
    <w:qFormat/>
    <w:rPr>
      <w:rFonts w:ascii="XO Thames" w:hAnsi="XO Thames"/>
      <w:sz w:val="28"/>
    </w:rPr>
  </w:style>
  <w:style w:type="character" w:styleId="732" w:customStyle="1">
    <w:name w:val="Оглавление 8 Знак"/>
    <w:qFormat/>
    <w:rPr>
      <w:rFonts w:ascii="XO Thames" w:hAnsi="XO Thames"/>
      <w:sz w:val="28"/>
    </w:rPr>
  </w:style>
  <w:style w:type="character" w:styleId="733" w:customStyle="1">
    <w:name w:val="Подзаголовок Знак"/>
    <w:qFormat/>
    <w:rPr>
      <w:rFonts w:ascii="XO Thames" w:hAnsi="XO Thames"/>
      <w:i/>
      <w:sz w:val="24"/>
    </w:rPr>
  </w:style>
  <w:style w:type="character" w:styleId="734" w:customStyle="1">
    <w:name w:val="Нижний колонтитул Знак"/>
    <w:basedOn w:val="716"/>
    <w:qFormat/>
    <w:rPr>
      <w:rFonts w:ascii="Times New Roman" w:hAnsi="Times New Roman"/>
      <w:sz w:val="28"/>
    </w:rPr>
  </w:style>
  <w:style w:type="character" w:styleId="735" w:customStyle="1">
    <w:name w:val="Название Знак"/>
    <w:qFormat/>
    <w:rPr>
      <w:rFonts w:ascii="XO Thames" w:hAnsi="XO Thames"/>
      <w:b/>
      <w:caps/>
      <w:sz w:val="40"/>
    </w:rPr>
  </w:style>
  <w:style w:type="character" w:styleId="736" w:customStyle="1">
    <w:name w:val="Текст выноски Знак"/>
    <w:basedOn w:val="716"/>
    <w:link w:val="771"/>
    <w:qFormat/>
    <w:rPr>
      <w:rFonts w:ascii="Segoe UI" w:hAnsi="Segoe UI"/>
      <w:sz w:val="18"/>
    </w:rPr>
  </w:style>
  <w:style w:type="character" w:styleId="737" w:customStyle="1">
    <w:name w:val="Заголовок 4 Знак"/>
    <w:qFormat/>
    <w:rPr>
      <w:rFonts w:ascii="XO Thames" w:hAnsi="XO Thames"/>
      <w:b/>
      <w:sz w:val="24"/>
    </w:rPr>
  </w:style>
  <w:style w:type="character" w:styleId="738" w:customStyle="1">
    <w:name w:val="Заголовок 2 Знак"/>
    <w:qFormat/>
    <w:rPr>
      <w:rFonts w:ascii="XO Thames" w:hAnsi="XO Thames"/>
      <w:b/>
      <w:sz w:val="28"/>
    </w:rPr>
  </w:style>
  <w:style w:type="paragraph" w:styleId="739">
    <w:name w:val="Заголовок"/>
    <w:basedOn w:val="683"/>
    <w:next w:val="740"/>
    <w:qFormat/>
    <w:pPr>
      <w:keepNext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740">
    <w:name w:val="Body Text"/>
    <w:basedOn w:val="683"/>
    <w:pPr>
      <w:spacing w:before="0" w:after="140" w:line="276" w:lineRule="auto"/>
    </w:pPr>
  </w:style>
  <w:style w:type="paragraph" w:styleId="741">
    <w:name w:val="List"/>
    <w:basedOn w:val="740"/>
    <w:rPr>
      <w:rFonts w:cs="Droid Sans"/>
    </w:rPr>
  </w:style>
  <w:style w:type="paragraph" w:styleId="742">
    <w:name w:val="Caption"/>
    <w:basedOn w:val="683"/>
    <w:next w:val="68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43">
    <w:name w:val="Указатель"/>
    <w:basedOn w:val="683"/>
    <w:qFormat/>
    <w:pPr>
      <w:suppressLineNumbers/>
    </w:pPr>
    <w:rPr>
      <w:rFonts w:cs="Droid Sans"/>
    </w:rPr>
  </w:style>
  <w:style w:type="paragraph" w:styleId="744">
    <w:name w:val="List Paragraph"/>
    <w:basedOn w:val="683"/>
    <w:uiPriority w:val="34"/>
    <w:qFormat/>
    <w:pPr>
      <w:contextualSpacing/>
      <w:ind w:left="720"/>
      <w:spacing w:before="0" w:after="160"/>
    </w:pPr>
  </w:style>
  <w:style w:type="paragraph" w:styleId="745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746">
    <w:name w:val="Quote"/>
    <w:basedOn w:val="683"/>
    <w:next w:val="683"/>
    <w:link w:val="704"/>
    <w:uiPriority w:val="29"/>
    <w:qFormat/>
    <w:pPr>
      <w:ind w:left="720" w:right="720"/>
    </w:pPr>
    <w:rPr>
      <w:i/>
    </w:rPr>
  </w:style>
  <w:style w:type="paragraph" w:styleId="747">
    <w:name w:val="Intense Quote"/>
    <w:basedOn w:val="683"/>
    <w:next w:val="683"/>
    <w:link w:val="705"/>
    <w:uiPriority w:val="30"/>
    <w:qFormat/>
    <w:pPr>
      <w:ind w:left="720" w:right="720"/>
      <w:spacing w:before="0" w:after="16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8">
    <w:name w:val="footnote text"/>
    <w:basedOn w:val="683"/>
    <w:link w:val="70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49">
    <w:name w:val="endnote text"/>
    <w:basedOn w:val="683"/>
    <w:link w:val="712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0">
    <w:name w:val="index heading"/>
    <w:basedOn w:val="739"/>
  </w:style>
  <w:style w:type="paragraph" w:styleId="751">
    <w:name w:val="TOC Heading"/>
    <w:uiPriority w:val="39"/>
    <w:unhideWhenUsed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752">
    <w:name w:val="table of figures"/>
    <w:basedOn w:val="683"/>
    <w:next w:val="683"/>
    <w:uiPriority w:val="99"/>
    <w:unhideWhenUsed/>
    <w:pPr>
      <w:spacing w:before="0" w:after="0" w:afterAutospacing="0"/>
    </w:pPr>
  </w:style>
  <w:style w:type="paragraph" w:styleId="753">
    <w:name w:val="toc 2"/>
    <w:next w:val="683"/>
    <w:link w:val="717"/>
    <w:uiPriority w:val="39"/>
    <w:pPr>
      <w:ind w:left="2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54">
    <w:name w:val="toc 4"/>
    <w:next w:val="683"/>
    <w:link w:val="718"/>
    <w:uiPriority w:val="39"/>
    <w:pPr>
      <w:ind w:left="6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55" w:customStyle="1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ru-RU" w:bidi="ar-SA"/>
    </w:rPr>
  </w:style>
  <w:style w:type="paragraph" w:styleId="756">
    <w:name w:val="Header"/>
    <w:basedOn w:val="683"/>
    <w:link w:val="719"/>
    <w:uiPriority w:val="9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57">
    <w:name w:val="toc 6"/>
    <w:next w:val="683"/>
    <w:link w:val="720"/>
    <w:uiPriority w:val="39"/>
    <w:pPr>
      <w:ind w:left="10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58">
    <w:name w:val="toc 7"/>
    <w:next w:val="683"/>
    <w:link w:val="721"/>
    <w:uiPriority w:val="39"/>
    <w:pPr>
      <w:ind w:left="12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59">
    <w:name w:val="Plain Text"/>
    <w:basedOn w:val="683"/>
    <w:link w:val="723"/>
    <w:qFormat/>
    <w:pPr>
      <w:spacing w:before="0" w:after="0" w:line="240" w:lineRule="auto"/>
    </w:pPr>
    <w:rPr>
      <w:rFonts w:ascii="Calibri" w:hAnsi="Calibri"/>
    </w:rPr>
  </w:style>
  <w:style w:type="paragraph" w:styleId="760">
    <w:name w:val="toc 3"/>
    <w:next w:val="683"/>
    <w:link w:val="724"/>
    <w:uiPriority w:val="39"/>
    <w:pPr>
      <w:ind w:left="4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61" w:customStyle="1">
    <w:name w:val="Гиперссылка1"/>
    <w:basedOn w:val="764"/>
    <w:qFormat/>
    <w:rPr>
      <w:color w:val="0563c1" w:themeColor="hyperlink"/>
      <w:u w:val="single"/>
    </w:rPr>
  </w:style>
  <w:style w:type="paragraph" w:styleId="762" w:customStyle="1">
    <w:name w:val="Footnote1"/>
    <w:link w:val="728"/>
    <w:qFormat/>
    <w:pPr>
      <w:ind w:firstLine="851"/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ru-RU" w:bidi="ar-SA"/>
    </w:rPr>
  </w:style>
  <w:style w:type="paragraph" w:styleId="763">
    <w:name w:val="toc 1"/>
    <w:next w:val="683"/>
    <w:link w:val="729"/>
    <w:uiPriority w:val="39"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764" w:customStyle="1">
    <w:name w:val="Основной шрифт абзаца1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765">
    <w:name w:val="toc 9"/>
    <w:next w:val="683"/>
    <w:link w:val="731"/>
    <w:uiPriority w:val="39"/>
    <w:pPr>
      <w:ind w:left="16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66">
    <w:name w:val="toc 8"/>
    <w:next w:val="683"/>
    <w:link w:val="732"/>
    <w:uiPriority w:val="39"/>
    <w:pPr>
      <w:ind w:left="14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67">
    <w:name w:val="toc 5"/>
    <w:next w:val="683"/>
    <w:link w:val="774"/>
    <w:uiPriority w:val="39"/>
    <w:pPr>
      <w:ind w:left="80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768">
    <w:name w:val="Subtitle"/>
    <w:next w:val="683"/>
    <w:link w:val="733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ru-RU" w:bidi="ar-SA"/>
    </w:rPr>
  </w:style>
  <w:style w:type="paragraph" w:styleId="769">
    <w:name w:val="Footer"/>
    <w:basedOn w:val="683"/>
    <w:link w:val="734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770">
    <w:name w:val="Title"/>
    <w:next w:val="683"/>
    <w:link w:val="735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ru-RU" w:bidi="ar-SA"/>
    </w:rPr>
  </w:style>
  <w:style w:type="paragraph" w:styleId="771">
    <w:name w:val="Balloon Text"/>
    <w:basedOn w:val="683"/>
    <w:link w:val="736"/>
    <w:qFormat/>
    <w:pPr>
      <w:spacing w:before="0" w:after="0" w:line="240" w:lineRule="auto"/>
    </w:pPr>
    <w:rPr>
      <w:rFonts w:ascii="Segoe UI" w:hAnsi="Segoe UI"/>
      <w:sz w:val="18"/>
    </w:rPr>
  </w:style>
  <w:style w:type="numbering" w:styleId="772" w:default="1">
    <w:name w:val="Без списка"/>
    <w:uiPriority w:val="99"/>
    <w:semiHidden/>
    <w:unhideWhenUsed/>
    <w:qFormat/>
  </w:style>
  <w:style w:type="table" w:styleId="773">
    <w:name w:val="Table Grid Light"/>
    <w:basedOn w:val="89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4">
    <w:name w:val="Plain Table 1"/>
    <w:basedOn w:val="89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5">
    <w:name w:val="Plain Table 2"/>
    <w:basedOn w:val="8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6">
    <w:name w:val="Plain Table 3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77">
    <w:name w:val="Plain Table 4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78">
    <w:name w:val="Plain Table 5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>
    <w:name w:val="Grid Table 1 Light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0">
    <w:name w:val="Grid Table 1 Light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1">
    <w:name w:val="Grid Table 1 Light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2">
    <w:name w:val="Grid Table 1 Light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3">
    <w:name w:val="Grid Table 1 Light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4">
    <w:name w:val="Grid Table 1 Light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5">
    <w:name w:val="Grid Table 1 Light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6">
    <w:name w:val="Grid Table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4"/>
    <w:basedOn w:val="8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1">
    <w:name w:val="Grid Table 4 - Accent 1"/>
    <w:basedOn w:val="8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Grid Table 4 - Accent 2"/>
    <w:basedOn w:val="8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03">
    <w:name w:val="Grid Table 4 - Accent 3"/>
    <w:basedOn w:val="8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04">
    <w:name w:val="Grid Table 4 - Accent 4"/>
    <w:basedOn w:val="8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05">
    <w:name w:val="Grid Table 4 - Accent 5"/>
    <w:basedOn w:val="8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06">
    <w:name w:val="Grid Table 4 - Accent 6"/>
    <w:basedOn w:val="8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07">
    <w:name w:val="Grid Table 5 Dark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08">
    <w:name w:val="Grid Table 5 Dark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811">
    <w:name w:val="Grid Table 5 Dark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814">
    <w:name w:val="Grid Table 6 Colorful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15">
    <w:name w:val="Grid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16">
    <w:name w:val="Grid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17">
    <w:name w:val="Grid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18">
    <w:name w:val="Grid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19">
    <w:name w:val="Grid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0">
    <w:name w:val="Grid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1">
    <w:name w:val="Grid Table 7 Colorful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1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2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3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4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5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6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6">
    <w:name w:val="List Table 2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37">
    <w:name w:val="List Table 2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38">
    <w:name w:val="List Table 2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39">
    <w:name w:val="List Table 2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0">
    <w:name w:val="List Table 2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1">
    <w:name w:val="List Table 2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2">
    <w:name w:val="List Table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>
    <w:name w:val="List Table 3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>
    <w:name w:val="List Table 3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5">
    <w:name w:val="List Table 3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>
    <w:name w:val="List Table 3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>
    <w:name w:val="List Table 3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>
    <w:name w:val="List Table 3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>
    <w:name w:val="List Table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>
    <w:name w:val="List Table 4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>
    <w:name w:val="List Table 4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>
    <w:name w:val="List Table 4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>
    <w:name w:val="List Table 4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>
    <w:name w:val="List Table 4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>
    <w:name w:val="List Table 4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>
    <w:name w:val="List Table 5 Dark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7">
    <w:name w:val="List Table 5 Dark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8">
    <w:name w:val="List Table 5 Dark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9">
    <w:name w:val="List Table 5 Dark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0">
    <w:name w:val="List Table 5 Dark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1">
    <w:name w:val="List Table 5 Dark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2">
    <w:name w:val="List Table 5 Dark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3">
    <w:name w:val="List Table 6 Colorful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4">
    <w:name w:val="List Table 6 Colorful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5">
    <w:name w:val="List Table 6 Colorful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66">
    <w:name w:val="List Table 6 Colorful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67">
    <w:name w:val="List Table 6 Colorful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68">
    <w:name w:val="List Table 6 Colorful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69">
    <w:name w:val="List Table 6 Colorful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0">
    <w:name w:val="List Table 7 Colorful"/>
    <w:basedOn w:val="8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1">
    <w:name w:val="List Table 7 Colorful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72">
    <w:name w:val="List Table 7 Colorful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73">
    <w:name w:val="List Table 7 Colorful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74">
    <w:name w:val="List Table 7 Colorful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75">
    <w:name w:val="List Table 7 Colorful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76">
    <w:name w:val="List Table 7 Colorful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77">
    <w:name w:val="Lined - Accent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78">
    <w:name w:val="Lined - Accent 1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79">
    <w:name w:val="Lined - Accent 2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80">
    <w:name w:val="Lined - Accent 3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81">
    <w:name w:val="Lined - Accent 4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82">
    <w:name w:val="Lined - Accent 5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83">
    <w:name w:val="Lined - Accent 6"/>
    <w:basedOn w:val="8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84">
    <w:name w:val="Bordered &amp; Lined - Accent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5">
    <w:name w:val="Bordered &amp; Lined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86">
    <w:name w:val="Bordered &amp; Lined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87">
    <w:name w:val="Bordered &amp; Lined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88">
    <w:name w:val="Bordered &amp; Lined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89">
    <w:name w:val="Bordered &amp; Lined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90">
    <w:name w:val="Bordered &amp; Lined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91">
    <w:name w:val="Bordered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2">
    <w:name w:val="Bordered - Accent 1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3">
    <w:name w:val="Bordered - Accent 2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94">
    <w:name w:val="Bordered - Accent 3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95">
    <w:name w:val="Bordered - Accent 4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96">
    <w:name w:val="Bordered - Accent 5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97">
    <w:name w:val="Bordered - Accent 6"/>
    <w:basedOn w:val="8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9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99">
    <w:name w:val="Table Grid"/>
    <w:basedOn w:val="89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0" w:customStyle="1">
    <w:name w:val="Сетка таблицы1"/>
    <w:basedOn w:val="89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1" w:customStyle="1">
    <w:name w:val="Сетка таблицы2"/>
    <w:basedOn w:val="898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HP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Дмитрий Игоревич</dc:creator>
  <dc:description/>
  <dc:language>ru-RU</dc:language>
  <cp:lastModifiedBy>leonovads</cp:lastModifiedBy>
  <cp:revision>21</cp:revision>
  <dcterms:created xsi:type="dcterms:W3CDTF">2025-01-31T01:52:00Z</dcterms:created>
  <dcterms:modified xsi:type="dcterms:W3CDTF">2026-09-29T04:45:02Z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