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sz w:val="28"/>
          <w:highlight w:val="yellow"/>
        </w:rPr>
      </w:pPr>
      <w:r>
        <w:rPr>
          <w:sz w:val="32"/>
          <w:highlight w:val="yellow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10" o:title=""/>
              </v:shape>
            </w:pict>
          </mc:Fallback>
        </mc:AlternateContent>
      </w:r>
      <w:r>
        <w:rPr>
          <w:sz w:val="28"/>
          <w:highlight w:val="yellow"/>
        </w:rPr>
      </w:r>
      <w:r>
        <w:rPr>
          <w:sz w:val="28"/>
          <w:highlight w:val="yellow"/>
        </w:rPr>
      </w:r>
    </w:p>
    <w:p>
      <w:pPr>
        <w:jc w:val="center"/>
        <w:rPr>
          <w:sz w:val="32"/>
          <w:highlight w:val="yellow"/>
        </w:rPr>
      </w:pPr>
      <w:r>
        <w:rPr>
          <w:sz w:val="32"/>
          <w:highlight w:val="yellow"/>
        </w:rPr>
      </w:r>
      <w:r>
        <w:rPr>
          <w:sz w:val="32"/>
          <w:highlight w:val="yellow"/>
        </w:rPr>
      </w:r>
      <w:r>
        <w:rPr>
          <w:sz w:val="32"/>
          <w:highlight w:val="yellow"/>
        </w:rPr>
      </w:r>
    </w:p>
    <w:p>
      <w:pPr>
        <w:jc w:val="center"/>
        <w:rPr>
          <w:b/>
          <w:sz w:val="32"/>
          <w:highlight w:val="yellow"/>
        </w:rPr>
      </w:pPr>
      <w:r>
        <w:rPr>
          <w:b/>
          <w:sz w:val="32"/>
          <w:highlight w:val="yellow"/>
        </w:rPr>
      </w:r>
      <w:r>
        <w:rPr>
          <w:b/>
          <w:sz w:val="32"/>
          <w:highlight w:val="yellow"/>
        </w:rPr>
      </w:r>
      <w:r>
        <w:rPr>
          <w:b/>
          <w:sz w:val="32"/>
          <w:highlight w:val="yellow"/>
        </w:rPr>
      </w:r>
    </w:p>
    <w:p>
      <w:pPr>
        <w:rPr>
          <w:b/>
          <w:sz w:val="32"/>
          <w:highlight w:val="yellow"/>
        </w:rPr>
      </w:pPr>
      <w:r>
        <w:rPr>
          <w:b/>
          <w:sz w:val="32"/>
          <w:highlight w:val="yellow"/>
        </w:rPr>
      </w:r>
      <w:r>
        <w:rPr>
          <w:b/>
          <w:sz w:val="32"/>
          <w:highlight w:val="yellow"/>
        </w:rPr>
      </w:r>
      <w:r>
        <w:rPr>
          <w:b/>
          <w:sz w:val="32"/>
          <w:highlight w:val="yellow"/>
        </w:rPr>
      </w:r>
    </w:p>
    <w:p>
      <w:pPr>
        <w:jc w:val="center"/>
        <w:rPr>
          <w:b/>
          <w:sz w:val="32"/>
        </w:rPr>
      </w:pPr>
      <w:r>
        <w:rPr>
          <w:b/>
          <w:sz w:val="32"/>
        </w:rPr>
        <w:t xml:space="preserve">П О С Т А Н О В Л Е Н И Е</w:t>
      </w:r>
      <w:r>
        <w:rPr>
          <w:b/>
          <w:sz w:val="32"/>
        </w:rPr>
      </w:r>
      <w:r>
        <w:rPr>
          <w:b/>
          <w:sz w:val="32"/>
        </w:rPr>
      </w:r>
    </w:p>
    <w:p>
      <w:pPr>
        <w:jc w:val="center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jc w:val="center"/>
        <w:rPr>
          <w:b/>
          <w:sz w:val="28"/>
        </w:rPr>
      </w:pPr>
      <w:r>
        <w:rPr>
          <w:b/>
          <w:sz w:val="28"/>
        </w:rPr>
        <w:t xml:space="preserve">ПРАВИТЕЛЬСТВА</w:t>
      </w:r>
      <w:r>
        <w:rPr>
          <w:b/>
          <w:sz w:val="28"/>
        </w:rPr>
      </w:r>
      <w:r>
        <w:rPr>
          <w:b/>
          <w:sz w:val="28"/>
        </w:rPr>
      </w:r>
    </w:p>
    <w:p>
      <w:pPr>
        <w:jc w:val="center"/>
        <w:rPr>
          <w:b/>
          <w:sz w:val="28"/>
        </w:rPr>
      </w:pPr>
      <w:r>
        <w:rPr>
          <w:b/>
          <w:sz w:val="28"/>
        </w:rPr>
        <w:t xml:space="preserve">КАМЧАТСКОГО КРАЯ</w:t>
      </w:r>
      <w:r>
        <w:rPr>
          <w:b/>
          <w:sz w:val="28"/>
        </w:rPr>
      </w:r>
      <w:r>
        <w:rPr>
          <w:b/>
          <w:sz w:val="28"/>
        </w:rPr>
      </w:r>
    </w:p>
    <w:p>
      <w:pPr>
        <w:ind w:firstLine="709"/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4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</w:pPr>
            <w:r/>
            <w:bookmarkStart w:id="0" w:name="REGNUMDATESTAMP"/>
            <w:r>
              <w:rPr>
                <w:color w:val="ffffff"/>
              </w:rPr>
              <w:t xml:space="preserve">[Дата регистрации] № [Номер</w:t>
            </w:r>
            <w:r>
              <w:rPr>
                <w:color w:val="ffffff"/>
                <w:sz w:val="20"/>
              </w:rPr>
              <w:t xml:space="preserve"> документа</w:t>
            </w:r>
            <w:r>
              <w:rPr>
                <w:color w:val="ffffff"/>
              </w:rPr>
              <w:t xml:space="preserve">]</w:t>
            </w:r>
            <w:bookmarkEnd w:id="0"/>
            <w:r/>
            <w:r/>
          </w:p>
        </w:tc>
      </w:tr>
      <w:tr>
        <w:tblPrEx/>
        <w:trPr>
          <w:trHeight w:val="247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rPr>
                <w:u w:val="single"/>
              </w:rPr>
            </w:pPr>
            <w:r>
              <w:t xml:space="preserve">г. Петропавловск-Камчатский</w:t>
            </w:r>
            <w:r>
              <w:rPr>
                <w:u w:val="single"/>
              </w:rPr>
            </w:r>
            <w:r>
              <w:rPr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</w:tbl>
    <w:p>
      <w:pPr>
        <w:jc w:val="center"/>
        <w:rPr>
          <w:rStyle w:val="856"/>
          <w:sz w:val="28"/>
          <w:szCs w:val="28"/>
        </w:rPr>
      </w:pPr>
      <w:r>
        <w:rPr>
          <w:sz w:val="28"/>
          <w:szCs w:val="28"/>
        </w:rPr>
      </w:r>
      <w:r>
        <w:rPr>
          <w:rStyle w:val="856"/>
          <w:sz w:val="28"/>
          <w:szCs w:val="28"/>
        </w:rPr>
      </w:r>
      <w:r>
        <w:rPr>
          <w:rStyle w:val="856"/>
          <w:sz w:val="28"/>
          <w:szCs w:val="28"/>
        </w:rPr>
      </w:r>
    </w:p>
    <w:p>
      <w:pPr>
        <w:jc w:val="center"/>
        <w:rPr>
          <w:b/>
          <w:bCs/>
          <w:color w:val="000000" w:themeColor="text1"/>
          <w:sz w:val="28"/>
          <w:szCs w:val="28"/>
          <w:highlight w:val="yellow"/>
        </w:rPr>
      </w:pPr>
      <w:r>
        <w:rPr>
          <w:rStyle w:val="856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Об утверждении Порядка предоставления в 2026-2027 годах из краевого бюджета с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убсидии Камчатскому краевому отделению Всероссийской общественной организации ветеранов «Боевое братство» на финансовое обеспечение затрат в связи с реализацией проектов, направленных на социализацию участников Специальной военной операции и членов их семей</w:t>
      </w:r>
      <w:r>
        <w:rPr>
          <w:rStyle w:val="856"/>
          <w:b/>
          <w:bCs/>
          <w:color w:val="000000" w:themeColor="text1"/>
          <w:sz w:val="28"/>
          <w:szCs w:val="28"/>
        </w:rPr>
      </w:r>
      <w:r>
        <w:rPr>
          <w:b/>
          <w:bCs/>
          <w:color w:val="000000" w:themeColor="text1"/>
          <w:sz w:val="28"/>
          <w:szCs w:val="28"/>
          <w:highlight w:val="yellow"/>
        </w:rPr>
      </w:r>
    </w:p>
    <w:p>
      <w:pPr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</w:t>
      </w:r>
      <w:r>
        <w:rPr>
          <w:sz w:val="28"/>
          <w:szCs w:val="28"/>
        </w:rPr>
        <w:t xml:space="preserve">нктом 2 статьи 78</w:t>
      </w:r>
      <w:r>
        <w:rPr>
          <w:sz w:val="28"/>
          <w:szCs w:val="28"/>
          <w:vertAlign w:val="superscript"/>
        </w:rPr>
        <w:t xml:space="preserve">1</w:t>
      </w:r>
      <w:r>
        <w:rPr>
          <w:sz w:val="28"/>
          <w:szCs w:val="28"/>
        </w:rPr>
        <w:t xml:space="preserve">, подпунктом 1 пункта 2 статьи 78</w:t>
      </w:r>
      <w:r>
        <w:rPr>
          <w:sz w:val="28"/>
          <w:szCs w:val="28"/>
          <w:vertAlign w:val="superscript"/>
        </w:rPr>
        <w:t xml:space="preserve">5</w:t>
      </w:r>
      <w:r>
        <w:rPr>
          <w:sz w:val="28"/>
          <w:szCs w:val="28"/>
        </w:rPr>
        <w:t xml:space="preserve"> Бюджетного кодекса Российской Федерации, 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</w:t>
      </w:r>
      <w:r>
        <w:rPr>
          <w:sz w:val="28"/>
          <w:szCs w:val="28"/>
        </w:rPr>
        <w:t xml:space="preserve">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</w:t>
      </w:r>
      <w:r>
        <w:rPr>
          <w:sz w:val="28"/>
          <w:szCs w:val="28"/>
        </w:rPr>
        <w:t xml:space="preserve">дий, в том числе грантов в форме субсидий»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ПРАВИТЕЛЬСТВО 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1. Утвердить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Порядок предоставления в 2026-2027 годах из краевого бюджета 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убсидии Камчатскому краевому отделению Всероссийской общественной организации ветеранов «Боевое братство» на финансовое обеспечение затрат в связи с реализацией проектов, направленных на социализацию участников Специальной военной операции и членов их семей</w:t>
      </w:r>
      <w:r/>
      <w:r>
        <w:rPr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 приложению к настоящему постановлению.</w:t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2. Настоящее постановление вступает в </w:t>
      </w:r>
      <w:r>
        <w:rPr>
          <w:sz w:val="28"/>
        </w:rPr>
        <w:t xml:space="preserve">силу после дня его официального опубликования.</w:t>
      </w: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rPr>
          <w:sz w:val="28"/>
          <w:highlight w:val="yellow"/>
        </w:rPr>
      </w:pPr>
      <w:r>
        <w:rPr>
          <w:sz w:val="28"/>
          <w:highlight w:val="yellow"/>
        </w:rPr>
      </w:r>
      <w:r>
        <w:rPr>
          <w:sz w:val="28"/>
          <w:highlight w:val="yellow"/>
        </w:rPr>
      </w:r>
      <w:r>
        <w:rPr>
          <w:sz w:val="28"/>
          <w:highlight w:val="yellow"/>
        </w:rPr>
      </w:r>
    </w:p>
    <w:p>
      <w:pPr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highlight w:val="yellow"/>
        </w:rPr>
      </w:r>
      <w:r>
        <w:rPr>
          <w:sz w:val="28"/>
          <w:highlight w:val="yellow"/>
        </w:rPr>
      </w:r>
    </w:p>
    <w:p>
      <w:pPr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highlight w:val="yellow"/>
        </w:rPr>
      </w:r>
      <w:r>
        <w:rPr>
          <w:sz w:val="28"/>
          <w:highlight w:val="yellow"/>
        </w:rPr>
      </w:r>
      <w:r>
        <w:rPr>
          <w:sz w:val="28"/>
          <w:szCs w:val="28"/>
          <w:highlight w:val="yellow"/>
        </w:rPr>
      </w:r>
    </w:p>
    <w:tbl>
      <w:tblPr>
        <w:tblW w:w="10096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0"/>
        <w:gridCol w:w="3969"/>
        <w:gridCol w:w="2407"/>
      </w:tblGrid>
      <w:tr>
        <w:tblPrEx/>
        <w:trPr>
          <w:trHeight w:val="1011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3720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Правительства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Камчатского края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3969" w:type="dxa"/>
            <w:textDirection w:val="lrTb"/>
            <w:noWrap w:val="false"/>
          </w:tcPr>
          <w:p>
            <w:pPr>
              <w:ind w:left="3" w:hanging="3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  <w:r>
              <w:rPr>
                <w:color w:val="000000" w:themeColor="text1"/>
                <w:sz w:val="28"/>
                <w:szCs w:val="28"/>
              </w:rPr>
            </w:r>
          </w:p>
          <w:p>
            <w:pPr>
              <w:rPr>
                <w:color w:val="ffffff" w:themeColor="background1"/>
                <w:sz w:val="28"/>
                <w:szCs w:val="28"/>
              </w:rPr>
            </w:pPr>
            <w:r>
              <w:rPr>
                <w:color w:val="ffffff" w:themeColor="background1"/>
              </w:rPr>
            </w:r>
            <w:bookmarkStart w:id="1" w:name="SIGNERSTAMP1"/>
            <w:r>
              <w:rPr>
                <w:color w:val="ffffff" w:themeColor="background1"/>
                <w:sz w:val="28"/>
                <w:szCs w:val="28"/>
              </w:rPr>
              <w:t xml:space="preserve">[горизонтальный штамп подписи 1]</w:t>
            </w:r>
            <w:bookmarkEnd w:id="1"/>
            <w:r>
              <w:rPr>
                <w:color w:val="ffffff" w:themeColor="background1"/>
                <w:sz w:val="28"/>
                <w:szCs w:val="28"/>
              </w:rPr>
            </w:r>
            <w:r>
              <w:rPr>
                <w:color w:val="ffffff" w:themeColor="background1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7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right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Ю.С. Морозова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tbl>
      <w:tblPr>
        <w:tblStyle w:val="907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3661"/>
        <w:gridCol w:w="480"/>
        <w:gridCol w:w="1869"/>
        <w:gridCol w:w="486"/>
        <w:gridCol w:w="1701"/>
      </w:tblGrid>
      <w:tr>
        <w:tblPrEx/>
        <w:trPr/>
        <w:tc>
          <w:tcP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sz w:val="28"/>
                <w:highlight w:val="yellow"/>
              </w:rPr>
            </w:pPr>
            <w:r>
              <w:br w:type="page" w:clear="all"/>
            </w:r>
            <w:r>
              <w:br w:type="page" w:clear="all"/>
            </w:r>
            <w:r>
              <w:rPr>
                <w:highlight w:val="yellow"/>
              </w:rPr>
              <w:br w:type="page" w:clear="all"/>
            </w:r>
            <w:r>
              <w:rPr>
                <w:sz w:val="28"/>
                <w:highlight w:val="yellow"/>
              </w:rPr>
              <w:br w:type="page" w:clear="all"/>
            </w:r>
            <w:r>
              <w:rPr>
                <w:sz w:val="28"/>
                <w:highlight w:val="yellow"/>
              </w:rPr>
            </w:r>
            <w:r>
              <w:rPr>
                <w:sz w:val="28"/>
                <w:highlight w:val="yellow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sz w:val="28"/>
                <w:highlight w:val="yellow"/>
              </w:rPr>
            </w:pPr>
            <w:r>
              <w:rPr>
                <w:sz w:val="28"/>
                <w:highlight w:val="yellow"/>
              </w:rPr>
            </w:r>
            <w:r>
              <w:rPr>
                <w:sz w:val="28"/>
                <w:highlight w:val="yellow"/>
              </w:rPr>
            </w:r>
            <w:r>
              <w:rPr>
                <w:sz w:val="28"/>
                <w:highlight w:val="yellow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sz w:val="28"/>
                <w:highlight w:val="yellow"/>
              </w:rPr>
            </w:pPr>
            <w:r>
              <w:rPr>
                <w:sz w:val="28"/>
                <w:highlight w:val="yellow"/>
              </w:rPr>
            </w:r>
            <w:r>
              <w:rPr>
                <w:sz w:val="28"/>
                <w:highlight w:val="yellow"/>
              </w:rPr>
            </w:r>
            <w:r>
              <w:rPr>
                <w:sz w:val="28"/>
                <w:highlight w:val="yellow"/>
              </w:rPr>
            </w:r>
          </w:p>
        </w:tc>
        <w:tc>
          <w:tcPr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sz w:val="28"/>
                <w:highlight w:val="yellow"/>
              </w:rPr>
            </w:pPr>
            <w:r>
              <w:rPr>
                <w:sz w:val="28"/>
                <w:highlight w:val="yellow"/>
              </w:rPr>
            </w:r>
            <w:r>
              <w:rPr>
                <w:sz w:val="28"/>
                <w:highlight w:val="yellow"/>
              </w:rPr>
            </w:r>
            <w:r>
              <w:rPr>
                <w:sz w:val="28"/>
                <w:highlight w:val="yellow"/>
              </w:rPr>
            </w:r>
          </w:p>
        </w:tc>
        <w:tc>
          <w:tcPr>
            <w:gridSpan w:val="4"/>
            <w:tcW w:w="4536" w:type="dxa"/>
            <w:textDirection w:val="lrTb"/>
            <w:noWrap w:val="false"/>
          </w:tcPr>
          <w:p>
            <w:pPr>
              <w:ind w:left="8079" w:hanging="8079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</w:rPr>
              <w:t xml:space="preserve">Приложение к постановлению</w:t>
            </w:r>
            <w:r>
              <w:rPr>
                <w:sz w:val="28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sz w:val="28"/>
                <w:highlight w:val="yellow"/>
              </w:rPr>
            </w:pPr>
            <w:r>
              <w:rPr>
                <w:sz w:val="28"/>
                <w:highlight w:val="yellow"/>
              </w:rPr>
            </w:r>
            <w:r>
              <w:rPr>
                <w:sz w:val="28"/>
                <w:highlight w:val="yellow"/>
              </w:rPr>
            </w:r>
            <w:r>
              <w:rPr>
                <w:sz w:val="28"/>
                <w:highlight w:val="yellow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sz w:val="28"/>
                <w:highlight w:val="yellow"/>
              </w:rPr>
            </w:pPr>
            <w:r>
              <w:rPr>
                <w:sz w:val="28"/>
                <w:highlight w:val="yellow"/>
              </w:rPr>
            </w:r>
            <w:r>
              <w:rPr>
                <w:sz w:val="28"/>
                <w:highlight w:val="yellow"/>
              </w:rPr>
            </w:r>
            <w:r>
              <w:rPr>
                <w:sz w:val="28"/>
                <w:highlight w:val="yellow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sz w:val="28"/>
                <w:highlight w:val="yellow"/>
              </w:rPr>
            </w:pPr>
            <w:r>
              <w:rPr>
                <w:sz w:val="28"/>
                <w:highlight w:val="yellow"/>
              </w:rPr>
            </w:r>
            <w:r>
              <w:rPr>
                <w:sz w:val="28"/>
                <w:highlight w:val="yellow"/>
              </w:rPr>
            </w:r>
            <w:r>
              <w:rPr>
                <w:sz w:val="28"/>
                <w:highlight w:val="yellow"/>
              </w:rPr>
            </w:r>
          </w:p>
        </w:tc>
        <w:tc>
          <w:tcPr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sz w:val="28"/>
                <w:highlight w:val="yellow"/>
              </w:rPr>
            </w:pPr>
            <w:r>
              <w:rPr>
                <w:sz w:val="28"/>
                <w:highlight w:val="yellow"/>
              </w:rPr>
            </w:r>
            <w:r>
              <w:rPr>
                <w:sz w:val="28"/>
                <w:highlight w:val="yellow"/>
              </w:rPr>
            </w:r>
            <w:r>
              <w:rPr>
                <w:sz w:val="28"/>
                <w:highlight w:val="yellow"/>
              </w:rPr>
            </w:r>
          </w:p>
        </w:tc>
        <w:tc>
          <w:tcPr>
            <w:gridSpan w:val="4"/>
            <w:tcW w:w="4536" w:type="dxa"/>
            <w:textDirection w:val="lrTb"/>
            <w:noWrap w:val="false"/>
          </w:tcPr>
          <w:p>
            <w:pPr>
              <w:ind w:left="8079" w:hanging="8079"/>
              <w:widowControl w:val="off"/>
              <w:rPr>
                <w:sz w:val="28"/>
              </w:rPr>
            </w:pPr>
            <w:r>
              <w:rPr>
                <w:sz w:val="28"/>
              </w:rPr>
              <w:t xml:space="preserve">Правительства Камчатского края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/>
        <w:tc>
          <w:tcP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rPr>
                <w:sz w:val="28"/>
                <w:highlight w:val="yellow"/>
              </w:rPr>
            </w:pPr>
            <w:r>
              <w:rPr>
                <w:sz w:val="28"/>
                <w:highlight w:val="yellow"/>
              </w:rPr>
            </w:r>
            <w:r>
              <w:rPr>
                <w:sz w:val="28"/>
                <w:highlight w:val="yellow"/>
              </w:rPr>
            </w:r>
            <w:r>
              <w:rPr>
                <w:sz w:val="28"/>
                <w:highlight w:val="yellow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rPr>
                <w:sz w:val="28"/>
                <w:highlight w:val="yellow"/>
              </w:rPr>
            </w:pPr>
            <w:r>
              <w:rPr>
                <w:sz w:val="28"/>
                <w:highlight w:val="yellow"/>
              </w:rPr>
            </w:r>
            <w:r>
              <w:rPr>
                <w:sz w:val="28"/>
                <w:highlight w:val="yellow"/>
              </w:rPr>
            </w:r>
            <w:r>
              <w:rPr>
                <w:sz w:val="28"/>
                <w:highlight w:val="yellow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rPr>
                <w:sz w:val="28"/>
                <w:highlight w:val="yellow"/>
              </w:rPr>
            </w:pPr>
            <w:r>
              <w:rPr>
                <w:sz w:val="28"/>
                <w:highlight w:val="yellow"/>
              </w:rPr>
            </w:r>
            <w:r>
              <w:rPr>
                <w:sz w:val="28"/>
                <w:highlight w:val="yellow"/>
              </w:rPr>
            </w:r>
            <w:r>
              <w:rPr>
                <w:sz w:val="28"/>
                <w:highlight w:val="yellow"/>
              </w:rPr>
            </w:r>
          </w:p>
        </w:tc>
        <w:tc>
          <w:tcPr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rPr>
                <w:sz w:val="28"/>
                <w:highlight w:val="yellow"/>
              </w:rPr>
            </w:pPr>
            <w:r>
              <w:rPr>
                <w:sz w:val="28"/>
                <w:highlight w:val="yellow"/>
              </w:rPr>
            </w:r>
            <w:r>
              <w:rPr>
                <w:sz w:val="28"/>
                <w:highlight w:val="yellow"/>
              </w:rPr>
            </w:r>
            <w:r>
              <w:rPr>
                <w:sz w:val="28"/>
                <w:highlight w:val="yellow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rPr>
                <w:sz w:val="28"/>
              </w:rPr>
            </w:pPr>
            <w:r>
              <w:rPr>
                <w:sz w:val="28"/>
              </w:rPr>
              <w:t xml:space="preserve">от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1869" w:type="dxa"/>
            <w:textDirection w:val="lrTb"/>
            <w:noWrap w:val="false"/>
          </w:tcPr>
          <w:p>
            <w:pPr>
              <w:ind w:left="8079" w:hanging="8079"/>
              <w:jc w:val="right"/>
              <w:rPr>
                <w:color w:val="ffffff" w:themeColor="background1"/>
                <w:sz w:val="28"/>
              </w:rPr>
            </w:pPr>
            <w:r>
              <w:rPr>
                <w:color w:val="ffffff" w:themeColor="background1"/>
                <w:sz w:val="28"/>
              </w:rPr>
              <w:t xml:space="preserve">[R</w:t>
            </w:r>
            <w:r>
              <w:rPr>
                <w:color w:val="ffffff" w:themeColor="background1"/>
                <w:sz w:val="16"/>
              </w:rPr>
              <w:t xml:space="preserve">EGDATESTAMP]</w:t>
            </w:r>
            <w:r>
              <w:rPr>
                <w:color w:val="ffffff" w:themeColor="background1"/>
                <w:sz w:val="28"/>
              </w:rPr>
            </w:r>
            <w:r>
              <w:rPr>
                <w:color w:val="ffffff" w:themeColor="background1"/>
                <w:sz w:val="28"/>
              </w:rPr>
            </w:r>
          </w:p>
        </w:tc>
        <w:tc>
          <w:tcPr>
            <w:tcW w:w="486" w:type="dxa"/>
            <w:textDirection w:val="lrTb"/>
            <w:noWrap w:val="false"/>
          </w:tcPr>
          <w:p>
            <w:pPr>
              <w:ind w:left="8079" w:hanging="8079"/>
              <w:jc w:val="right"/>
              <w:rPr>
                <w:sz w:val="28"/>
              </w:rPr>
            </w:pPr>
            <w:r>
              <w:rPr>
                <w:sz w:val="28"/>
              </w:rPr>
              <w:t xml:space="preserve">№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ind w:left="8079" w:hanging="8079"/>
              <w:jc w:val="right"/>
              <w:rPr>
                <w:sz w:val="28"/>
              </w:rPr>
            </w:pPr>
            <w:r>
              <w:rPr>
                <w:color w:val="ffffff" w:themeColor="background1"/>
                <w:sz w:val="28"/>
              </w:rPr>
              <w:t xml:space="preserve">[R</w:t>
            </w:r>
            <w:r>
              <w:rPr>
                <w:color w:val="ffffff" w:themeColor="background1"/>
                <w:sz w:val="16"/>
              </w:rPr>
              <w:t xml:space="preserve">EGNUMSTAMP]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jc w:val="both"/>
        <w:rPr>
          <w:sz w:val="28"/>
          <w:highlight w:val="yellow"/>
        </w:rPr>
      </w:pPr>
      <w:r>
        <w:rPr>
          <w:sz w:val="28"/>
          <w:highlight w:val="yellow"/>
        </w:rPr>
      </w:r>
      <w:r>
        <w:rPr>
          <w:sz w:val="28"/>
          <w:highlight w:val="yellow"/>
        </w:rPr>
      </w:r>
      <w:r>
        <w:rPr>
          <w:sz w:val="28"/>
          <w:highlight w:val="yellow"/>
        </w:rPr>
      </w:r>
    </w:p>
    <w:p>
      <w:pPr>
        <w:jc w:val="center"/>
        <w:rPr>
          <w:b w:val="0"/>
          <w:bCs w:val="0"/>
          <w:color w:val="000000" w:themeColor="text1"/>
          <w:sz w:val="28"/>
          <w:highlight w:val="yellow"/>
        </w:rPr>
      </w:pPr>
      <w:r>
        <w:rPr>
          <w:b w:val="0"/>
          <w:bCs w:val="0"/>
          <w:color w:val="000000" w:themeColor="text1"/>
          <w:sz w:val="28"/>
          <w:highlight w:val="yellow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Порядок предоставления в 2026-2027 годах из краевого бюджета 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убсидии Камчатскому краевому отделению Всероссийской общественной организации ветеранов «Боевое братство» на финансовое обеспечение затрат в связи с реализацией проектов, направленных на социализацию участников Специальной военной операции и членов их семей</w:t>
      </w:r>
      <w:r/>
      <w:r>
        <w:rPr>
          <w:b w:val="0"/>
          <w:bCs w:val="0"/>
          <w:color w:val="000000" w:themeColor="text1"/>
          <w:sz w:val="28"/>
          <w:highlight w:val="yellow"/>
        </w:rPr>
      </w:r>
    </w:p>
    <w:p>
      <w:pPr>
        <w:rPr>
          <w:sz w:val="28"/>
          <w:highlight w:val="yellow"/>
        </w:rPr>
      </w:pPr>
      <w:r>
        <w:rPr>
          <w:sz w:val="28"/>
          <w:highlight w:val="yellow"/>
        </w:rPr>
      </w:r>
      <w:r>
        <w:rPr>
          <w:sz w:val="28"/>
          <w:highlight w:val="yellow"/>
        </w:rPr>
      </w:r>
      <w:r>
        <w:rPr>
          <w:sz w:val="28"/>
          <w:highlight w:val="yellow"/>
        </w:rPr>
      </w:r>
    </w:p>
    <w:p>
      <w:pPr>
        <w:ind w:left="0" w:right="0" w:firstLine="709"/>
        <w:jc w:val="both"/>
        <w:rPr>
          <w:b w:val="0"/>
          <w:bCs w:val="0"/>
          <w:color w:val="000000" w:themeColor="text1"/>
          <w:sz w:val="28"/>
          <w:highlight w:val="yellow"/>
        </w:rPr>
      </w:pPr>
      <w:r>
        <w:rPr>
          <w:rStyle w:val="856"/>
          <w:sz w:val="28"/>
          <w:szCs w:val="28"/>
        </w:rPr>
        <w:t xml:space="preserve">1. Настоящий Порядок регулирует вопросы предоставления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2026-2027 годах из краевого бюджета 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убсидии Камчатскому краевому отделению Всероссийской общественной организации ветеранов «Боевое братство» </w:t>
      </w:r>
      <w:r>
        <w:rPr>
          <w:sz w:val="28"/>
          <w:szCs w:val="28"/>
        </w:rPr>
        <w:t xml:space="preserve">(далее – получатель субсидии) </w:t>
      </w:r>
      <w:r>
        <w:rPr>
          <w:rStyle w:val="856"/>
          <w:sz w:val="28"/>
          <w:szCs w:val="28"/>
        </w:rPr>
        <w:t xml:space="preserve">в целях достижения результатов комплекса процессных мероприятий «</w:t>
      </w:r>
      <w:r>
        <w:rPr>
          <w:sz w:val="28"/>
          <w:szCs w:val="28"/>
        </w:rPr>
        <w:t xml:space="preserve">Предоставление финансовой поддержки некоммерческим организациям</w:t>
      </w:r>
      <w:r>
        <w:rPr>
          <w:rStyle w:val="856"/>
          <w:sz w:val="28"/>
          <w:szCs w:val="28"/>
        </w:rPr>
        <w:t xml:space="preserve">» государственной </w:t>
      </w:r>
      <w:hyperlink r:id="rId11" w:tooltip="https://login.consultant.ru/link/?req=doc&amp;base=RLAW296&amp;n=203736&amp;dst=143553" w:history="1">
        <w:r>
          <w:rPr>
            <w:rStyle w:val="856"/>
            <w:sz w:val="28"/>
            <w:szCs w:val="28"/>
          </w:rPr>
          <w:t xml:space="preserve">программы</w:t>
        </w:r>
      </w:hyperlink>
      <w:r>
        <w:rPr>
          <w:rStyle w:val="856"/>
          <w:sz w:val="28"/>
          <w:szCs w:val="28"/>
        </w:rPr>
        <w:t xml:space="preserve"> Камчатского края «Реализация государственной национальной политики и укрепление гражданского единства в Камчатском крае», утвержденной постановлением</w:t>
      </w:r>
      <w:r>
        <w:rPr>
          <w:rStyle w:val="856"/>
          <w:sz w:val="28"/>
          <w:szCs w:val="28"/>
        </w:rPr>
        <w:t xml:space="preserve"> Правительства Камчатского края от 06.02.2024 № 38-П,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 финансовое обеспечение затрат в связи с реализацией проектов, направленных на социализацию участников Специальной военной операции и членов их семей</w:t>
      </w:r>
      <w:r/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sz w:val="28"/>
          <w:szCs w:val="28"/>
        </w:rPr>
        <w:t xml:space="preserve"> </w:t>
      </w:r>
      <w:r>
        <w:rPr>
          <w:rStyle w:val="856"/>
          <w:sz w:val="28"/>
          <w:szCs w:val="28"/>
        </w:rPr>
        <w:t xml:space="preserve">(далее – субсидия).</w:t>
      </w:r>
      <w:r>
        <w:rPr>
          <w:b w:val="0"/>
          <w:bCs w:val="0"/>
          <w:color w:val="000000" w:themeColor="text1"/>
          <w:sz w:val="28"/>
          <w:highlight w:val="yellow"/>
        </w:rPr>
      </w:r>
      <w:r>
        <w:rPr>
          <w:b w:val="0"/>
          <w:bCs w:val="0"/>
          <w:color w:val="000000" w:themeColor="text1"/>
          <w:sz w:val="28"/>
          <w:highlight w:val="yellow"/>
        </w:rPr>
      </w:r>
    </w:p>
    <w:p>
      <w:pPr>
        <w:ind w:firstLine="709"/>
        <w:jc w:val="both"/>
        <w:rPr>
          <w:rStyle w:val="856"/>
          <w:sz w:val="28"/>
          <w:szCs w:val="28"/>
        </w:rPr>
      </w:pPr>
      <w:r>
        <w:rPr>
          <w:rStyle w:val="856"/>
          <w:sz w:val="28"/>
          <w:szCs w:val="28"/>
        </w:rPr>
        <w:t xml:space="preserve">2. Субсидия носит целевой характер и не может быть израсходована на цели, не предусмотренные настоящим Порядком.</w:t>
      </w:r>
      <w:r>
        <w:rPr>
          <w:rStyle w:val="856"/>
          <w:sz w:val="28"/>
          <w:szCs w:val="28"/>
        </w:rPr>
      </w:r>
      <w:r>
        <w:rPr>
          <w:rStyle w:val="856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rStyle w:val="856"/>
          <w:sz w:val="28"/>
          <w:szCs w:val="28"/>
        </w:rPr>
        <w:t xml:space="preserve">3. </w:t>
      </w:r>
      <w:r>
        <w:rPr>
          <w:sz w:val="28"/>
          <w:szCs w:val="28"/>
        </w:rPr>
        <w:t xml:space="preserve">Министерство </w:t>
      </w:r>
      <w:r>
        <w:rPr>
          <w:rStyle w:val="856"/>
          <w:sz w:val="28"/>
          <w:szCs w:val="28"/>
        </w:rPr>
        <w:t xml:space="preserve">по внутренней политике и развитию Корякского округа Камчатского края</w:t>
      </w:r>
      <w:r>
        <w:rPr>
          <w:sz w:val="28"/>
          <w:szCs w:val="28"/>
        </w:rPr>
        <w:t xml:space="preserve"> (далее </w:t>
      </w:r>
      <w:r>
        <w:rPr>
          <w:rStyle w:val="856"/>
          <w:sz w:val="28"/>
          <w:szCs w:val="28"/>
        </w:rPr>
        <w:t xml:space="preserve">–</w:t>
      </w:r>
      <w:r>
        <w:rPr>
          <w:sz w:val="28"/>
          <w:szCs w:val="28"/>
        </w:rPr>
        <w:t xml:space="preserve"> Министерство) осуществляет функции главного распо</w:t>
      </w:r>
      <w:r>
        <w:rPr>
          <w:sz w:val="28"/>
          <w:szCs w:val="28"/>
        </w:rPr>
        <w:t xml:space="preserve">рядителя бюджетных средств,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Субсидия предоставляется М</w:t>
      </w:r>
      <w:r>
        <w:rPr>
          <w:sz w:val="28"/>
          <w:szCs w:val="28"/>
          <w:shd w:val="clear" w:color="auto" w:fill="ffffff"/>
        </w:rPr>
        <w:t xml:space="preserve">инистерством в пределах лимитов бюджетных обязательств, доведенных в установленном порядке до Министерства на предоставление субсидии.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Способ предоставления субсидии – финансовое обеспечение затрат.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Информация о субсидии размещается на едином портале бю</w:t>
      </w:r>
      <w:r>
        <w:rPr>
          <w:sz w:val="28"/>
          <w:szCs w:val="28"/>
        </w:rPr>
        <w:t xml:space="preserve">джетной системы Российской Федерации в информационно-телекоммуникационной сети «Интернет» (далее соответственно – единый портал, сеть «Интернет») (в разделе единого портала) в порядке, установленном Министерством финансов Российской Федерации, в течение 10</w:t>
      </w:r>
      <w:r>
        <w:rPr>
          <w:sz w:val="28"/>
          <w:szCs w:val="28"/>
        </w:rPr>
        <w:t xml:space="preserve"> рабочих дней со дня, следующего за днем доведения бюджетных ассигнований на предоставление субсидии до Министерства.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rStyle w:val="856"/>
          <w:sz w:val="28"/>
          <w:szCs w:val="28"/>
        </w:rPr>
        <w:t xml:space="preserve">Получателем субсидии в соответствии с Законом Камчатского края </w:t>
      </w:r>
      <w:r>
        <w:rPr>
          <w:rStyle w:val="856"/>
          <w:sz w:val="28"/>
          <w:szCs w:val="28"/>
        </w:rPr>
        <w:br/>
        <w:t xml:space="preserve">от 26.11.2025 № 537 «О краевом бюджете на 2026 год и на плановый </w:t>
      </w:r>
      <w:r>
        <w:rPr>
          <w:rStyle w:val="856"/>
          <w:sz w:val="28"/>
          <w:szCs w:val="28"/>
        </w:rPr>
        <w:br/>
        <w:t xml:space="preserve">перио</w:t>
      </w:r>
      <w:r>
        <w:rPr>
          <w:rStyle w:val="856"/>
          <w:sz w:val="28"/>
          <w:szCs w:val="28"/>
        </w:rPr>
        <w:t xml:space="preserve">д 2027 и 2028 годов» является социально ориентированная некоммерческая </w:t>
      </w:r>
      <w:r>
        <w:rPr>
          <w:rStyle w:val="856"/>
          <w:sz w:val="28"/>
          <w:szCs w:val="28"/>
        </w:rPr>
        <w:t xml:space="preserve">организация –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Камчатское краевое отделение Всероссийской общественной организации ветеранов «Боевое братство»</w:t>
      </w:r>
      <w:r/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Style w:val="856"/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856"/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 направлениям расходов, источником финансового обеспечения которых является субсидия, относятся: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color w:val="auto"/>
          <w:sz w:val="28"/>
          <w:szCs w:val="28"/>
          <w:highlight w:val="white"/>
        </w:rPr>
      </w:pPr>
      <w:r>
        <w:rPr>
          <w:color w:val="auto"/>
          <w:sz w:val="28"/>
          <w:szCs w:val="28"/>
          <w:highlight w:val="white"/>
          <w:shd w:val="clear" w:color="auto" w:fill="ffffff"/>
        </w:rPr>
        <w:t xml:space="preserve">1) 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услуги специалистов, привлекаемых получате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лем субсидии для достижения целей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, указанн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ых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 в части 1 настоящего Порядка, в соответствии с заключенными договорами гражданско-правового характера; </w:t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2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)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услуг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и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 связи, услуг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и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 банка по расчетно-кассовому обслуживанию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3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)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 м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атериально-техническое обеспечение деятельности, связанное с оказанием услуг (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приобретение мебели, оборудования, компьютерной техники, программного обеспечения, полиграфической и сувенирной продукции, сенсорной мультимедийной стойки, массажного кресла, подарочной продукции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)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4) аренда оборудования, необходимого 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для достижения целей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, указанн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ых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 в части 1 настоящего Порядка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;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5) изготовление, размещение и (или) распространение рекламы о реализуемых проектах.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rStyle w:val="856"/>
          <w:sz w:val="28"/>
          <w:szCs w:val="28"/>
        </w:rPr>
        <w:t xml:space="preserve">7. Условием предоставления субсидии является соответствие получателя субсидии на первое число месяца, в котором подаются указанные в части 8 нас</w:t>
      </w:r>
      <w:r>
        <w:rPr>
          <w:rStyle w:val="856"/>
          <w:sz w:val="28"/>
          <w:szCs w:val="28"/>
        </w:rPr>
        <w:t xml:space="preserve">тоящего Порядка документы, следующим требованиям: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highlight w:val="white"/>
        </w:rPr>
      </w:pPr>
      <w:r>
        <w:rPr>
          <w:rStyle w:val="856"/>
          <w:sz w:val="28"/>
          <w:szCs w:val="28"/>
          <w:highlight w:val="white"/>
        </w:rPr>
        <w:t xml:space="preserve">1) получатель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</w:t>
      </w:r>
      <w:r>
        <w:rPr>
          <w:rStyle w:val="856"/>
          <w:sz w:val="28"/>
          <w:szCs w:val="28"/>
          <w:highlight w:val="white"/>
        </w:rPr>
        <w:t xml:space="preserve">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 или косв</w:t>
      </w:r>
      <w:r>
        <w:rPr>
          <w:rStyle w:val="856"/>
          <w:sz w:val="28"/>
          <w:szCs w:val="28"/>
          <w:highlight w:val="white"/>
        </w:rPr>
        <w:t xml:space="preserve">енного (через третьих лиц) участия офшорных компаний в совокупности превышает 25 процентов (если иное не пр</w:t>
      </w:r>
      <w:r>
        <w:rPr>
          <w:rStyle w:val="856"/>
          <w:sz w:val="28"/>
          <w:szCs w:val="28"/>
          <w:highlight w:val="white"/>
        </w:rPr>
        <w:t xml:space="preserve">едусмотрено федеральными законами, отдельными решениями Правительства Российской Федерации и (или) порядком, определенным Правительством Российской Федерации). При расчете доли участия офшорных компаний в капитале российских юридических лиц не учитывается </w:t>
      </w:r>
      <w:r>
        <w:rPr>
          <w:rStyle w:val="856"/>
          <w:sz w:val="28"/>
          <w:szCs w:val="28"/>
          <w:highlight w:val="white"/>
        </w:rPr>
        <w:t xml:space="preserve">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</w:t>
      </w:r>
      <w:r>
        <w:rPr>
          <w:rStyle w:val="856"/>
          <w:sz w:val="28"/>
          <w:szCs w:val="28"/>
          <w:highlight w:val="white"/>
        </w:rPr>
        <w:t xml:space="preserve">ний в капитале других российских юридических лиц, реализованное через участие в капитале указанных публичных акционерных обществ;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rStyle w:val="856"/>
          <w:sz w:val="28"/>
          <w:szCs w:val="28"/>
        </w:rPr>
        <w:t xml:space="preserve">2) получатель субсидии не находится в перечне организаций и физических лиц, в отношении которых имеются сведения об их причас</w:t>
      </w:r>
      <w:r>
        <w:rPr>
          <w:rStyle w:val="856"/>
          <w:sz w:val="28"/>
          <w:szCs w:val="28"/>
        </w:rPr>
        <w:t xml:space="preserve">тности к экстремистской деятельности или терроризму;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rStyle w:val="856"/>
          <w:sz w:val="28"/>
          <w:szCs w:val="28"/>
        </w:rPr>
        <w:t xml:space="preserve">3) получатель субсидии не находится в составляемых в рамках реализации полномочий, предусмотренных главой </w:t>
      </w:r>
      <w:r>
        <w:rPr>
          <w:rStyle w:val="856"/>
          <w:color w:val="000000" w:themeColor="text1"/>
          <w:sz w:val="28"/>
          <w:szCs w:val="28"/>
          <w:highlight w:val="white"/>
        </w:rPr>
        <w:t xml:space="preserve">V</w:t>
      </w:r>
      <w:r>
        <w:rPr>
          <w:rStyle w:val="856"/>
          <w:color w:val="000000" w:themeColor="text1"/>
          <w:sz w:val="28"/>
          <w:szCs w:val="28"/>
          <w:highlight w:val="white"/>
        </w:rPr>
        <w:t xml:space="preserve">II </w:t>
      </w:r>
      <w:r>
        <w:rPr>
          <w:rStyle w:val="856"/>
          <w:sz w:val="28"/>
          <w:szCs w:val="28"/>
        </w:rPr>
        <w:t xml:space="preserve">Устава ООН, Советом Безопасности ООН или органами, специально созданными решениями Совета Без</w:t>
      </w:r>
      <w:r>
        <w:rPr>
          <w:rStyle w:val="856"/>
          <w:sz w:val="28"/>
          <w:szCs w:val="28"/>
        </w:rPr>
        <w:t xml:space="preserve">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rStyle w:val="856"/>
          <w:sz w:val="28"/>
          <w:szCs w:val="28"/>
        </w:rPr>
        <w:t xml:space="preserve">4) получатель субсидии не получает средства из краевого бюджета на основании иных нормати</w:t>
      </w:r>
      <w:r>
        <w:rPr>
          <w:rStyle w:val="856"/>
          <w:sz w:val="28"/>
          <w:szCs w:val="28"/>
        </w:rPr>
        <w:t xml:space="preserve">вных правовых актов Камчатского края на цели, установленные частью 1 настоящего Порядка;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rStyle w:val="856"/>
          <w:sz w:val="28"/>
          <w:szCs w:val="28"/>
        </w:rPr>
        <w:t xml:space="preserve">5) получатель субсидии не является иностранным агентом в соответствии с Федеральным законом от 14.07.2022 № 255-ФЗ «О контроле за деятельностью лиц, находящихся под и</w:t>
      </w:r>
      <w:r>
        <w:rPr>
          <w:rStyle w:val="856"/>
          <w:sz w:val="28"/>
          <w:szCs w:val="28"/>
        </w:rPr>
        <w:t xml:space="preserve">ностранным влиянием»;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rStyle w:val="856"/>
          <w:sz w:val="28"/>
          <w:szCs w:val="28"/>
        </w:rPr>
        <w:t xml:space="preserve">6) у получателя субсидии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</w:t>
      </w:r>
      <w:r>
        <w:rPr>
          <w:rStyle w:val="856"/>
          <w:sz w:val="28"/>
          <w:szCs w:val="28"/>
        </w:rPr>
        <w:t xml:space="preserve">юджетной системы Российской Федерации;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rStyle w:val="856"/>
          <w:sz w:val="28"/>
          <w:szCs w:val="28"/>
        </w:rPr>
        <w:t xml:space="preserve">7) у получателя субсидии отсутствуют просроченная задолженность по возврату в краевой бюджет иных субсидий, бюджетных инвестиций, а также иная просроченная (неурегулированная) задолженность по денежным обязательствам</w:t>
      </w:r>
      <w:r>
        <w:rPr>
          <w:rStyle w:val="856"/>
          <w:sz w:val="28"/>
          <w:szCs w:val="28"/>
        </w:rPr>
        <w:t xml:space="preserve"> перед Камчатским краем;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rStyle w:val="856"/>
          <w:sz w:val="28"/>
          <w:szCs w:val="28"/>
        </w:rPr>
      </w:pPr>
      <w:r>
        <w:rPr>
          <w:rStyle w:val="856"/>
          <w:sz w:val="28"/>
          <w:szCs w:val="28"/>
        </w:rPr>
        <w:t xml:space="preserve">8) получатель субсидии не находится в процессе реорганизации (за исключением реорганизации в форме присоединения к получателю субсидии другого юридического лица), ликвидации, в отношении его не введена процедура банкротства, деяте</w:t>
      </w:r>
      <w:r>
        <w:rPr>
          <w:rStyle w:val="856"/>
          <w:sz w:val="28"/>
          <w:szCs w:val="28"/>
        </w:rPr>
        <w:t xml:space="preserve">льность получателя субсидии не приостановлена в порядке, предусмотренном законодательством Российской Федерации; </w:t>
      </w:r>
      <w:r>
        <w:rPr>
          <w:rStyle w:val="856"/>
          <w:sz w:val="28"/>
          <w:szCs w:val="28"/>
        </w:rPr>
      </w:r>
      <w:r>
        <w:rPr>
          <w:rStyle w:val="856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rStyle w:val="856"/>
          <w:sz w:val="28"/>
          <w:szCs w:val="28"/>
        </w:rPr>
        <w:t xml:space="preserve">9) </w:t>
      </w:r>
      <w:r>
        <w:rPr>
          <w:sz w:val="28"/>
          <w:szCs w:val="28"/>
        </w:rPr>
        <w:t xml:space="preserve">в р</w:t>
      </w:r>
      <w:r>
        <w:rPr>
          <w:sz w:val="28"/>
          <w:szCs w:val="28"/>
        </w:rPr>
        <w:t xml:space="preserve">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10) получатель субсидии осуществляет в соответствии с учредительными документами виды деятельности, предусмотренные </w:t>
      </w:r>
      <w:r>
        <w:rPr>
          <w:sz w:val="28"/>
          <w:szCs w:val="28"/>
          <w:highlight w:val="white"/>
        </w:rPr>
        <w:t xml:space="preserve">подпунктами 12, 21 пункта 1 </w:t>
      </w:r>
      <w:r>
        <w:rPr>
          <w:sz w:val="28"/>
          <w:szCs w:val="28"/>
        </w:rPr>
        <w:br/>
        <w:t xml:space="preserve">статьи 31</w:t>
      </w:r>
      <w:r>
        <w:rPr>
          <w:sz w:val="28"/>
          <w:szCs w:val="28"/>
          <w:vertAlign w:val="superscript"/>
        </w:rPr>
        <w:t xml:space="preserve">1</w:t>
      </w:r>
      <w:r>
        <w:rPr>
          <w:sz w:val="28"/>
          <w:szCs w:val="28"/>
        </w:rPr>
        <w:t xml:space="preserve"> Федерального закона от 12.01.1996 № 7-ФЗ </w:t>
      </w:r>
      <w:hyperlink r:id="rId12" w:tooltip="https://login.consultant.ru/link/?req=doc&amp;base=LAW&amp;n=493282&amp;dst=1000000001" w:history="1">
        <w:r>
          <w:rPr>
            <w:sz w:val="28"/>
            <w:szCs w:val="28"/>
          </w:rPr>
          <w:t xml:space="preserve">«О некоммерческих организациях</w:t>
        </w:r>
      </w:hyperlink>
      <w:r>
        <w:rPr>
          <w:sz w:val="28"/>
          <w:szCs w:val="28"/>
        </w:rPr>
        <w:t xml:space="preserve">»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rStyle w:val="856"/>
          <w:sz w:val="28"/>
          <w:szCs w:val="28"/>
        </w:rPr>
        <w:t xml:space="preserve">8. </w:t>
      </w:r>
      <w:r>
        <w:rPr>
          <w:sz w:val="28"/>
          <w:szCs w:val="28"/>
          <w:shd w:val="clear" w:color="auto" w:fill="ffffff"/>
        </w:rPr>
        <w:t xml:space="preserve">Для получения субсидии получатель субсидии не позднее 30 октября текущего финансового года представляет в Министерс</w:t>
      </w:r>
      <w:r>
        <w:rPr>
          <w:sz w:val="28"/>
          <w:szCs w:val="28"/>
          <w:shd w:val="clear" w:color="auto" w:fill="ffffff"/>
        </w:rPr>
        <w:t xml:space="preserve">тво нарочным на бумажном носителе подписанные и (или) заверенные руководителем получателя субсидии (уполномоченным им лицом) следующие документы: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заявку на предоставление субсидии в произвольной форме с указанием счета получателя субсидии, открытого в у</w:t>
      </w:r>
      <w:r>
        <w:rPr>
          <w:sz w:val="28"/>
          <w:szCs w:val="28"/>
        </w:rPr>
        <w:t xml:space="preserve">чреждениях Центрального банка Российской Федерации или кредитных организациях, содержащую в том числе информацию о соответствии получателя субсидии требованиям, установленным </w:t>
      </w:r>
      <w:hyperlink r:id="rId13" w:tooltip="https://login.consultant.ru/link/?req=doc&amp;base=RLAW296&amp;n=214600&amp;dst=100031" w:history="1">
        <w:r>
          <w:rPr>
            <w:sz w:val="28"/>
            <w:szCs w:val="28"/>
          </w:rPr>
          <w:t xml:space="preserve">частью </w:t>
        </w:r>
      </w:hyperlink>
      <w:r>
        <w:rPr>
          <w:sz w:val="28"/>
          <w:szCs w:val="28"/>
        </w:rPr>
        <w:t xml:space="preserve">7 настоящего Порядка;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2) заверенную копию устава получателя субсидии;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3) смету по направлениям расходов.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rStyle w:val="856"/>
          <w:sz w:val="28"/>
          <w:szCs w:val="28"/>
        </w:rPr>
        <w:t xml:space="preserve">9. Документы, указанные в части 8 настоящего Порядка, подлежат регистрации в день их пост</w:t>
      </w:r>
      <w:r>
        <w:rPr>
          <w:rStyle w:val="856"/>
          <w:sz w:val="28"/>
          <w:szCs w:val="28"/>
        </w:rPr>
        <w:t xml:space="preserve">упления в Министерство.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Министерство в течение 10 рабочих дней со дня регистрации документов, указанных в </w:t>
      </w:r>
      <w:hyperlink r:id="rId14" w:tooltip="https://login.consultant.ru/link/?req=doc&amp;base=RLAW296&amp;n=214600&amp;dst=100041" w:history="1">
        <w:r>
          <w:rPr>
            <w:sz w:val="28"/>
            <w:szCs w:val="28"/>
          </w:rPr>
          <w:t xml:space="preserve">части </w:t>
        </w:r>
      </w:hyperlink>
      <w:r>
        <w:rPr>
          <w:sz w:val="28"/>
          <w:szCs w:val="28"/>
        </w:rPr>
        <w:t xml:space="preserve">8 настоящего Порядка, рассматривает полноту и достоверность содержащихся в документах сведений, осуществляет проверку получателя субсидии на соответствие требованиям, установленным </w:t>
      </w:r>
      <w:hyperlink r:id="rId15" w:tooltip="https://login.consultant.ru/link/?req=doc&amp;base=RLAW296&amp;n=214600&amp;dst=100031" w:history="1">
        <w:r>
          <w:rPr>
            <w:sz w:val="28"/>
            <w:szCs w:val="28"/>
          </w:rPr>
          <w:t xml:space="preserve">частью </w:t>
        </w:r>
      </w:hyperlink>
      <w:r>
        <w:rPr>
          <w:sz w:val="28"/>
          <w:szCs w:val="28"/>
        </w:rPr>
        <w:t xml:space="preserve">7 настоящего Порядка, посредством получения сведений и информации, размещенной в форме открытых данных на официальных сайт</w:t>
      </w:r>
      <w:r>
        <w:rPr>
          <w:sz w:val="28"/>
          <w:szCs w:val="28"/>
        </w:rPr>
        <w:t xml:space="preserve">ах уполномоченных государственных органов в сети «Интернет», направления в уполномоченные государственные органы запросов, а также использования </w:t>
      </w:r>
      <w:r>
        <w:rPr>
          <w:sz w:val="28"/>
          <w:szCs w:val="28"/>
        </w:rPr>
        <w:t xml:space="preserve">иных форм проверки, не противоречащих законодательству Российской Федерации.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>
        <w:rPr>
          <w:sz w:val="28"/>
          <w:szCs w:val="28"/>
          <w:shd w:val="clear" w:color="auto" w:fill="ffffff"/>
        </w:rPr>
        <w:t xml:space="preserve">Министерство </w:t>
      </w:r>
      <w:r>
        <w:rPr>
          <w:sz w:val="28"/>
          <w:szCs w:val="28"/>
        </w:rPr>
        <w:t xml:space="preserve">в течение 10 рабо</w:t>
      </w:r>
      <w:r>
        <w:rPr>
          <w:sz w:val="28"/>
          <w:szCs w:val="28"/>
        </w:rPr>
        <w:t xml:space="preserve">чих дней со дня регистрации документов, указанных в </w:t>
      </w:r>
      <w:hyperlink r:id="rId16" w:tooltip="https://login.consultant.ru/link/?req=doc&amp;base=RLAW296&amp;n=214600&amp;dst=100041" w:history="1">
        <w:r>
          <w:rPr>
            <w:sz w:val="28"/>
            <w:szCs w:val="28"/>
          </w:rPr>
          <w:t xml:space="preserve">части </w:t>
        </w:r>
      </w:hyperlink>
      <w:r>
        <w:rPr>
          <w:sz w:val="28"/>
          <w:szCs w:val="28"/>
        </w:rPr>
        <w:t xml:space="preserve">8 настоящего Порядка, </w:t>
      </w:r>
      <w:r>
        <w:rPr>
          <w:sz w:val="28"/>
          <w:szCs w:val="28"/>
          <w:shd w:val="clear" w:color="auto" w:fill="ffffff"/>
        </w:rPr>
        <w:t xml:space="preserve">прини</w:t>
      </w:r>
      <w:r>
        <w:rPr>
          <w:sz w:val="28"/>
          <w:szCs w:val="28"/>
          <w:shd w:val="clear" w:color="auto" w:fill="ffffff"/>
        </w:rPr>
        <w:t xml:space="preserve">мает решение о предоставлении субсидии в форме приказа Министерства или об отказе в предоставлении субсидии.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Основаниями для отказа в предоставлении субсидии являются: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несоответствие получателя субсидии требованиям, установленным </w:t>
      </w:r>
      <w:hyperlink r:id="rId17" w:tooltip="https://login.consultant.ru/link/?req=doc&amp;base=RLAW296&amp;n=214600&amp;dst=100031" w:history="1">
        <w:r>
          <w:rPr>
            <w:sz w:val="28"/>
            <w:szCs w:val="28"/>
          </w:rPr>
          <w:t xml:space="preserve">частью </w:t>
        </w:r>
      </w:hyperlink>
      <w:r>
        <w:rPr>
          <w:sz w:val="28"/>
          <w:szCs w:val="28"/>
        </w:rPr>
        <w:t xml:space="preserve">7 настоящего Порядка;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несоответствие представленных получателем субсидии документов требования</w:t>
      </w:r>
      <w:r>
        <w:rPr>
          <w:sz w:val="28"/>
          <w:szCs w:val="28"/>
        </w:rPr>
        <w:t xml:space="preserve">м, установленным частью 8 настоящего Порядка, или непредставление (представление не в полном объеме) указанных документов;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установление факта недостоверности представленной получателем субсидии информации.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В случае принятия решения об отказе в предо</w:t>
      </w:r>
      <w:r>
        <w:rPr>
          <w:sz w:val="28"/>
          <w:szCs w:val="28"/>
        </w:rPr>
        <w:t xml:space="preserve">ставлении субсидии Министерство в течение 3 рабочих дней со дня принятия такого решения направляет получателю субсидии уведомление об отказе в предоставлении субсидии с обоснованием причин отказа посредством почтового отправления или на адрес электронной п</w:t>
      </w:r>
      <w:r>
        <w:rPr>
          <w:sz w:val="28"/>
          <w:szCs w:val="28"/>
        </w:rPr>
        <w:t xml:space="preserve">очты, или иным способом, обеспечивающим подтверждение получения указанного уведомления получателем субсидии.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14. </w:t>
      </w:r>
      <w:r>
        <w:rPr>
          <w:sz w:val="28"/>
          <w:szCs w:val="28"/>
          <w:shd w:val="clear" w:color="auto" w:fill="ffffff"/>
        </w:rPr>
        <w:t xml:space="preserve">Получатель субсидии имеет право повторно подать документы, указанные в части 8 настоящего Порядка, после устранения причин отказа в предоставлении субсидии в порядке и срок, указанные в части 8 настоящего Порядка.</w:t>
      </w:r>
      <w:r>
        <w:rPr>
          <w:sz w:val="28"/>
          <w:szCs w:val="28"/>
          <w:shd w:val="clear" w:color="auto" w:fill="ffffff"/>
        </w:rPr>
      </w:r>
      <w:r>
        <w:rPr>
          <w:sz w:val="28"/>
          <w:szCs w:val="28"/>
          <w:shd w:val="clear" w:color="auto" w:fill="ffffff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rStyle w:val="856"/>
          <w:sz w:val="28"/>
          <w:szCs w:val="28"/>
        </w:rPr>
        <w:t xml:space="preserve">15. </w:t>
      </w:r>
      <w:r>
        <w:rPr>
          <w:sz w:val="28"/>
          <w:szCs w:val="28"/>
          <w:shd w:val="clear" w:color="auto" w:fill="ffffff"/>
        </w:rPr>
        <w:t xml:space="preserve">В случае принятия решения о предоставл</w:t>
      </w:r>
      <w:r>
        <w:rPr>
          <w:sz w:val="28"/>
          <w:szCs w:val="28"/>
          <w:shd w:val="clear" w:color="auto" w:fill="ffffff"/>
        </w:rPr>
        <w:t xml:space="preserve">ении субсидии Министерство заключает с получателем субсидии соглашение о предоставлении субсидии (далее – соглашение) в порядке и сроки, установленные частью 17 настоящего Порядка.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</w:t>
      </w:r>
      <w:r>
        <w:rPr>
          <w:rFonts w:ascii="Times New Roman" w:hAnsi="Times New Roman" w:cs="Times New Roman"/>
          <w:sz w:val="28"/>
          <w:szCs w:val="28"/>
        </w:rPr>
        <w:t xml:space="preserve">. Соглашение, дополнительное соглашение к соглашению, в том числе дополнительное соглашение о расторжении соглашения (при необходимости), заключаются в государственной интегрированной информационной системе управления общественными финансами «Электронный б</w:t>
      </w:r>
      <w:r>
        <w:rPr>
          <w:rFonts w:ascii="Times New Roman" w:hAnsi="Times New Roman" w:cs="Times New Roman"/>
          <w:sz w:val="28"/>
          <w:szCs w:val="28"/>
        </w:rPr>
        <w:t xml:space="preserve">юджет» (далее </w:t>
      </w:r>
      <w:r>
        <w:rPr>
          <w:rStyle w:val="856"/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ГИИС «Электронный бюджет») в соответствии с типовыми формами, утвержденными Министерством финансов Камчатского края.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 Заключение соглашения осуществляется в следующем порядке и сроки: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Министерство в течение 5 рабочих дней со дня приня</w:t>
      </w:r>
      <w:r>
        <w:rPr>
          <w:rFonts w:ascii="Times New Roman" w:hAnsi="Times New Roman" w:cs="Times New Roman"/>
          <w:sz w:val="28"/>
          <w:szCs w:val="28"/>
        </w:rPr>
        <w:t xml:space="preserve">тия решения о предоставлении субсидии размещает проект соглашения в ГИИС «Электронный бюджет»;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получатель субсидии в течение 5 рабочих дней со дня размещения проекта соглашения Министерством в ГИИС «Электронный бюджет» подписывает проект соглашения усил</w:t>
      </w:r>
      <w:r>
        <w:rPr>
          <w:rFonts w:ascii="Times New Roman" w:hAnsi="Times New Roman" w:cs="Times New Roman"/>
          <w:sz w:val="28"/>
          <w:szCs w:val="28"/>
        </w:rPr>
        <w:t xml:space="preserve">енной квалифицированной электронной подписью в ГИИС «Электронный бюджет». В случае, если получатель субсидии не подписал проект соглашения в течение 5 рабочих дней со дня размещения проекта соглашения в ГИИС «Электронный бюджет» усиленной </w:t>
      </w:r>
      <w:r>
        <w:rPr>
          <w:rFonts w:ascii="Times New Roman" w:hAnsi="Times New Roman" w:cs="Times New Roman"/>
          <w:sz w:val="28"/>
          <w:szCs w:val="28"/>
        </w:rPr>
        <w:t xml:space="preserve">квалифицированной</w:t>
      </w:r>
      <w:r>
        <w:rPr>
          <w:rFonts w:ascii="Times New Roman" w:hAnsi="Times New Roman" w:cs="Times New Roman"/>
          <w:sz w:val="28"/>
          <w:szCs w:val="28"/>
        </w:rPr>
        <w:t xml:space="preserve"> электронной подписью, то такой получатель субсидии признается уклонившимся от заключения соглашения;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Министерство в течение 5 рабочих дней со дня подписания получателем субсидии проекта соглашения подписывает его со своей стороны в ГИИС «Электронный бю</w:t>
      </w:r>
      <w:r>
        <w:rPr>
          <w:rFonts w:ascii="Times New Roman" w:hAnsi="Times New Roman" w:cs="Times New Roman"/>
          <w:sz w:val="28"/>
          <w:szCs w:val="28"/>
        </w:rPr>
        <w:t xml:space="preserve">джет» усиленной квалифицированной электронной подписью;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 соглашение считается заключенным после подписания его получателем субсидии и Министерством в ГИИС «Электронный бюджет».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Обязательными условиями предоставления субсидии являются: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включаемые с</w:t>
      </w:r>
      <w:r>
        <w:rPr>
          <w:rFonts w:ascii="Times New Roman" w:hAnsi="Times New Roman" w:cs="Times New Roman"/>
          <w:sz w:val="28"/>
          <w:szCs w:val="28"/>
        </w:rPr>
        <w:t xml:space="preserve">оответственно в соглашение и договоры (соглашения), заключенные с получателем субсидии: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согласие получателя субсидии, лиц, получающих средства на основании договоров (соглашений), заключенных с получателем субсидии (за исключением государственных (муниц</w:t>
      </w:r>
      <w:r>
        <w:rPr>
          <w:rFonts w:ascii="Times New Roman" w:hAnsi="Times New Roman" w:cs="Times New Roman"/>
          <w:sz w:val="28"/>
          <w:szCs w:val="28"/>
        </w:rPr>
        <w:t xml:space="preserve">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на ос</w:t>
      </w:r>
      <w:r>
        <w:rPr>
          <w:rFonts w:ascii="Times New Roman" w:hAnsi="Times New Roman" w:cs="Times New Roman"/>
          <w:sz w:val="28"/>
          <w:szCs w:val="28"/>
        </w:rPr>
        <w:t xml:space="preserve">уществление Министерством в отношении их проверки соблюдения порядка и условий предоставления субсидии, в том числе в части достижения результата предоставления субсидии, а также проверки органами государственного финансового контроля в соответствии со </w:t>
      </w:r>
      <w:hyperlink r:id="rId18" w:tooltip="https://login.consultant.ru/link/?req=doc&amp;base=LAW&amp;n=466790&amp;dst=3704" w:history="1">
        <w:r>
          <w:rPr>
            <w:rFonts w:ascii="Times New Roman" w:hAnsi="Times New Roman" w:cs="Times New Roman"/>
            <w:sz w:val="28"/>
            <w:szCs w:val="28"/>
          </w:rPr>
          <w:t xml:space="preserve">статьями 268</w:t>
        </w:r>
      </w:hyperlink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9" w:tooltip="https://login.consultant.ru/link/?req=doc&amp;base=LAW&amp;n=466790&amp;dst=3722" w:history="1">
        <w:r>
          <w:rPr>
            <w:rFonts w:ascii="Times New Roman" w:hAnsi="Times New Roman" w:cs="Times New Roman"/>
            <w:sz w:val="28"/>
            <w:szCs w:val="28"/>
          </w:rPr>
          <w:t xml:space="preserve">269</w:t>
        </w:r>
      </w:hyperlink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запрет приобретения получателем субсидии, а также иными юридическими лицами, получающими средства на основании договоров (соглашений</w:t>
      </w:r>
      <w:r>
        <w:rPr>
          <w:rFonts w:ascii="Times New Roman" w:hAnsi="Times New Roman" w:cs="Times New Roman"/>
          <w:sz w:val="28"/>
          <w:szCs w:val="28"/>
        </w:rPr>
        <w:t xml:space="preserve">), заключенных с получателем субсидии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</w:t>
      </w:r>
      <w:r>
        <w:rPr>
          <w:rFonts w:ascii="Times New Roman" w:hAnsi="Times New Roman" w:cs="Times New Roman"/>
          <w:sz w:val="28"/>
          <w:szCs w:val="28"/>
        </w:rPr>
        <w:t xml:space="preserve">я, сырья и комплектующих изделий;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включаемые в соглашение: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согласование новых условий соглашения или заключение дополнительного соглашения о расторжении соглашения при недостижении согласия по новым условиям в случае уменьшения Министерству ранее дов</w:t>
      </w:r>
      <w:r>
        <w:rPr>
          <w:rFonts w:ascii="Times New Roman" w:hAnsi="Times New Roman" w:cs="Times New Roman"/>
          <w:sz w:val="28"/>
          <w:szCs w:val="28"/>
        </w:rPr>
        <w:t xml:space="preserve">еденных лимитов бюджетных обязательств, приводящего к невозможности предоставления субсидии в размере, определенном в соглашении;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принятие получателем субсидии обязательства о достижении результата предоставления субсидии;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принятие получателем субсид</w:t>
      </w:r>
      <w:r>
        <w:rPr>
          <w:rFonts w:ascii="Times New Roman" w:hAnsi="Times New Roman" w:cs="Times New Roman"/>
          <w:sz w:val="28"/>
          <w:szCs w:val="28"/>
        </w:rPr>
        <w:t xml:space="preserve">ии обязательства о представлении отчетов, предусмотренных </w:t>
      </w:r>
      <w:hyperlink w:tooltip="#P180" w:anchor="P180" w:history="1">
        <w:r>
          <w:rPr>
            <w:rFonts w:ascii="Times New Roman" w:hAnsi="Times New Roman" w:cs="Times New Roman"/>
            <w:sz w:val="28"/>
            <w:szCs w:val="28"/>
          </w:rPr>
          <w:t xml:space="preserve">частью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6 настоящего Порядка.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случаях, предусмотренных законодательством Российской Федерации и (или) законодательством Камчатского края, в соглашение могут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быть внесены изменения.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Внесение изменений в соглашение оформляется в виде дополнительного соглашения к соглашению (дополнительного соглашения о расторжении соглашения) (при необходимости) в соответствии с типовыми формами, утвержденными Министерством фина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нсов Камчатского края.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в течение 5 рабочих дней со дня принятия решения о заключении дополнительного соглашения к соглашению (дополнительного соглашения о расторжении соглашения) размещает в ГИИС «Электронный бюджет» проект дополнительного сог</w:t>
      </w:r>
      <w:r>
        <w:rPr>
          <w:rFonts w:ascii="Times New Roman" w:hAnsi="Times New Roman" w:cs="Times New Roman"/>
          <w:sz w:val="28"/>
          <w:szCs w:val="28"/>
        </w:rPr>
        <w:t xml:space="preserve">лашения к соглашению (дополнительного соглашения о расторжении соглашения).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Получатель субсидии в течение 5 рабочих дней со дня размещения Министерством проекта дополнительного соглашения к соглашению (дополнительного соглашения о расторжении соглашения) в</w:t>
      </w:r>
      <w:r>
        <w:rPr>
          <w:rFonts w:ascii="Times New Roman" w:hAnsi="Times New Roman" w:cs="Times New Roman"/>
          <w:sz w:val="28"/>
          <w:szCs w:val="28"/>
        </w:rPr>
        <w:t xml:space="preserve"> ГИИС «Электронный бюджет», но не позднее 20 декабря текущего финансового года, подписывает дополнительное соглашение к соглашению (дополнительное соглашение о расторжении соглашения) усиленной квалифицированной электронной подписью посредством ГИИС «Элект</w:t>
      </w:r>
      <w:r>
        <w:rPr>
          <w:rFonts w:ascii="Times New Roman" w:hAnsi="Times New Roman" w:cs="Times New Roman"/>
          <w:sz w:val="28"/>
          <w:szCs w:val="28"/>
        </w:rPr>
        <w:t xml:space="preserve">ронный бюджет».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в течение 5 рабочих дней со дня подписания усиленной квалифицированной электронной подписью получателем субсидии дополнительного соглашения к соглашению (дополнительного соглашения о расторжении соглашения) подписывает его со с</w:t>
      </w:r>
      <w:r>
        <w:rPr>
          <w:rFonts w:ascii="Times New Roman" w:hAnsi="Times New Roman" w:cs="Times New Roman"/>
          <w:sz w:val="28"/>
          <w:szCs w:val="28"/>
        </w:rPr>
        <w:t xml:space="preserve">воей стороны усиленной квалифицированной электронной подписью в ГИИС «Электронный бюджет».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При реорганизации получателя субсидии в форме слияния, присоединения или преобразования в соглашение вносятся изменения путем заключения дополнительного соглашен</w:t>
      </w:r>
      <w:r>
        <w:rPr>
          <w:rFonts w:ascii="Times New Roman" w:hAnsi="Times New Roman" w:cs="Times New Roman"/>
          <w:sz w:val="28"/>
          <w:szCs w:val="28"/>
        </w:rPr>
        <w:t xml:space="preserve">ия к соглашению в части перемены лица в обязательстве с указанием в соглашении юридического лица, являющегося правопреемником.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 При реорганизации получателя субсидии в форме разделения, выделения, а также при ликвидации получателя субсидии соглашение ра</w:t>
      </w:r>
      <w:r>
        <w:rPr>
          <w:rFonts w:ascii="Times New Roman" w:hAnsi="Times New Roman" w:cs="Times New Roman"/>
          <w:sz w:val="28"/>
          <w:szCs w:val="28"/>
        </w:rPr>
        <w:t xml:space="preserve">сторгается с формированием уведомления о расторжении соглашения в одностороннем порядке и акта об исполнении обязательств по соглашению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средств субсидии в краевой бюджет.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Министерство перечисляет субсидию на счет</w:t>
      </w:r>
      <w:r>
        <w:rPr>
          <w:rFonts w:ascii="Times New Roman" w:hAnsi="Times New Roman" w:cs="Times New Roman"/>
          <w:sz w:val="28"/>
          <w:szCs w:val="28"/>
        </w:rPr>
        <w:t xml:space="preserve">, открытый получателем субсидии в учреждениях Центрального банка Российской Федерации или кредитных организациях, реквизиты которого указаны в соглашении, в сроки в соответствии с планом-графиком перечисления субсидии, установленным в приложении к соглашен</w:t>
      </w:r>
      <w:r>
        <w:rPr>
          <w:rFonts w:ascii="Times New Roman" w:hAnsi="Times New Roman" w:cs="Times New Roman"/>
          <w:sz w:val="28"/>
          <w:szCs w:val="28"/>
        </w:rPr>
        <w:t xml:space="preserve">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contextualSpacing w:val="0"/>
        <w:ind w:left="0" w:right="0" w:firstLine="709"/>
        <w:jc w:val="both"/>
        <w:spacing w:after="0" w:afterAutospacing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23. </w:t>
      </w: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сидия предоставляется получателю субсидии в размере, определенном по следующей формуле:</w:t>
      </w:r>
      <w:r/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outlineLvl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11"/>
        <w:ind w:left="0" w:right="0" w:firstLine="0"/>
        <w:jc w:val="center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V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  <w:vertAlign w:val="subscript"/>
        </w:rPr>
        <w:t xml:space="preserve">субсидии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 = ∑ R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 ≤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Х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 тыс. рублей,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 где: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r>
    </w:p>
    <w:p>
      <w:pPr>
        <w:pStyle w:val="911"/>
        <w:ind w:left="0" w:right="0" w:firstLine="709"/>
        <w:jc w:val="both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r>
    </w:p>
    <w:p>
      <w:pPr>
        <w:pStyle w:val="911"/>
        <w:ind w:left="0" w:right="0" w:firstLine="709"/>
        <w:jc w:val="both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V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  <w:vertAlign w:val="subscript"/>
        </w:rPr>
        <w:t xml:space="preserve">субсидии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 – размер субсидии, предоставляемой получателю субсидии на цели, указанные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части 1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настояще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 Порядк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r>
    </w:p>
    <w:p>
      <w:pPr>
        <w:pStyle w:val="911"/>
        <w:ind w:left="0" w:right="0" w:firstLine="709"/>
        <w:jc w:val="both"/>
        <w:spacing w:before="0" w:beforeAutospacing="0" w:after="0" w:afterAutospacing="0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R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– стоимость затрат на проведение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мероприятий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в соответствии с планом мероприятий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, рассчитываем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ая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  <w:t xml:space="preserve"> по следующей формуле: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r>
    </w:p>
    <w:p>
      <w:pPr>
        <w:pStyle w:val="911"/>
        <w:ind w:left="0" w:right="0" w:firstLine="709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ffffff"/>
        </w:rPr>
      </w:r>
      <w:r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</w:r>
      <w:r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</w:r>
    </w:p>
    <w:p>
      <w:pPr>
        <w:pStyle w:val="911"/>
        <w:ind w:left="0" w:right="0" w:firstLine="0"/>
        <w:jc w:val="center"/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ffffff"/>
        </w:rPr>
        <w:t xml:space="preserve">R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ffffff"/>
        </w:rPr>
        <w:t xml:space="preserve"> = ОТ+УС+МТ+АО+ОР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ffffff"/>
        </w:rPr>
        <w:t xml:space="preserve">, где:</w:t>
      </w:r>
      <w:r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</w:r>
      <w:r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</w:r>
    </w:p>
    <w:p>
      <w:pPr>
        <w:pStyle w:val="911"/>
        <w:ind w:left="0" w:right="0" w:firstLine="709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yellow"/>
          <w:shd w:val="clear" w:color="auto" w:fill="ffffff"/>
        </w:rPr>
      </w:r>
      <w:r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r>
      <w:r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r>
    </w:p>
    <w:p>
      <w:pPr>
        <w:ind w:firstLine="709"/>
        <w:jc w:val="both"/>
        <w:rPr>
          <w:color w:val="auto"/>
          <w:sz w:val="28"/>
          <w:szCs w:val="28"/>
          <w:highlight w:val="white"/>
        </w:rPr>
      </w:pP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ОТ – затраты на 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услуги специалистов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; </w:t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УС –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затраты на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/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услуг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и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 связи, услуг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и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 банка по расчетно-кассовому обслуживанию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МТ –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затраты на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/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м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атериально-техническое обеспечение деятельности, связанное с оказанием услуг (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приобретение мебели, оборудования, компьютерной техники, программного обеспечения, полиграфической и сувенирной продукции, сенсорной мультимедийной стойки, массажного кресла, подарочной продукции, флагов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)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;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АО –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затраты на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аренду оборудования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;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ОР – 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затраты на</w:t>
      </w:r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 </w:t>
      </w:r>
      <w:r/>
      <w:r>
        <w:rPr>
          <w:rStyle w:val="856"/>
          <w:rFonts w:ascii="Times New Roman" w:hAnsi="Times New Roman"/>
          <w:color w:val="auto"/>
          <w:sz w:val="28"/>
          <w:szCs w:val="28"/>
          <w:highlight w:val="white"/>
        </w:rPr>
        <w:t xml:space="preserve">изготовление, размещение и (или) распространение рекламы о реализуемых проектах.</w:t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Style w:val="856"/>
          <w:rFonts w:ascii="Times New Roman" w:hAnsi="Times New Roman" w:eastAsia="Times New Roman" w:cs="Times New Roman"/>
          <w:sz w:val="28"/>
          <w:szCs w:val="28"/>
          <w:highlight w:val="white"/>
        </w:rPr>
        <w:t xml:space="preserve">Х – размер субсидии </w:t>
      </w:r>
      <w:r>
        <w:rPr>
          <w:rStyle w:val="856"/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пределах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лимитов бюджетных обязательств, доведенных до Министерства.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08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24. </w:t>
      </w:r>
      <w:r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t xml:space="preserve">Результатом предоставления субсидии в</w:t>
      </w:r>
      <w:r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t xml:space="preserve"> 2026-2027 годах являются 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еализованные проекты, направленные на социализацию участников Специальной военной операции и членов их семей, а именно:</w:t>
      </w:r>
      <w:r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</w:r>
    </w:p>
    <w:p>
      <w:pPr>
        <w:pStyle w:val="908"/>
        <w:numPr>
          <w:ilvl w:val="0"/>
          <w:numId w:val="4"/>
        </w:numPr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рганизация и проведение в 2026 году выставки «Мамы России» в рамках форума «Тепло родных сердец»;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908"/>
        <w:numPr>
          <w:ilvl w:val="0"/>
          <w:numId w:val="4"/>
        </w:numPr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роведение в 2027 году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мероприятий в области психологического здоровья;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08"/>
        <w:numPr>
          <w:ilvl w:val="0"/>
          <w:numId w:val="4"/>
        </w:numPr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организация и проведение в 2027 году проекта «Наша семья – наша Победа».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25. Значение результата предоставления субсидии устанавливается соглашением.</w:t>
      </w:r>
      <w:r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r>
      <w:r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26. Получатель субсидии ежеквартально не позднее </w:t>
      </w:r>
      <w:r>
        <w:rPr>
          <w:rFonts w:ascii="Times New Roman" w:hAnsi="Times New Roman" w:cs="Times New Roman"/>
          <w:sz w:val="28"/>
          <w:szCs w:val="28"/>
        </w:rPr>
        <w:t xml:space="preserve">15 календарного дня, следующего за отчетным кварталом, представляет в Министерство посредством ГИИС «Электронный бюджет» по формам, определенным типовыми формами соглашений, установленными Министерством финансов Камчатского края, следующие отчеты: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отчет</w:t>
      </w:r>
      <w:r>
        <w:rPr>
          <w:rFonts w:ascii="Times New Roman" w:hAnsi="Times New Roman" w:cs="Times New Roman"/>
          <w:sz w:val="28"/>
          <w:szCs w:val="28"/>
        </w:rPr>
        <w:t xml:space="preserve"> о достижении значений результата предоставления субсидии, установленного </w:t>
      </w:r>
      <w:hyperlink w:tooltip="#P178" w:anchor="P178" w:history="1">
        <w:r>
          <w:rPr>
            <w:rFonts w:ascii="Times New Roman" w:hAnsi="Times New Roman" w:cs="Times New Roman"/>
            <w:sz w:val="28"/>
            <w:szCs w:val="28"/>
          </w:rPr>
          <w:t xml:space="preserve">частью </w:t>
        </w:r>
      </w:hyperlink>
      <w:r>
        <w:rPr>
          <w:rFonts w:ascii="Times New Roman" w:hAnsi="Times New Roman" w:cs="Times New Roman"/>
          <w:sz w:val="28"/>
          <w:szCs w:val="28"/>
        </w:rPr>
        <w:t xml:space="preserve">24 настоящего Порядка;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отчет об осуществлении расходов, источником финансового обеспечения которых является субсидия, с приложением докум</w:t>
      </w:r>
      <w:r>
        <w:rPr>
          <w:rFonts w:ascii="Times New Roman" w:hAnsi="Times New Roman" w:cs="Times New Roman"/>
          <w:sz w:val="28"/>
          <w:szCs w:val="28"/>
        </w:rPr>
        <w:t xml:space="preserve">ентов, подтверждающих фактически произведенные расходы.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27. Министерство в течение 10 рабочих дней со дня получения отчетов, указанных в </w:t>
      </w:r>
      <w:hyperlink w:tooltip="#P180" w:anchor="P180" w:history="1">
        <w:r>
          <w:rPr>
            <w:rFonts w:ascii="Times New Roman" w:hAnsi="Times New Roman" w:cs="Times New Roman"/>
            <w:sz w:val="28"/>
            <w:szCs w:val="28"/>
          </w:rPr>
          <w:t xml:space="preserve">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6 настоящего Порядка, осуществляет проверку отчетов, устанавливает полноту и </w:t>
      </w:r>
      <w:r>
        <w:rPr>
          <w:rFonts w:ascii="Times New Roman" w:hAnsi="Times New Roman" w:cs="Times New Roman"/>
          <w:sz w:val="28"/>
          <w:szCs w:val="28"/>
        </w:rPr>
        <w:t xml:space="preserve">достоверность сведений, содержащихся в отчетах.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 считается принятым после подписания его усиленной квалифицированной электронной подписью руководителя Министерства (уполномоченного им лица) в ГИИС «Электронный бюджет» в течение срока, указанного в абз</w:t>
      </w:r>
      <w:r>
        <w:rPr>
          <w:rFonts w:ascii="Times New Roman" w:hAnsi="Times New Roman" w:cs="Times New Roman"/>
          <w:sz w:val="28"/>
          <w:szCs w:val="28"/>
        </w:rPr>
        <w:t xml:space="preserve">аце первом настоящей части.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 считается непринятым после направления получателю субсидии протокола, подписанного усиленной квалифицированной электронной подписью руководителя Министерства (уполномоченного им лица) в </w:t>
      </w:r>
      <w:r>
        <w:rPr>
          <w:rFonts w:ascii="Times New Roman" w:hAnsi="Times New Roman" w:cs="Times New Roman"/>
          <w:sz w:val="28"/>
          <w:szCs w:val="28"/>
        </w:rPr>
        <w:br/>
        <w:t xml:space="preserve">ГИИС «Электронный бюджет», в течени</w:t>
      </w:r>
      <w:r>
        <w:rPr>
          <w:rFonts w:ascii="Times New Roman" w:hAnsi="Times New Roman" w:cs="Times New Roman"/>
          <w:sz w:val="28"/>
          <w:szCs w:val="28"/>
        </w:rPr>
        <w:t xml:space="preserve">е срока, указанного в абзаце первом настоящей части, в связи с непредставлением (представлением не в полном объеме) отчета, некорректным заполнением (незаполнением) получателем субсидии всех обязательных для заполнения граф, предусмотренных в отчете.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</w:t>
      </w:r>
      <w:r>
        <w:rPr>
          <w:rFonts w:ascii="Times New Roman" w:hAnsi="Times New Roman" w:cs="Times New Roman"/>
          <w:sz w:val="28"/>
          <w:szCs w:val="28"/>
        </w:rPr>
        <w:t xml:space="preserve">терство в протоколе, направленном получателю субсидии, устанавливает срок представления скорректированного отчета.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28. Министерство проводит мониторинг достижения результата предоставления субсидии исходя из достижения значений результата предоставления су</w:t>
      </w:r>
      <w:r>
        <w:rPr>
          <w:rFonts w:ascii="Times New Roman" w:hAnsi="Times New Roman" w:cs="Times New Roman"/>
          <w:sz w:val="28"/>
          <w:szCs w:val="28"/>
        </w:rPr>
        <w:t xml:space="preserve">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установленным Министерством финансов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29.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Министерство осуществляет в отношении получателя субсидии, а также лиц, получивших средства на основании договоров (соглашений), заключенных с получателем субсидии,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 соблюдения ими условий и порядка предоставления субсидии, в том числе в части дост</w:t>
      </w:r>
      <w:r>
        <w:rPr>
          <w:rFonts w:ascii="Times New Roman" w:hAnsi="Times New Roman" w:cs="Times New Roman"/>
          <w:sz w:val="28"/>
          <w:szCs w:val="28"/>
        </w:rPr>
        <w:t xml:space="preserve">ижения результата предоставления субсидии, а органы государственного финансового контроля осуществляют проверки в соответствии со </w:t>
      </w:r>
      <w:hyperlink r:id="rId20" w:tooltip="https://login.consultant.ru/link/?req=doc&amp;base=LAW&amp;n=466790&amp;dst=3704" w:history="1">
        <w:r>
          <w:rPr>
            <w:rFonts w:ascii="Times New Roman" w:hAnsi="Times New Roman" w:cs="Times New Roman"/>
            <w:sz w:val="28"/>
            <w:szCs w:val="28"/>
          </w:rPr>
          <w:t xml:space="preserve">статьями 268</w:t>
        </w:r>
      </w:hyperlink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21" w:tooltip="https://login.consultant.ru/link/?req=doc&amp;base=LAW&amp;n=466790&amp;dst=3722" w:history="1">
        <w:r>
          <w:rPr>
            <w:rFonts w:ascii="Times New Roman" w:hAnsi="Times New Roman" w:cs="Times New Roman"/>
            <w:sz w:val="28"/>
            <w:szCs w:val="28"/>
          </w:rPr>
          <w:t xml:space="preserve">269</w:t>
        </w:r>
      </w:hyperlink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оформляет результаты проверок в порядке, установленном </w:t>
      </w:r>
      <w:hyperlink r:id="rId22" w:tooltip="https://login.consultant.ru/link/?req=doc&amp;base=LAW&amp;n=489036&amp;dst=100155" w:history="1">
        <w:r>
          <w:rPr>
            <w:rFonts w:ascii="Times New Roman" w:hAnsi="Times New Roman" w:cs="Times New Roman"/>
            <w:sz w:val="28"/>
            <w:szCs w:val="28"/>
          </w:rPr>
          <w:t xml:space="preserve">пунктами 48</w:t>
        </w:r>
      </w:hyperlink>
      <w:r>
        <w:rPr>
          <w:rStyle w:val="856"/>
          <w:rFonts w:ascii="Times New Roman" w:hAnsi="Times New Roman" w:cs="Times New Roman"/>
          <w:sz w:val="28"/>
          <w:szCs w:val="28"/>
        </w:rPr>
        <w:t xml:space="preserve">–</w:t>
      </w:r>
      <w:hyperlink r:id="rId23" w:tooltip="https://login.consultant.ru/link/?req=doc&amp;base=LAW&amp;n=489036&amp;dst=100190" w:history="1">
        <w:r>
          <w:rPr>
            <w:rFonts w:ascii="Times New Roman" w:hAnsi="Times New Roman" w:cs="Times New Roman"/>
            <w:sz w:val="28"/>
            <w:szCs w:val="28"/>
          </w:rPr>
          <w:t xml:space="preserve">59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стандарта внутреннего государственного (муниципального) финансового контроля «Проведение п</w:t>
      </w:r>
      <w:r>
        <w:rPr>
          <w:rFonts w:ascii="Times New Roman" w:hAnsi="Times New Roman" w:cs="Times New Roman"/>
          <w:sz w:val="28"/>
          <w:szCs w:val="28"/>
        </w:rPr>
        <w:t xml:space="preserve">роверок, ревизий и обследований и оформление их результатов», утвержденного постановлением Правительства Российской Федерации от 17.08.2020 № 1235.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30. В случае нарушения получателем субсидии условий и порядка, установленных при предоставлении субсидии, вы</w:t>
      </w:r>
      <w:r>
        <w:rPr>
          <w:sz w:val="28"/>
          <w:szCs w:val="28"/>
        </w:rPr>
        <w:t xml:space="preserve">явленного в том числе по фактам проверок, проведенных Министерством и (или) органами государственного финансового контроля, а также в случае недостижения значений результата предоставления субсидии, средства субсидии подлежат возврату в краевой бюджет в сл</w:t>
      </w:r>
      <w:r>
        <w:rPr>
          <w:sz w:val="28"/>
          <w:szCs w:val="28"/>
        </w:rPr>
        <w:t xml:space="preserve">едующем порядке и сроки: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 случае выявления нарушения органами государственного финансового контроля </w:t>
      </w:r>
      <w:r>
        <w:rPr>
          <w:rStyle w:val="856"/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представления и (или) предписания органа государственного финансового контроля в сроки, указанные в представлении и (или) предписании;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</w:t>
      </w:r>
      <w:r>
        <w:rPr>
          <w:rFonts w:ascii="Times New Roman" w:hAnsi="Times New Roman" w:cs="Times New Roman"/>
          <w:sz w:val="28"/>
          <w:szCs w:val="28"/>
        </w:rPr>
        <w:t xml:space="preserve"> в случае выявления нарушения Министерством </w:t>
      </w:r>
      <w:r>
        <w:rPr>
          <w:rStyle w:val="856"/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в течение 20 рабочих дней со дня получения требования Министерства;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в иных случаях </w:t>
      </w:r>
      <w:r>
        <w:rPr>
          <w:rStyle w:val="856"/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в течение 20 рабочих дней со дня выявления нарушения.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31. Получатель субсидии обязан возвратить средства субсидии в краево</w:t>
      </w:r>
      <w:r>
        <w:rPr>
          <w:rFonts w:ascii="Times New Roman" w:hAnsi="Times New Roman" w:cs="Times New Roman"/>
          <w:sz w:val="28"/>
          <w:szCs w:val="28"/>
        </w:rPr>
        <w:t xml:space="preserve">й бюджет в следующих размерах: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 случае нарушения целей предоставления субсидии </w:t>
      </w:r>
      <w:r>
        <w:rPr>
          <w:rStyle w:val="856"/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в размере нецелевого использования денежных средств;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 случае нарушения условий и порядка предоставления субсидии </w:t>
      </w:r>
      <w:r>
        <w:rPr>
          <w:rStyle w:val="856"/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в полном объеме;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в случае недостижения значений </w:t>
      </w:r>
      <w:r>
        <w:rPr>
          <w:rFonts w:ascii="Times New Roman" w:hAnsi="Times New Roman" w:cs="Times New Roman"/>
          <w:sz w:val="28"/>
          <w:szCs w:val="28"/>
        </w:rPr>
        <w:t xml:space="preserve">результата предоставления субсидии, установленных соглашением, </w:t>
      </w:r>
      <w:r>
        <w:rPr>
          <w:rStyle w:val="856"/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в размере, определенном по следующей формуле: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V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</w:rPr>
        <w:t xml:space="preserve">возврата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= V</w:t>
      </w:r>
      <w:r>
        <w:rPr>
          <w:rFonts w:ascii="Times New Roman" w:hAnsi="Times New Roman" w:eastAsia="Times New Roman" w:cs="Times New Roman"/>
          <w:sz w:val="28"/>
          <w:szCs w:val="28"/>
          <w:vertAlign w:val="subscript"/>
        </w:rPr>
        <w:t xml:space="preserve">субсидии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х</w:t>
      </w:r>
      <m:oMath>
        <m:d>
          <m:dPr>
            <m:ctrlPr>
              <w:rPr>
                <w:rFonts w:ascii="Cambria Math" w:hAnsi="Cambria Math" w:eastAsia="Cambria Math" w:cs="Cambria Math"/>
                <w:sz w:val="28"/>
                <w:szCs w:val="28"/>
              </w:rPr>
            </m:ctrlPr>
          </m:dPr>
          <m:e>
            <m:r>
              <w:rPr>
                <w:rFonts w:ascii="Cambria Math" w:hAnsi="Cambria Math" w:eastAsia="Cambria Math" w:cs="Cambria Math"/>
                <w:sz w:val="28"/>
                <w:szCs w:val="28"/>
              </w:rPr>
              <m:rPr>
                <m:sty m:val="p"/>
              </m:rPr>
              <m:t>1 –</m:t>
            </m:r>
            <m:f>
              <m:fPr>
                <m:ctrlPr>
                  <w:rPr>
                    <w:rFonts w:ascii="Cambria Math" w:hAnsi="Cambria Math" w:eastAsia="Cambria Math" w:cs="Cambria Math"/>
                    <w:sz w:val="28"/>
                    <w:szCs w:val="28"/>
                  </w:rPr>
                </m:ctrlPr>
              </m:fPr>
              <m:num>
                <m:r>
                  <w:rPr>
                    <w:rFonts w:hint="default" w:ascii="Cambria Math" w:hAnsi="Cambria Math" w:eastAsia="Cambria Math" w:cs="Cambria Math"/>
                    <w:sz w:val="28"/>
                    <w:szCs w:val="28"/>
                  </w:rPr>
                  <m:rPr>
                    <m:sty m:val="p"/>
                  </m:rPr>
                  <m:t>S</m:t>
                </m:r>
                <m:r>
                  <w:rPr>
                    <w:rFonts w:hint="default" w:ascii="Cambria Math" w:hAnsi="Cambria Math" w:eastAsia="Cambria Math" w:cs="Cambria Math"/>
                    <w:sz w:val="28"/>
                    <w:szCs w:val="28"/>
                    <w:vertAlign w:val="subscript"/>
                  </w:rPr>
                  <m:rPr>
                    <m:sty m:val="p"/>
                  </m:rPr>
                  <m:t>ф</m:t>
                </m:r>
                <m:r>
                  <w:rPr>
                    <w:rFonts w:hint="default" w:ascii="Cambria Math" w:hAnsi="Cambria Math" w:eastAsia="Cambria Math" w:cs="Cambria Math"/>
                    <w:sz w:val="28"/>
                    <w:szCs w:val="28"/>
                    <w:vertAlign w:val="subscript"/>
                  </w:rPr>
                  <m:rPr>
                    <m:sty m:val="p"/>
                  </m:rPr>
                  <m:t>акт</m:t>
                </m:r>
              </m:num>
              <m:den>
                <m:r>
                  <w:rPr>
                    <w:rFonts w:hint="default" w:ascii="Cambria Math" w:hAnsi="Cambria Math" w:eastAsia="Cambria Math" w:cs="Cambria Math"/>
                    <w:sz w:val="28"/>
                    <w:szCs w:val="28"/>
                  </w:rPr>
                  <m:rPr>
                    <m:sty m:val="p"/>
                  </m:rPr>
                  <m:t>S</m:t>
                </m:r>
                <m:r>
                  <w:rPr>
                    <w:rFonts w:hint="default" w:ascii="Cambria Math" w:hAnsi="Cambria Math" w:eastAsia="Cambria Math" w:cs="Cambria Math"/>
                    <w:sz w:val="28"/>
                    <w:szCs w:val="28"/>
                    <w:vertAlign w:val="subscript"/>
                  </w:rPr>
                  <m:rPr>
                    <m:sty m:val="p"/>
                  </m:rPr>
                  <m:t>план</m:t>
                </m:r>
              </m:den>
            </m:f>
          </m:e>
        </m:d>
      </m:oMath>
      <w:r>
        <w:rPr>
          <w:rFonts w:ascii="Times New Roman" w:hAnsi="Times New Roman" w:cs="Times New Roman"/>
          <w:sz w:val="28"/>
          <w:szCs w:val="28"/>
        </w:rPr>
        <w:t xml:space="preserve">, где: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возврата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856"/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размер средств субсидии, подлежащих возврату в краевой бюджет;</w:t>
      </w:r>
      <m:oMath>
        <m:r>
          <w:rPr>
            <w:rFonts w:ascii="Cambria Math" w:hAnsi="Cambria Math" w:cs="Times New Roman"/>
            <w:sz w:val="28"/>
            <w:szCs w:val="28"/>
          </w:rPr>
          <m:rPr/>
          <m:t> </m:t>
        </m:r>
      </m:oMath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субсидии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856"/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размер субсидии, предоставленной получателю субсидии;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факт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856"/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фактически достигнутое значение результата предоставления субсидии;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856"/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плановое значение результата предоставления субсидии, установленного соглашением.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32. Письменное требование о возврат</w:t>
      </w:r>
      <w:r>
        <w:rPr>
          <w:rFonts w:ascii="Times New Roman" w:hAnsi="Times New Roman" w:cs="Times New Roman"/>
          <w:sz w:val="28"/>
          <w:szCs w:val="28"/>
        </w:rPr>
        <w:t xml:space="preserve">е средств субсидии в краевой бюджет направляется Министерством получателю субсидии в течение 20 рабочих дней со дня выявления нарушений по фактам проверок, проведенных Министерством и (или) органами государственного финансового контроля, посредством почтов</w:t>
      </w:r>
      <w:r>
        <w:rPr>
          <w:rFonts w:ascii="Times New Roman" w:hAnsi="Times New Roman" w:cs="Times New Roman"/>
          <w:sz w:val="28"/>
          <w:szCs w:val="28"/>
        </w:rPr>
        <w:t xml:space="preserve">ого отправления, нарочным на бумажном носителе, на адрес электронной почты или иным способом, обеспечивающим подтверждение получения указанного требования получателем субсидии.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33. При невозврате средств субсидии в сроки, установленные </w:t>
      </w:r>
      <w:hyperlink w:tooltip="#P190" w:anchor="P190" w:history="1">
        <w:r>
          <w:rPr>
            <w:rFonts w:ascii="Times New Roman" w:hAnsi="Times New Roman" w:cs="Times New Roman"/>
            <w:sz w:val="28"/>
            <w:szCs w:val="28"/>
          </w:rPr>
          <w:t xml:space="preserve">частью </w:t>
        </w:r>
      </w:hyperlink>
      <w:r>
        <w:rPr>
          <w:rFonts w:ascii="Times New Roman" w:hAnsi="Times New Roman" w:cs="Times New Roman"/>
          <w:sz w:val="28"/>
          <w:szCs w:val="28"/>
        </w:rPr>
        <w:t xml:space="preserve">30 настоящего Порядка, Министерство принимает необходимые меры по взысканию подлежащих возврату в краевой бюджет средств субсидии в судебном порядке в срок не позднее 30 рабочих дней со дня, когда Министерству стало известно о неиспол</w:t>
      </w:r>
      <w:r>
        <w:rPr>
          <w:rFonts w:ascii="Times New Roman" w:hAnsi="Times New Roman" w:cs="Times New Roman"/>
          <w:sz w:val="28"/>
          <w:szCs w:val="28"/>
        </w:rPr>
        <w:t xml:space="preserve">нении получателем субсидии обязанности возвратить средства субсидии в краевой бюджет.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34. В случае нарушений, выявленных в том числе по факт</w:t>
      </w:r>
      <w:r>
        <w:rPr>
          <w:rFonts w:ascii="Times New Roman" w:hAnsi="Times New Roman" w:cs="Times New Roman"/>
          <w:sz w:val="28"/>
          <w:szCs w:val="28"/>
        </w:rPr>
        <w:t xml:space="preserve">ам проверок, проведенных Министерством и (или) органами государственного финансового контроля, лица, получившие средства на основании договоров (соглашений), заключенных с получателем субсидии, обязаны возвратить в сроки, не превышающие сроки, указанные в </w:t>
      </w:r>
      <w:hyperlink w:tooltip="#P190" w:anchor="P190" w:history="1">
        <w:r>
          <w:rPr>
            <w:rFonts w:ascii="Times New Roman" w:hAnsi="Times New Roman" w:cs="Times New Roman"/>
            <w:sz w:val="28"/>
            <w:szCs w:val="28"/>
          </w:rPr>
          <w:t xml:space="preserve">части </w:t>
        </w:r>
      </w:hyperlink>
      <w:r>
        <w:rPr>
          <w:rFonts w:ascii="Times New Roman" w:hAnsi="Times New Roman" w:cs="Times New Roman"/>
          <w:sz w:val="28"/>
          <w:szCs w:val="28"/>
        </w:rPr>
        <w:t xml:space="preserve">30 настоящего Порядка, средства субсидии на счет получателя субсидии в целях последующего возврата указанных средств получателем субсидии в краевой бюджет в срок не позднее 10 рабочих дней со дня поступления денежны</w:t>
      </w:r>
      <w:r>
        <w:rPr>
          <w:rFonts w:ascii="Times New Roman" w:hAnsi="Times New Roman" w:cs="Times New Roman"/>
          <w:sz w:val="28"/>
          <w:szCs w:val="28"/>
        </w:rPr>
        <w:t xml:space="preserve">х средств на его счет.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Письменное требование о возврате средств, полученных за счет средств субсидии, направляется получателем субсидии лицам, получившим средства на основании договоров (соглашений), заключенных с получателем субсидии, и нарушившим порядок</w:t>
      </w:r>
      <w:r>
        <w:rPr>
          <w:rFonts w:ascii="Times New Roman" w:hAnsi="Times New Roman" w:cs="Times New Roman"/>
          <w:sz w:val="28"/>
          <w:szCs w:val="28"/>
        </w:rPr>
        <w:t xml:space="preserve"> и условия предоставления субсидии, в течение 15 рабочих дней со дня выявления нарушений по фактам проверок, проведенных Министерством и (или) органами государственного финансового контроля.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35. В случае невозврата лицами, указанными в </w:t>
      </w:r>
      <w:hyperlink w:tooltip="#P207" w:anchor="P207" w:history="1">
        <w:r>
          <w:rPr>
            <w:rFonts w:ascii="Times New Roman" w:hAnsi="Times New Roman" w:cs="Times New Roman"/>
            <w:sz w:val="28"/>
            <w:szCs w:val="28"/>
          </w:rPr>
          <w:t xml:space="preserve">части </w:t>
        </w:r>
      </w:hyperlink>
      <w:r>
        <w:rPr>
          <w:rFonts w:ascii="Times New Roman" w:hAnsi="Times New Roman" w:cs="Times New Roman"/>
          <w:sz w:val="28"/>
          <w:szCs w:val="28"/>
        </w:rPr>
        <w:t xml:space="preserve">34 настоящего Порядка, средств, полученных за счет средств субсидии, на счет получателя субсидии, получатель субсидии принимает необходимые меры по взысканию подлежащих возврату в краевой бюджет средств, полученных за счет средств субс</w:t>
      </w:r>
      <w:r>
        <w:rPr>
          <w:rFonts w:ascii="Times New Roman" w:hAnsi="Times New Roman" w:cs="Times New Roman"/>
          <w:sz w:val="28"/>
          <w:szCs w:val="28"/>
        </w:rPr>
        <w:t xml:space="preserve">идии, в судебном порядке в срок, не позднее 30 рабочих дней со дня, когда получателю субсидии стало известно о неисполнении указанными лицами обязанности возвратить средства на счет получателя субсидии.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36. Остаток субсидии, неиспользованный в году предост</w:t>
      </w:r>
      <w:r>
        <w:rPr>
          <w:rFonts w:ascii="Times New Roman" w:hAnsi="Times New Roman" w:cs="Times New Roman"/>
          <w:sz w:val="28"/>
          <w:szCs w:val="28"/>
        </w:rPr>
        <w:t xml:space="preserve">авления субсидии, подлежит возврату в краевой бюджет на лицевой счет Министерства не позднее 15 февраля финансового года, следующего за годом предоставления субсидии.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425" w:bottom="1134" w:left="1418" w:header="709" w:footer="709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 Math">
    <w:panose1 w:val="02040803050406030204"/>
  </w:font>
  <w:font w:name="Segoe UI">
    <w:panose1 w:val="020B0502040504020204"/>
  </w:font>
  <w:font w:name="Calibri">
    <w:panose1 w:val="020F0502020204030204"/>
  </w:font>
  <w:font w:name="XO Thames">
    <w:panose1 w:val="02000603000000000000"/>
  </w:font>
  <w:font w:name="Liberation Sans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8"/>
        <w:szCs w:val="28"/>
      </w:rPr>
      <w:framePr w:wrap="around" w:vAnchor="text" w:hAnchor="margin" w:xAlign="center" w:y="1"/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\* Arabic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3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1">
    <w:name w:val="Heading 6 Char"/>
    <w:basedOn w:val="700"/>
    <w:link w:val="69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2">
    <w:name w:val="Heading 7 Char"/>
    <w:basedOn w:val="700"/>
    <w:link w:val="69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3">
    <w:name w:val="Heading 8 Char"/>
    <w:basedOn w:val="700"/>
    <w:link w:val="69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4">
    <w:name w:val="Heading 9 Char"/>
    <w:basedOn w:val="700"/>
    <w:link w:val="69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5">
    <w:name w:val="Quote Char"/>
    <w:link w:val="715"/>
    <w:uiPriority w:val="29"/>
    <w:rPr>
      <w:i/>
    </w:rPr>
  </w:style>
  <w:style w:type="character" w:styleId="686">
    <w:name w:val="Intense Quote Char"/>
    <w:link w:val="717"/>
    <w:uiPriority w:val="30"/>
    <w:rPr>
      <w:i/>
    </w:rPr>
  </w:style>
  <w:style w:type="character" w:styleId="687">
    <w:name w:val="Caption Char"/>
    <w:basedOn w:val="700"/>
    <w:link w:val="721"/>
    <w:uiPriority w:val="35"/>
    <w:rPr>
      <w:b/>
      <w:bCs/>
      <w:color w:val="4f81bd" w:themeColor="accent1"/>
      <w:sz w:val="18"/>
      <w:szCs w:val="18"/>
    </w:rPr>
  </w:style>
  <w:style w:type="character" w:styleId="688">
    <w:name w:val="Footnote Text Char"/>
    <w:link w:val="848"/>
    <w:uiPriority w:val="99"/>
    <w:rPr>
      <w:sz w:val="18"/>
    </w:rPr>
  </w:style>
  <w:style w:type="character" w:styleId="689">
    <w:name w:val="Endnote Text Char"/>
    <w:link w:val="851"/>
    <w:uiPriority w:val="99"/>
    <w:rPr>
      <w:sz w:val="20"/>
    </w:rPr>
  </w:style>
  <w:style w:type="paragraph" w:styleId="690" w:default="1">
    <w:name w:val="Normal"/>
    <w:link w:val="891"/>
    <w:qFormat/>
    <w:pPr>
      <w:spacing w:after="0" w:line="240" w:lineRule="auto"/>
    </w:pPr>
    <w:rPr>
      <w:rFonts w:ascii="Times New Roman" w:hAnsi="Times New Roman"/>
      <w:color w:val="auto"/>
      <w:sz w:val="24"/>
      <w:szCs w:val="24"/>
    </w:rPr>
  </w:style>
  <w:style w:type="paragraph" w:styleId="691">
    <w:name w:val="Heading 1"/>
    <w:next w:val="690"/>
    <w:link w:val="875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paragraph" w:styleId="692">
    <w:name w:val="Heading 2"/>
    <w:next w:val="690"/>
    <w:link w:val="902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paragraph" w:styleId="693">
    <w:name w:val="Heading 3"/>
    <w:next w:val="690"/>
    <w:link w:val="865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694">
    <w:name w:val="Heading 4"/>
    <w:next w:val="690"/>
    <w:link w:val="899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695">
    <w:name w:val="Heading 5"/>
    <w:next w:val="690"/>
    <w:link w:val="874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paragraph" w:styleId="696">
    <w:name w:val="Heading 6"/>
    <w:basedOn w:val="690"/>
    <w:next w:val="690"/>
    <w:link w:val="708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97">
    <w:name w:val="Heading 7"/>
    <w:basedOn w:val="690"/>
    <w:next w:val="690"/>
    <w:link w:val="709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98">
    <w:name w:val="Heading 8"/>
    <w:basedOn w:val="690"/>
    <w:next w:val="690"/>
    <w:link w:val="71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99">
    <w:name w:val="Heading 9"/>
    <w:basedOn w:val="690"/>
    <w:next w:val="690"/>
    <w:link w:val="71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0" w:default="1">
    <w:name w:val="Default Paragraph Font"/>
    <w:uiPriority w:val="1"/>
    <w:semiHidden/>
    <w:unhideWhenUsed/>
  </w:style>
  <w:style w:type="table" w:styleId="70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2" w:default="1">
    <w:name w:val="No List"/>
    <w:uiPriority w:val="99"/>
    <w:semiHidden/>
    <w:unhideWhenUsed/>
  </w:style>
  <w:style w:type="character" w:styleId="703" w:customStyle="1">
    <w:name w:val="Heading 1 Char"/>
    <w:basedOn w:val="700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04" w:customStyle="1">
    <w:name w:val="Heading 2 Char"/>
    <w:basedOn w:val="700"/>
    <w:uiPriority w:val="9"/>
    <w:rPr>
      <w:rFonts w:ascii="Liberation Sans" w:hAnsi="Liberation Sans" w:eastAsia="Liberation Sans" w:cs="Liberation Sans"/>
      <w:sz w:val="34"/>
    </w:rPr>
  </w:style>
  <w:style w:type="character" w:styleId="705" w:customStyle="1">
    <w:name w:val="Heading 3 Char"/>
    <w:basedOn w:val="700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06" w:customStyle="1">
    <w:name w:val="Heading 4 Char"/>
    <w:basedOn w:val="70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7" w:customStyle="1">
    <w:name w:val="Heading 5 Char"/>
    <w:basedOn w:val="70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8" w:customStyle="1">
    <w:name w:val="Заголовок 6 Знак"/>
    <w:basedOn w:val="700"/>
    <w:link w:val="69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9" w:customStyle="1">
    <w:name w:val="Заголовок 7 Знак"/>
    <w:basedOn w:val="700"/>
    <w:link w:val="69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10" w:customStyle="1">
    <w:name w:val="Заголовок 8 Знак"/>
    <w:basedOn w:val="700"/>
    <w:link w:val="69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11" w:customStyle="1">
    <w:name w:val="Заголовок 9 Знак"/>
    <w:basedOn w:val="700"/>
    <w:link w:val="69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12">
    <w:name w:val="No Spacing"/>
    <w:uiPriority w:val="1"/>
    <w:qFormat/>
    <w:pPr>
      <w:spacing w:after="0" w:line="240" w:lineRule="auto"/>
    </w:pPr>
  </w:style>
  <w:style w:type="character" w:styleId="713" w:customStyle="1">
    <w:name w:val="Title Char"/>
    <w:basedOn w:val="700"/>
    <w:uiPriority w:val="10"/>
    <w:rPr>
      <w:sz w:val="48"/>
      <w:szCs w:val="48"/>
    </w:rPr>
  </w:style>
  <w:style w:type="character" w:styleId="714" w:customStyle="1">
    <w:name w:val="Subtitle Char"/>
    <w:basedOn w:val="700"/>
    <w:uiPriority w:val="11"/>
    <w:rPr>
      <w:sz w:val="24"/>
      <w:szCs w:val="24"/>
    </w:rPr>
  </w:style>
  <w:style w:type="paragraph" w:styleId="715">
    <w:name w:val="Quote"/>
    <w:basedOn w:val="690"/>
    <w:next w:val="690"/>
    <w:link w:val="716"/>
    <w:uiPriority w:val="29"/>
    <w:qFormat/>
    <w:pPr>
      <w:ind w:left="720" w:right="720"/>
    </w:pPr>
    <w:rPr>
      <w:i/>
    </w:rPr>
  </w:style>
  <w:style w:type="character" w:styleId="716" w:customStyle="1">
    <w:name w:val="Цитата 2 Знак"/>
    <w:link w:val="715"/>
    <w:uiPriority w:val="29"/>
    <w:rPr>
      <w:i/>
    </w:rPr>
  </w:style>
  <w:style w:type="paragraph" w:styleId="717">
    <w:name w:val="Intense Quote"/>
    <w:basedOn w:val="690"/>
    <w:next w:val="690"/>
    <w:link w:val="71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8" w:customStyle="1">
    <w:name w:val="Выделенная цитата Знак"/>
    <w:link w:val="717"/>
    <w:uiPriority w:val="30"/>
    <w:rPr>
      <w:i/>
    </w:rPr>
  </w:style>
  <w:style w:type="character" w:styleId="719" w:customStyle="1">
    <w:name w:val="Header Char"/>
    <w:basedOn w:val="700"/>
    <w:uiPriority w:val="99"/>
  </w:style>
  <w:style w:type="character" w:styleId="720" w:customStyle="1">
    <w:name w:val="Footer Char"/>
    <w:basedOn w:val="700"/>
    <w:uiPriority w:val="99"/>
  </w:style>
  <w:style w:type="paragraph" w:styleId="721">
    <w:name w:val="Caption"/>
    <w:basedOn w:val="690"/>
    <w:next w:val="690"/>
    <w:link w:val="722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22" w:customStyle="1">
    <w:name w:val="Название объекта Знак"/>
    <w:basedOn w:val="700"/>
    <w:link w:val="721"/>
    <w:uiPriority w:val="35"/>
    <w:rPr>
      <w:b/>
      <w:bCs/>
      <w:color w:val="5b9bd5" w:themeColor="accent1"/>
      <w:sz w:val="18"/>
      <w:szCs w:val="18"/>
    </w:rPr>
  </w:style>
  <w:style w:type="table" w:styleId="723" w:customStyle="1">
    <w:name w:val="Table Grid Light"/>
    <w:basedOn w:val="70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4">
    <w:name w:val="Plain Table 1"/>
    <w:basedOn w:val="70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5">
    <w:name w:val="Plain Table 2"/>
    <w:basedOn w:val="70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6">
    <w:name w:val="Plain Table 3"/>
    <w:basedOn w:val="70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>
    <w:name w:val="Plain Table 4"/>
    <w:basedOn w:val="70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Plain Table 5"/>
    <w:basedOn w:val="70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>
    <w:name w:val="Grid Table 1 Light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Grid Table 1 Light - Accent 1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Grid Table 1 Light - Accent 2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3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4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5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6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basedOn w:val="7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2 - Accent 1"/>
    <w:basedOn w:val="7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2 - Accent 2"/>
    <w:basedOn w:val="7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3"/>
    <w:basedOn w:val="7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4"/>
    <w:basedOn w:val="7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5"/>
    <w:basedOn w:val="7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6"/>
    <w:basedOn w:val="7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"/>
    <w:basedOn w:val="7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3 - Accent 1"/>
    <w:basedOn w:val="7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3 - Accent 2"/>
    <w:basedOn w:val="7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3"/>
    <w:basedOn w:val="7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4"/>
    <w:basedOn w:val="7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5"/>
    <w:basedOn w:val="7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6"/>
    <w:basedOn w:val="7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4"/>
    <w:basedOn w:val="70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 w:customStyle="1">
    <w:name w:val="Grid Table 4 - Accent 1"/>
    <w:basedOn w:val="70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2" w:customStyle="1">
    <w:name w:val="Grid Table 4 - Accent 2"/>
    <w:basedOn w:val="70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3" w:customStyle="1">
    <w:name w:val="Grid Table 4 - Accent 3"/>
    <w:basedOn w:val="70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4" w:customStyle="1">
    <w:name w:val="Grid Table 4 - Accent 4"/>
    <w:basedOn w:val="70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55" w:customStyle="1">
    <w:name w:val="Grid Table 4 - Accent 5"/>
    <w:basedOn w:val="70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6" w:customStyle="1">
    <w:name w:val="Grid Table 4 - Accent 6"/>
    <w:basedOn w:val="70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7">
    <w:name w:val="Grid Table 5 Dark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8" w:customStyle="1">
    <w:name w:val="Grid Table 5 Dark- Accent 1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9" w:customStyle="1">
    <w:name w:val="Grid Table 5 Dark - Accent 2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 - Accent 3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- Accent 4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5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6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4">
    <w:name w:val="Grid Table 6 Colorful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5" w:customStyle="1">
    <w:name w:val="Grid Table 6 Colorful - Accent 1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6" w:customStyle="1">
    <w:name w:val="Grid Table 6 Colorful - Accent 2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7" w:customStyle="1">
    <w:name w:val="Grid Table 6 Colorful - Accent 3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8" w:customStyle="1">
    <w:name w:val="Grid Table 6 Colorful - Accent 4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9" w:customStyle="1">
    <w:name w:val="Grid Table 6 Colorful - Accent 5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0" w:customStyle="1">
    <w:name w:val="Grid Table 6 Colorful - Accent 6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1">
    <w:name w:val="Grid Table 7 Colorful"/>
    <w:basedOn w:val="7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2" w:customStyle="1">
    <w:name w:val="Grid Table 7 Colorful - Accent 1"/>
    <w:basedOn w:val="7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3" w:customStyle="1">
    <w:name w:val="Grid Table 7 Colorful - Accent 2"/>
    <w:basedOn w:val="7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4" w:customStyle="1">
    <w:name w:val="Grid Table 7 Colorful - Accent 3"/>
    <w:basedOn w:val="7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5" w:customStyle="1">
    <w:name w:val="Grid Table 7 Colorful - Accent 4"/>
    <w:basedOn w:val="7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6" w:customStyle="1">
    <w:name w:val="Grid Table 7 Colorful - Accent 5"/>
    <w:basedOn w:val="7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rFonts w:ascii="Liberation Sans" w:hAnsi="Liberation Sans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7" w:customStyle="1">
    <w:name w:val="Grid Table 7 Colorful - Accent 6"/>
    <w:basedOn w:val="70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  <w:tblStylePr w:type="firstCol">
      <w:rPr>
        <w:rFonts w:ascii="Liberation Sans" w:hAnsi="Liberation Sans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8">
    <w:name w:val="List Table 1 Light"/>
    <w:basedOn w:val="70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List Table 1 Light - Accent 1"/>
    <w:basedOn w:val="70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1 Light - Accent 2"/>
    <w:basedOn w:val="70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3"/>
    <w:basedOn w:val="70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4"/>
    <w:basedOn w:val="70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5"/>
    <w:basedOn w:val="70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6"/>
    <w:basedOn w:val="70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6" w:customStyle="1">
    <w:name w:val="List Table 2 - Accent 1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7" w:customStyle="1">
    <w:name w:val="List Table 2 - Accent 2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3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4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5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6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2">
    <w:name w:val="List Table 3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3 - Accent 1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3 - Accent 2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3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4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5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6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4 - Accent 1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 - Accent 2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3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4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5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6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5 Dark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7" w:customStyle="1">
    <w:name w:val="List Table 5 Dark - Accent 1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8" w:customStyle="1">
    <w:name w:val="List Table 5 Dark - Accent 2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9" w:customStyle="1">
    <w:name w:val="List Table 5 Dark - Accent 3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0" w:customStyle="1">
    <w:name w:val="List Table 5 Dark - Accent 4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1" w:customStyle="1">
    <w:name w:val="List Table 5 Dark - Accent 5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2" w:customStyle="1">
    <w:name w:val="List Table 5 Dark - Accent 6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3">
    <w:name w:val="List Table 6 Colorful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4" w:customStyle="1">
    <w:name w:val="List Table 6 Colorful - Accent 1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15" w:customStyle="1">
    <w:name w:val="List Table 6 Colorful - Accent 2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6" w:customStyle="1">
    <w:name w:val="List Table 6 Colorful - Accent 3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7" w:customStyle="1">
    <w:name w:val="List Table 6 Colorful - Accent 4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8" w:customStyle="1">
    <w:name w:val="List Table 6 Colorful - Accent 5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9" w:customStyle="1">
    <w:name w:val="List Table 6 Colorful - Accent 6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0">
    <w:name w:val="List Table 7 Colorful"/>
    <w:basedOn w:val="70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1" w:customStyle="1">
    <w:name w:val="List Table 7 Colorful - Accent 1"/>
    <w:basedOn w:val="70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rFonts w:ascii="Liberation Sans" w:hAnsi="Liberation Sans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2" w:customStyle="1">
    <w:name w:val="List Table 7 Colorful - Accent 2"/>
    <w:basedOn w:val="70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3" w:customStyle="1">
    <w:name w:val="List Table 7 Colorful - Accent 3"/>
    <w:basedOn w:val="70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4" w:customStyle="1">
    <w:name w:val="List Table 7 Colorful - Accent 4"/>
    <w:basedOn w:val="70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5" w:customStyle="1">
    <w:name w:val="List Table 7 Colorful - Accent 5"/>
    <w:basedOn w:val="70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6" w:customStyle="1">
    <w:name w:val="List Table 7 Colorful - Accent 6"/>
    <w:basedOn w:val="70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7" w:customStyle="1">
    <w:name w:val="Lined - Accent"/>
    <w:basedOn w:val="70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8" w:customStyle="1">
    <w:name w:val="Lined - Accent 1"/>
    <w:basedOn w:val="70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9" w:customStyle="1">
    <w:name w:val="Lined - Accent 2"/>
    <w:basedOn w:val="70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0" w:customStyle="1">
    <w:name w:val="Lined - Accent 3"/>
    <w:basedOn w:val="70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1" w:customStyle="1">
    <w:name w:val="Lined - Accent 4"/>
    <w:basedOn w:val="70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2" w:customStyle="1">
    <w:name w:val="Lined - Accent 5"/>
    <w:basedOn w:val="70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3" w:customStyle="1">
    <w:name w:val="Lined - Accent 6"/>
    <w:basedOn w:val="70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4" w:customStyle="1">
    <w:name w:val="Bordered &amp; Lined - Accent"/>
    <w:basedOn w:val="70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5" w:customStyle="1">
    <w:name w:val="Bordered &amp; Lined - Accent 1"/>
    <w:basedOn w:val="70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6" w:customStyle="1">
    <w:name w:val="Bordered &amp; Lined - Accent 2"/>
    <w:basedOn w:val="70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7" w:customStyle="1">
    <w:name w:val="Bordered &amp; Lined - Accent 3"/>
    <w:basedOn w:val="70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8" w:customStyle="1">
    <w:name w:val="Bordered &amp; Lined - Accent 4"/>
    <w:basedOn w:val="70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9" w:customStyle="1">
    <w:name w:val="Bordered &amp; Lined - Accent 5"/>
    <w:basedOn w:val="70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0" w:customStyle="1">
    <w:name w:val="Bordered &amp; Lined - Accent 6"/>
    <w:basedOn w:val="70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1" w:customStyle="1">
    <w:name w:val="Bordered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2" w:customStyle="1">
    <w:name w:val="Bordered - Accent 1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3" w:customStyle="1">
    <w:name w:val="Bordered - Accent 2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4" w:customStyle="1">
    <w:name w:val="Bordered - Accent 3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45" w:customStyle="1">
    <w:name w:val="Bordered - Accent 4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6" w:customStyle="1">
    <w:name w:val="Bordered - Accent 5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7" w:customStyle="1">
    <w:name w:val="Bordered - Accent 6"/>
    <w:basedOn w:val="70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48">
    <w:name w:val="footnote text"/>
    <w:basedOn w:val="690"/>
    <w:link w:val="849"/>
    <w:uiPriority w:val="99"/>
    <w:semiHidden/>
    <w:unhideWhenUsed/>
    <w:pPr>
      <w:spacing w:after="40"/>
    </w:pPr>
    <w:rPr>
      <w:sz w:val="18"/>
    </w:rPr>
  </w:style>
  <w:style w:type="character" w:styleId="849" w:customStyle="1">
    <w:name w:val="Текст сноски Знак"/>
    <w:link w:val="848"/>
    <w:uiPriority w:val="99"/>
    <w:rPr>
      <w:sz w:val="18"/>
    </w:rPr>
  </w:style>
  <w:style w:type="character" w:styleId="850">
    <w:name w:val="footnote reference"/>
    <w:basedOn w:val="700"/>
    <w:uiPriority w:val="99"/>
    <w:unhideWhenUsed/>
    <w:rPr>
      <w:vertAlign w:val="superscript"/>
    </w:rPr>
  </w:style>
  <w:style w:type="paragraph" w:styleId="851">
    <w:name w:val="endnote text"/>
    <w:basedOn w:val="690"/>
    <w:link w:val="852"/>
    <w:uiPriority w:val="99"/>
    <w:semiHidden/>
    <w:unhideWhenUsed/>
    <w:rPr>
      <w:sz w:val="20"/>
    </w:rPr>
  </w:style>
  <w:style w:type="character" w:styleId="852" w:customStyle="1">
    <w:name w:val="Текст концевой сноски Знак"/>
    <w:link w:val="851"/>
    <w:uiPriority w:val="99"/>
    <w:rPr>
      <w:sz w:val="20"/>
    </w:rPr>
  </w:style>
  <w:style w:type="character" w:styleId="853">
    <w:name w:val="endnote reference"/>
    <w:basedOn w:val="700"/>
    <w:uiPriority w:val="99"/>
    <w:semiHidden/>
    <w:unhideWhenUsed/>
    <w:rPr>
      <w:vertAlign w:val="superscript"/>
    </w:rPr>
  </w:style>
  <w:style w:type="paragraph" w:styleId="854">
    <w:name w:val="TOC Heading"/>
    <w:uiPriority w:val="39"/>
    <w:unhideWhenUsed/>
  </w:style>
  <w:style w:type="paragraph" w:styleId="855">
    <w:name w:val="table of figures"/>
    <w:basedOn w:val="690"/>
    <w:next w:val="690"/>
    <w:uiPriority w:val="99"/>
    <w:unhideWhenUsed/>
  </w:style>
  <w:style w:type="character" w:styleId="856" w:customStyle="1">
    <w:name w:val="Обычный1"/>
  </w:style>
  <w:style w:type="paragraph" w:styleId="857">
    <w:name w:val="toc 2"/>
    <w:next w:val="690"/>
    <w:link w:val="858"/>
    <w:uiPriority w:val="39"/>
    <w:pPr>
      <w:ind w:left="200"/>
    </w:pPr>
    <w:rPr>
      <w:rFonts w:ascii="XO Thames" w:hAnsi="XO Thames"/>
      <w:sz w:val="28"/>
    </w:rPr>
  </w:style>
  <w:style w:type="character" w:styleId="858" w:customStyle="1">
    <w:name w:val="Оглавление 2 Знак"/>
    <w:link w:val="857"/>
    <w:rPr>
      <w:rFonts w:ascii="XO Thames" w:hAnsi="XO Thames"/>
      <w:sz w:val="28"/>
    </w:rPr>
  </w:style>
  <w:style w:type="paragraph" w:styleId="859">
    <w:name w:val="toc 4"/>
    <w:next w:val="690"/>
    <w:link w:val="860"/>
    <w:uiPriority w:val="39"/>
    <w:pPr>
      <w:ind w:left="600"/>
    </w:pPr>
    <w:rPr>
      <w:rFonts w:ascii="XO Thames" w:hAnsi="XO Thames"/>
      <w:sz w:val="28"/>
    </w:rPr>
  </w:style>
  <w:style w:type="character" w:styleId="860" w:customStyle="1">
    <w:name w:val="Оглавление 4 Знак"/>
    <w:link w:val="859"/>
    <w:rPr>
      <w:rFonts w:ascii="XO Thames" w:hAnsi="XO Thames"/>
      <w:sz w:val="28"/>
    </w:rPr>
  </w:style>
  <w:style w:type="paragraph" w:styleId="861">
    <w:name w:val="toc 6"/>
    <w:next w:val="690"/>
    <w:link w:val="862"/>
    <w:uiPriority w:val="39"/>
    <w:pPr>
      <w:ind w:left="1000"/>
    </w:pPr>
    <w:rPr>
      <w:rFonts w:ascii="XO Thames" w:hAnsi="XO Thames"/>
      <w:sz w:val="28"/>
    </w:rPr>
  </w:style>
  <w:style w:type="character" w:styleId="862" w:customStyle="1">
    <w:name w:val="Оглавление 6 Знак"/>
    <w:link w:val="861"/>
    <w:rPr>
      <w:rFonts w:ascii="XO Thames" w:hAnsi="XO Thames"/>
      <w:sz w:val="28"/>
    </w:rPr>
  </w:style>
  <w:style w:type="paragraph" w:styleId="863">
    <w:name w:val="toc 7"/>
    <w:next w:val="690"/>
    <w:link w:val="864"/>
    <w:uiPriority w:val="39"/>
    <w:pPr>
      <w:ind w:left="1200"/>
    </w:pPr>
    <w:rPr>
      <w:rFonts w:ascii="XO Thames" w:hAnsi="XO Thames"/>
      <w:sz w:val="28"/>
    </w:rPr>
  </w:style>
  <w:style w:type="character" w:styleId="864" w:customStyle="1">
    <w:name w:val="Оглавление 7 Знак"/>
    <w:link w:val="863"/>
    <w:rPr>
      <w:rFonts w:ascii="XO Thames" w:hAnsi="XO Thames"/>
      <w:sz w:val="28"/>
    </w:rPr>
  </w:style>
  <w:style w:type="character" w:styleId="865" w:customStyle="1">
    <w:name w:val="Заголовок 3 Знак"/>
    <w:link w:val="693"/>
    <w:rPr>
      <w:rFonts w:ascii="XO Thames" w:hAnsi="XO Thames"/>
      <w:b/>
      <w:sz w:val="26"/>
    </w:rPr>
  </w:style>
  <w:style w:type="paragraph" w:styleId="866">
    <w:name w:val="Plain Text"/>
    <w:basedOn w:val="690"/>
    <w:link w:val="867"/>
    <w:rPr>
      <w:rFonts w:ascii="Calibri" w:hAnsi="Calibri"/>
    </w:rPr>
  </w:style>
  <w:style w:type="character" w:styleId="867" w:customStyle="1">
    <w:name w:val="Текст Знак"/>
    <w:basedOn w:val="856"/>
    <w:link w:val="866"/>
    <w:rPr>
      <w:rFonts w:ascii="Calibri" w:hAnsi="Calibri"/>
    </w:rPr>
  </w:style>
  <w:style w:type="paragraph" w:styleId="868" w:customStyle="1">
    <w:name w:val="Гиперссылка1"/>
    <w:basedOn w:val="892"/>
    <w:link w:val="869"/>
    <w:rPr>
      <w:color w:val="0563c1" w:themeColor="hyperlink"/>
      <w:u w:val="single"/>
    </w:rPr>
  </w:style>
  <w:style w:type="character" w:styleId="869" w:customStyle="1">
    <w:name w:val="Гиперссылка1"/>
    <w:basedOn w:val="893"/>
    <w:link w:val="868"/>
    <w:rPr>
      <w:color w:val="0563c1" w:themeColor="hyperlink"/>
      <w:u w:val="single"/>
    </w:rPr>
  </w:style>
  <w:style w:type="paragraph" w:styleId="870">
    <w:name w:val="Header"/>
    <w:basedOn w:val="690"/>
    <w:link w:val="871"/>
    <w:pPr>
      <w:tabs>
        <w:tab w:val="center" w:pos="4677" w:leader="none"/>
        <w:tab w:val="right" w:pos="9355" w:leader="none"/>
      </w:tabs>
    </w:pPr>
  </w:style>
  <w:style w:type="character" w:styleId="871" w:customStyle="1">
    <w:name w:val="Верхний колонтитул Знак"/>
    <w:basedOn w:val="856"/>
    <w:link w:val="870"/>
  </w:style>
  <w:style w:type="paragraph" w:styleId="872">
    <w:name w:val="toc 3"/>
    <w:next w:val="690"/>
    <w:link w:val="873"/>
    <w:uiPriority w:val="39"/>
    <w:pPr>
      <w:ind w:left="400"/>
    </w:pPr>
    <w:rPr>
      <w:rFonts w:ascii="XO Thames" w:hAnsi="XO Thames"/>
      <w:sz w:val="28"/>
    </w:rPr>
  </w:style>
  <w:style w:type="character" w:styleId="873" w:customStyle="1">
    <w:name w:val="Оглавление 3 Знак"/>
    <w:link w:val="872"/>
    <w:rPr>
      <w:rFonts w:ascii="XO Thames" w:hAnsi="XO Thames"/>
      <w:sz w:val="28"/>
    </w:rPr>
  </w:style>
  <w:style w:type="character" w:styleId="874" w:customStyle="1">
    <w:name w:val="Заголовок 5 Знак"/>
    <w:link w:val="695"/>
    <w:rPr>
      <w:rFonts w:ascii="XO Thames" w:hAnsi="XO Thames"/>
      <w:b/>
    </w:rPr>
  </w:style>
  <w:style w:type="character" w:styleId="875" w:customStyle="1">
    <w:name w:val="Заголовок 1 Знак"/>
    <w:link w:val="691"/>
    <w:rPr>
      <w:rFonts w:ascii="XO Thames" w:hAnsi="XO Thames"/>
      <w:b/>
      <w:sz w:val="32"/>
    </w:rPr>
  </w:style>
  <w:style w:type="paragraph" w:styleId="876" w:customStyle="1">
    <w:name w:val="Гиперссылка2"/>
    <w:link w:val="877"/>
    <w:rPr>
      <w:color w:val="0000ff"/>
      <w:u w:val="single"/>
    </w:rPr>
  </w:style>
  <w:style w:type="character" w:styleId="877">
    <w:name w:val="Hyperlink"/>
    <w:link w:val="876"/>
    <w:rPr>
      <w:color w:val="0000ff"/>
      <w:u w:val="single"/>
    </w:rPr>
  </w:style>
  <w:style w:type="paragraph" w:styleId="878" w:customStyle="1">
    <w:name w:val="Footnote"/>
    <w:link w:val="879"/>
    <w:pPr>
      <w:ind w:firstLine="851"/>
      <w:jc w:val="both"/>
    </w:pPr>
    <w:rPr>
      <w:rFonts w:ascii="XO Thames" w:hAnsi="XO Thames"/>
    </w:rPr>
  </w:style>
  <w:style w:type="character" w:styleId="879" w:customStyle="1">
    <w:name w:val="Footnote"/>
    <w:link w:val="878"/>
    <w:rPr>
      <w:rFonts w:ascii="XO Thames" w:hAnsi="XO Thames"/>
    </w:rPr>
  </w:style>
  <w:style w:type="paragraph" w:styleId="880">
    <w:name w:val="toc 1"/>
    <w:next w:val="690"/>
    <w:link w:val="881"/>
    <w:uiPriority w:val="39"/>
    <w:rPr>
      <w:rFonts w:ascii="XO Thames" w:hAnsi="XO Thames"/>
      <w:b/>
      <w:sz w:val="28"/>
    </w:rPr>
  </w:style>
  <w:style w:type="character" w:styleId="881" w:customStyle="1">
    <w:name w:val="Оглавление 1 Знак"/>
    <w:link w:val="880"/>
    <w:rPr>
      <w:rFonts w:ascii="XO Thames" w:hAnsi="XO Thames"/>
      <w:b/>
      <w:sz w:val="28"/>
    </w:rPr>
  </w:style>
  <w:style w:type="paragraph" w:styleId="882" w:customStyle="1">
    <w:name w:val="Header and Footer"/>
    <w:link w:val="883"/>
    <w:pPr>
      <w:jc w:val="both"/>
      <w:spacing w:line="240" w:lineRule="auto"/>
    </w:pPr>
    <w:rPr>
      <w:rFonts w:ascii="XO Thames" w:hAnsi="XO Thames"/>
      <w:sz w:val="20"/>
    </w:rPr>
  </w:style>
  <w:style w:type="character" w:styleId="883" w:customStyle="1">
    <w:name w:val="Header and Footer"/>
    <w:link w:val="882"/>
    <w:rPr>
      <w:rFonts w:ascii="XO Thames" w:hAnsi="XO Thames"/>
      <w:sz w:val="20"/>
    </w:rPr>
  </w:style>
  <w:style w:type="paragraph" w:styleId="884">
    <w:name w:val="toc 9"/>
    <w:next w:val="690"/>
    <w:link w:val="885"/>
    <w:uiPriority w:val="39"/>
    <w:pPr>
      <w:ind w:left="1600"/>
    </w:pPr>
    <w:rPr>
      <w:rFonts w:ascii="XO Thames" w:hAnsi="XO Thames"/>
      <w:sz w:val="28"/>
    </w:rPr>
  </w:style>
  <w:style w:type="character" w:styleId="885" w:customStyle="1">
    <w:name w:val="Оглавление 9 Знак"/>
    <w:link w:val="884"/>
    <w:rPr>
      <w:rFonts w:ascii="XO Thames" w:hAnsi="XO Thames"/>
      <w:sz w:val="28"/>
    </w:rPr>
  </w:style>
  <w:style w:type="paragraph" w:styleId="886">
    <w:name w:val="toc 8"/>
    <w:next w:val="690"/>
    <w:link w:val="887"/>
    <w:uiPriority w:val="39"/>
    <w:pPr>
      <w:ind w:left="1400"/>
    </w:pPr>
    <w:rPr>
      <w:rFonts w:ascii="XO Thames" w:hAnsi="XO Thames"/>
      <w:sz w:val="28"/>
    </w:rPr>
  </w:style>
  <w:style w:type="character" w:styleId="887" w:customStyle="1">
    <w:name w:val="Оглавление 8 Знак"/>
    <w:link w:val="886"/>
    <w:rPr>
      <w:rFonts w:ascii="XO Thames" w:hAnsi="XO Thames"/>
      <w:sz w:val="28"/>
    </w:rPr>
  </w:style>
  <w:style w:type="paragraph" w:styleId="888">
    <w:name w:val="toc 5"/>
    <w:next w:val="690"/>
    <w:link w:val="889"/>
    <w:uiPriority w:val="39"/>
    <w:pPr>
      <w:ind w:left="800"/>
    </w:pPr>
    <w:rPr>
      <w:rFonts w:ascii="XO Thames" w:hAnsi="XO Thames"/>
      <w:sz w:val="28"/>
    </w:rPr>
  </w:style>
  <w:style w:type="character" w:styleId="889" w:customStyle="1">
    <w:name w:val="Оглавление 5 Знак"/>
    <w:link w:val="888"/>
    <w:rPr>
      <w:rFonts w:ascii="XO Thames" w:hAnsi="XO Thames"/>
      <w:sz w:val="28"/>
    </w:rPr>
  </w:style>
  <w:style w:type="paragraph" w:styleId="890" w:customStyle="1">
    <w:name w:val="Обычный1"/>
    <w:link w:val="891"/>
  </w:style>
  <w:style w:type="character" w:styleId="891" w:customStyle="1">
    <w:name w:val="Обычный1"/>
    <w:link w:val="890"/>
  </w:style>
  <w:style w:type="paragraph" w:styleId="892" w:customStyle="1">
    <w:name w:val="Основной шрифт абзаца1"/>
    <w:link w:val="893"/>
  </w:style>
  <w:style w:type="character" w:styleId="893" w:customStyle="1">
    <w:name w:val="Основной шрифт абзаца1"/>
    <w:link w:val="892"/>
  </w:style>
  <w:style w:type="paragraph" w:styleId="894">
    <w:name w:val="Subtitle"/>
    <w:next w:val="690"/>
    <w:link w:val="895"/>
    <w:uiPriority w:val="11"/>
    <w:qFormat/>
    <w:pPr>
      <w:jc w:val="both"/>
    </w:pPr>
    <w:rPr>
      <w:rFonts w:ascii="XO Thames" w:hAnsi="XO Thames"/>
      <w:i/>
      <w:sz w:val="24"/>
    </w:rPr>
  </w:style>
  <w:style w:type="character" w:styleId="895" w:customStyle="1">
    <w:name w:val="Подзаголовок Знак"/>
    <w:link w:val="894"/>
    <w:rPr>
      <w:rFonts w:ascii="XO Thames" w:hAnsi="XO Thames"/>
      <w:i/>
      <w:sz w:val="24"/>
    </w:rPr>
  </w:style>
  <w:style w:type="paragraph" w:styleId="896" w:customStyle="1">
    <w:name w:val="Основной шрифт абзаца2"/>
  </w:style>
  <w:style w:type="paragraph" w:styleId="897">
    <w:name w:val="Title"/>
    <w:next w:val="690"/>
    <w:link w:val="898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898" w:customStyle="1">
    <w:name w:val="Заголовок Знак"/>
    <w:link w:val="897"/>
    <w:rPr>
      <w:rFonts w:ascii="XO Thames" w:hAnsi="XO Thames"/>
      <w:b/>
      <w:caps/>
      <w:sz w:val="40"/>
    </w:rPr>
  </w:style>
  <w:style w:type="character" w:styleId="899" w:customStyle="1">
    <w:name w:val="Заголовок 4 Знак"/>
    <w:link w:val="694"/>
    <w:rPr>
      <w:rFonts w:ascii="XO Thames" w:hAnsi="XO Thames"/>
      <w:b/>
      <w:sz w:val="24"/>
    </w:rPr>
  </w:style>
  <w:style w:type="paragraph" w:styleId="900">
    <w:name w:val="Footer"/>
    <w:basedOn w:val="690"/>
    <w:link w:val="901"/>
    <w:pPr>
      <w:tabs>
        <w:tab w:val="center" w:pos="4677" w:leader="none"/>
        <w:tab w:val="right" w:pos="9355" w:leader="none"/>
      </w:tabs>
    </w:pPr>
    <w:rPr>
      <w:sz w:val="28"/>
    </w:rPr>
  </w:style>
  <w:style w:type="character" w:styleId="901" w:customStyle="1">
    <w:name w:val="Нижний колонтитул Знак"/>
    <w:basedOn w:val="856"/>
    <w:link w:val="900"/>
    <w:rPr>
      <w:rFonts w:ascii="Times New Roman" w:hAnsi="Times New Roman"/>
      <w:sz w:val="28"/>
    </w:rPr>
  </w:style>
  <w:style w:type="character" w:styleId="902" w:customStyle="1">
    <w:name w:val="Заголовок 2 Знак"/>
    <w:link w:val="692"/>
    <w:rPr>
      <w:rFonts w:ascii="XO Thames" w:hAnsi="XO Thames"/>
      <w:b/>
      <w:sz w:val="28"/>
    </w:rPr>
  </w:style>
  <w:style w:type="paragraph" w:styleId="903">
    <w:name w:val="Balloon Text"/>
    <w:basedOn w:val="690"/>
    <w:link w:val="904"/>
    <w:rPr>
      <w:rFonts w:ascii="Segoe UI" w:hAnsi="Segoe UI"/>
      <w:sz w:val="18"/>
    </w:rPr>
  </w:style>
  <w:style w:type="character" w:styleId="904" w:customStyle="1">
    <w:name w:val="Текст выноски Знак"/>
    <w:basedOn w:val="856"/>
    <w:link w:val="903"/>
    <w:rPr>
      <w:rFonts w:ascii="Segoe UI" w:hAnsi="Segoe UI"/>
      <w:sz w:val="18"/>
    </w:rPr>
  </w:style>
  <w:style w:type="table" w:styleId="905" w:customStyle="1">
    <w:name w:val="Сетка таблицы1"/>
    <w:basedOn w:val="701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06" w:customStyle="1">
    <w:name w:val="Сетка таблицы2"/>
    <w:basedOn w:val="701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07">
    <w:name w:val="Table Grid"/>
    <w:basedOn w:val="701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08" w:customStyle="1">
    <w:name w:val="ConsPlusNormal"/>
    <w:pPr>
      <w:spacing w:after="0" w:line="240" w:lineRule="auto"/>
      <w:widowControl w:val="off"/>
    </w:pPr>
    <w:rPr>
      <w:rFonts w:ascii="Calibri" w:hAnsi="Calibri" w:cs="Calibri" w:eastAsiaTheme="minorEastAsia"/>
      <w:color w:val="auto"/>
      <w:szCs w:val="22"/>
    </w:rPr>
  </w:style>
  <w:style w:type="paragraph" w:styleId="909">
    <w:name w:val="List Paragraph"/>
    <w:basedOn w:val="690"/>
    <w:uiPriority w:val="34"/>
    <w:qFormat/>
    <w:pPr>
      <w:contextualSpacing/>
      <w:ind w:left="720"/>
    </w:pPr>
  </w:style>
  <w:style w:type="paragraph" w:styleId="910" w:customStyle="1">
    <w:name w:val="ConsPlusTitle"/>
    <w:pPr>
      <w:spacing w:after="0" w:line="240" w:lineRule="auto"/>
      <w:widowControl w:val="off"/>
    </w:pPr>
    <w:rPr>
      <w:rFonts w:ascii="Calibri" w:hAnsi="Calibri" w:cs="Calibri" w:eastAsiaTheme="minorEastAsia"/>
      <w:b/>
      <w:color w:val="auto"/>
      <w:szCs w:val="22"/>
    </w:rPr>
  </w:style>
  <w:style w:type="paragraph" w:styleId="911">
    <w:name w:val="Normal (Web)"/>
    <w:basedOn w:val="690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jpg"/><Relationship Id="rId11" Type="http://schemas.openxmlformats.org/officeDocument/2006/relationships/hyperlink" Target="https://login.consultant.ru/link/?req=doc&amp;base=RLAW296&amp;n=203736&amp;dst=143553" TargetMode="External"/><Relationship Id="rId12" Type="http://schemas.openxmlformats.org/officeDocument/2006/relationships/hyperlink" Target="https://login.consultant.ru/link/?req=doc&amp;base=LAW&amp;n=493282&amp;dst=1000000001" TargetMode="External"/><Relationship Id="rId13" Type="http://schemas.openxmlformats.org/officeDocument/2006/relationships/hyperlink" Target="https://login.consultant.ru/link/?req=doc&amp;base=RLAW296&amp;n=214600&amp;dst=100031" TargetMode="External"/><Relationship Id="rId14" Type="http://schemas.openxmlformats.org/officeDocument/2006/relationships/hyperlink" Target="https://login.consultant.ru/link/?req=doc&amp;base=RLAW296&amp;n=214600&amp;dst=100041" TargetMode="External"/><Relationship Id="rId15" Type="http://schemas.openxmlformats.org/officeDocument/2006/relationships/hyperlink" Target="https://login.consultant.ru/link/?req=doc&amp;base=RLAW296&amp;n=214600&amp;dst=100031" TargetMode="External"/><Relationship Id="rId16" Type="http://schemas.openxmlformats.org/officeDocument/2006/relationships/hyperlink" Target="https://login.consultant.ru/link/?req=doc&amp;base=RLAW296&amp;n=214600&amp;dst=100041" TargetMode="External"/><Relationship Id="rId17" Type="http://schemas.openxmlformats.org/officeDocument/2006/relationships/hyperlink" Target="https://login.consultant.ru/link/?req=doc&amp;base=RLAW296&amp;n=214600&amp;dst=100031" TargetMode="External"/><Relationship Id="rId18" Type="http://schemas.openxmlformats.org/officeDocument/2006/relationships/hyperlink" Target="https://login.consultant.ru/link/?req=doc&amp;base=LAW&amp;n=466790&amp;dst=3704" TargetMode="External"/><Relationship Id="rId19" Type="http://schemas.openxmlformats.org/officeDocument/2006/relationships/hyperlink" Target="https://login.consultant.ru/link/?req=doc&amp;base=LAW&amp;n=466790&amp;dst=3722" TargetMode="External"/><Relationship Id="rId20" Type="http://schemas.openxmlformats.org/officeDocument/2006/relationships/hyperlink" Target="https://login.consultant.ru/link/?req=doc&amp;base=LAW&amp;n=466790&amp;dst=3704" TargetMode="External"/><Relationship Id="rId21" Type="http://schemas.openxmlformats.org/officeDocument/2006/relationships/hyperlink" Target="https://login.consultant.ru/link/?req=doc&amp;base=LAW&amp;n=466790&amp;dst=3722" TargetMode="External"/><Relationship Id="rId22" Type="http://schemas.openxmlformats.org/officeDocument/2006/relationships/hyperlink" Target="https://login.consultant.ru/link/?req=doc&amp;base=LAW&amp;n=489036&amp;dst=100155" TargetMode="External"/><Relationship Id="rId23" Type="http://schemas.openxmlformats.org/officeDocument/2006/relationships/hyperlink" Target="https://login.consultant.ru/link/?req=doc&amp;base=LAW&amp;n=489036&amp;dst=100190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Усманова Екатерина Александровна</dc:creator>
  <cp:lastModifiedBy>usmanovaea</cp:lastModifiedBy>
  <cp:revision>7</cp:revision>
  <dcterms:created xsi:type="dcterms:W3CDTF">2026-05-27T05:02:00Z</dcterms:created>
  <dcterms:modified xsi:type="dcterms:W3CDTF">2026-09-25T06:13:57Z</dcterms:modified>
</cp:coreProperties>
</file>