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/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  <w:lang w:val="ru-RU"/>
        </w:rPr>
        <w:t xml:space="preserve">О внесении </w:t>
      </w:r>
      <w:r>
        <w:rPr>
          <w:rFonts w:ascii="Times New Roman" w:hAnsi="Times New Roman"/>
          <w:b/>
          <w:sz w:val="28"/>
          <w:lang w:val="ru-RU"/>
        </w:rPr>
        <w:t xml:space="preserve">изменений в приложение к постановлению Правительства Камчатского края от 01.08.2024 № 373-П «Об утверждении Примерного положения о системе оплаты труда работников государственных учреждений, подведомственных Министерству по делам молодежи Камчатского края»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highlight w:val="none"/>
        </w:rPr>
        <w:t xml:space="preserve">В соответствии с п</w:t>
      </w:r>
      <w:r>
        <w:rPr>
          <w:rFonts w:ascii="Times New Roman" w:hAnsi="Times New Roman"/>
          <w:sz w:val="28"/>
          <w:highlight w:val="none"/>
        </w:rPr>
        <w:t xml:space="preserve">о</w:t>
      </w:r>
      <w:r>
        <w:rPr>
          <w:rFonts w:ascii="Times New Roman" w:hAnsi="Times New Roman"/>
          <w:sz w:val="28"/>
          <w:highlight w:val="none"/>
        </w:rPr>
        <w:t xml:space="preserve">становлением Правительства Камчатского края от 21.08.2026 № 414-П «О внесении изменений в постановление Правительства Камчатского края от 21.07.2008 № 221-П «О подготовке к введению отраслевых систем оплаты труда работников государственных учреждений Камча</w:t>
      </w:r>
      <w:r>
        <w:rPr>
          <w:rFonts w:ascii="Times New Roman" w:hAnsi="Times New Roman"/>
          <w:sz w:val="28"/>
          <w:highlight w:val="none"/>
        </w:rPr>
        <w:t xml:space="preserve">тского края</w:t>
      </w:r>
      <w:r>
        <w:rPr>
          <w:rFonts w:ascii="Times New Roman" w:hAnsi="Times New Roman"/>
          <w:sz w:val="28"/>
          <w:highlight w:val="none"/>
        </w:rPr>
        <w:t xml:space="preserve">»</w:t>
      </w:r>
      <w:r/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ПРАВИТЕЛЬСТВО ПОСТАНОВЛЯЕТ:</w:t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  <w:t xml:space="preserve">1. В</w:t>
      </w:r>
      <w:r>
        <w:rPr>
          <w:rFonts w:ascii="Times New Roman" w:hAnsi="Times New Roman"/>
          <w:sz w:val="28"/>
        </w:rPr>
        <w:t xml:space="preserve">нести в приложение </w:t>
      </w:r>
      <w:r>
        <w:rPr>
          <w:rFonts w:ascii="Times New Roman" w:hAnsi="Times New Roman"/>
          <w:sz w:val="28"/>
        </w:rPr>
        <w:t xml:space="preserve">к постановлению Правительства Камчатского края от 01.08.2024 № 373-П «Об утверждении Примерного положения о системе оплаты труда работников краевых государственных учреждений, подведомственных Министерству по делам молодежи Камчатского края»</w:t>
      </w:r>
      <w:r>
        <w:rPr>
          <w:rFonts w:ascii="Times New Roman" w:hAnsi="Times New Roman"/>
          <w:sz w:val="28"/>
        </w:rPr>
        <w:t xml:space="preserve"> следующие изменения</w:t>
      </w:r>
      <w:r>
        <w:rPr>
          <w:rFonts w:ascii="Times New Roman" w:hAnsi="Times New Roman"/>
          <w:sz w:val="28"/>
        </w:rPr>
        <w:t xml:space="preserve">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  <w:highlight w:val="none"/>
        </w:rPr>
        <w:t xml:space="preserve">1) часть 17 дополнить пунктом 5 следующего содержания: </w:t>
      </w:r>
      <w:r/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  <w:highlight w:val="none"/>
        </w:rPr>
        <w:t xml:space="preserve">«5) повышающий коэффициент к окладу за наставничество.»; </w:t>
      </w:r>
      <w:r/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  <w:highlight w:val="none"/>
        </w:rPr>
        <w:t xml:space="preserve">2) дополнить частью 31.1 следующего содержания: </w:t>
      </w:r>
      <w:r/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  <w:highlight w:val="none"/>
        </w:rPr>
        <w:t xml:space="preserve">«3</w:t>
      </w:r>
      <w:r>
        <w:rPr>
          <w:rFonts w:ascii="Times New Roman" w:hAnsi="Times New Roman"/>
          <w:sz w:val="28"/>
          <w:szCs w:val="28"/>
          <w:highlight w:val="none"/>
        </w:rPr>
        <w:t xml:space="preserve">1.1. Выплаты стимулирующего характера за наставничество в сфере труда устанавливаются при условии письменного согласия работника на осуществление наставничества и оформления поручения об осуществлении наставничества в трудовом договоре (дополнительном согл</w:t>
      </w:r>
      <w:r>
        <w:rPr>
          <w:rFonts w:ascii="Times New Roman" w:hAnsi="Times New Roman"/>
          <w:sz w:val="28"/>
          <w:szCs w:val="28"/>
          <w:highlight w:val="none"/>
        </w:rPr>
        <w:t xml:space="preserve">ашении к трудовому договору) с указанием содержания, сроков, формы и объема выполнения работы по наставничеству.</w:t>
      </w:r>
      <w:r/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  <w:highlight w:val="none"/>
        </w:rPr>
        <w:t xml:space="preserve">Выплаты за наставничество в сфере труда устанавливается в размере не более 20 процентов основного оклада (основного должностного оклада) за осуществление наставничества в отношении одного работника.». </w:t>
      </w:r>
      <w:r/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none"/>
        </w:rPr>
        <w:t xml:space="preserve">2. </w:t>
      </w:r>
      <w:r>
        <w:rPr>
          <w:rFonts w:ascii="Times New Roman" w:hAnsi="Times New Roman"/>
          <w:sz w:val="28"/>
          <w:highlight w:val="none"/>
        </w:rPr>
        <w:t xml:space="preserve">Настоящее постановление вступает в силу после дня его официального опубликования.</w:t>
      </w:r>
      <w:r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551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578" w:type="dxa"/>
            <w:textDirection w:val="lrTb"/>
            <w:noWrap w:val="false"/>
          </w:tcPr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Председатель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Правительства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1" w:name="_GoBack"/>
            <w:r/>
            <w:bookmarkEnd w:id="1"/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3544" w:type="dxa"/>
            <w:textDirection w:val="lrTb"/>
            <w:noWrap w:val="false"/>
          </w:tcPr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-113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2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2"/>
            <w:r/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551" w:type="dxa"/>
            <w:textDirection w:val="lrTb"/>
            <w:noWrap w:val="false"/>
          </w:tcPr>
          <w:p>
            <w:pPr>
              <w:ind w:right="135"/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Ю.С. Морозова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1134" w:right="851" w:bottom="1134" w:left="1418" w:header="709" w:footer="709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8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</w:p>
  <w:p>
    <w:pPr>
      <w:pStyle w:val="668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60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60"/>
    <w:link w:val="65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60"/>
    <w:link w:val="65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60"/>
    <w:link w:val="65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60"/>
    <w:link w:val="65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54"/>
    <w:next w:val="654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60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54"/>
    <w:next w:val="65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60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54"/>
    <w:next w:val="65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60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54"/>
    <w:next w:val="65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60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54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660"/>
    <w:link w:val="700"/>
    <w:uiPriority w:val="10"/>
    <w:rPr>
      <w:sz w:val="48"/>
      <w:szCs w:val="48"/>
    </w:rPr>
  </w:style>
  <w:style w:type="character" w:styleId="38">
    <w:name w:val="Subtitle Char"/>
    <w:basedOn w:val="660"/>
    <w:link w:val="696"/>
    <w:uiPriority w:val="11"/>
    <w:rPr>
      <w:sz w:val="24"/>
      <w:szCs w:val="24"/>
    </w:rPr>
  </w:style>
  <w:style w:type="paragraph" w:styleId="39">
    <w:name w:val="Quote"/>
    <w:basedOn w:val="654"/>
    <w:next w:val="65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54"/>
    <w:next w:val="65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60"/>
    <w:link w:val="668"/>
    <w:uiPriority w:val="99"/>
  </w:style>
  <w:style w:type="character" w:styleId="46">
    <w:name w:val="Footer Char"/>
    <w:basedOn w:val="660"/>
    <w:link w:val="698"/>
    <w:uiPriority w:val="99"/>
  </w:style>
  <w:style w:type="paragraph" w:styleId="47">
    <w:name w:val="Caption"/>
    <w:basedOn w:val="654"/>
    <w:next w:val="65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60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5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60"/>
    <w:uiPriority w:val="99"/>
    <w:unhideWhenUsed/>
    <w:rPr>
      <w:vertAlign w:val="superscript"/>
    </w:rPr>
  </w:style>
  <w:style w:type="paragraph" w:styleId="179">
    <w:name w:val="endnote text"/>
    <w:basedOn w:val="65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60"/>
    <w:uiPriority w:val="99"/>
    <w:semiHidden/>
    <w:unhideWhenUsed/>
    <w:rPr>
      <w:vertAlign w:val="superscript"/>
    </w:rPr>
  </w:style>
  <w:style w:type="paragraph" w:styleId="191">
    <w:name w:val="TOC Heading"/>
    <w:uiPriority w:val="39"/>
    <w:unhideWhenUsed/>
  </w:style>
  <w:style w:type="paragraph" w:styleId="192">
    <w:name w:val="table of figures"/>
    <w:basedOn w:val="654"/>
    <w:next w:val="654"/>
    <w:uiPriority w:val="99"/>
    <w:unhideWhenUsed/>
    <w:pPr>
      <w:spacing w:after="0" w:afterAutospacing="0"/>
    </w:pPr>
  </w:style>
  <w:style w:type="paragraph" w:styleId="654" w:default="1">
    <w:name w:val="Normal"/>
    <w:link w:val="663"/>
    <w:qFormat/>
  </w:style>
  <w:style w:type="paragraph" w:styleId="655">
    <w:name w:val="Heading 1"/>
    <w:next w:val="654"/>
    <w:link w:val="680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656">
    <w:name w:val="Heading 2"/>
    <w:next w:val="654"/>
    <w:link w:val="705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657">
    <w:name w:val="Heading 3"/>
    <w:next w:val="654"/>
    <w:link w:val="674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658">
    <w:name w:val="Heading 4"/>
    <w:next w:val="654"/>
    <w:link w:val="704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659">
    <w:name w:val="Heading 5"/>
    <w:next w:val="654"/>
    <w:link w:val="679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660" w:default="1">
    <w:name w:val="Default Paragraph Font"/>
    <w:uiPriority w:val="1"/>
    <w:semiHidden/>
    <w:unhideWhenUsed/>
  </w:style>
  <w:style w:type="table" w:styleId="66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2" w:default="1">
    <w:name w:val="No List"/>
    <w:uiPriority w:val="99"/>
    <w:semiHidden/>
    <w:unhideWhenUsed/>
  </w:style>
  <w:style w:type="character" w:styleId="663" w:customStyle="1">
    <w:name w:val="Обычный1"/>
  </w:style>
  <w:style w:type="paragraph" w:styleId="664">
    <w:name w:val="toc 2"/>
    <w:next w:val="654"/>
    <w:link w:val="665"/>
    <w:uiPriority w:val="39"/>
    <w:pPr>
      <w:ind w:left="200"/>
    </w:pPr>
    <w:rPr>
      <w:rFonts w:ascii="XO Thames" w:hAnsi="XO Thames"/>
      <w:sz w:val="28"/>
    </w:rPr>
  </w:style>
  <w:style w:type="character" w:styleId="665" w:customStyle="1">
    <w:name w:val="Оглавление 2 Знак"/>
    <w:link w:val="664"/>
    <w:rPr>
      <w:rFonts w:ascii="XO Thames" w:hAnsi="XO Thames"/>
      <w:sz w:val="28"/>
    </w:rPr>
  </w:style>
  <w:style w:type="paragraph" w:styleId="666">
    <w:name w:val="toc 4"/>
    <w:next w:val="654"/>
    <w:link w:val="667"/>
    <w:uiPriority w:val="39"/>
    <w:pPr>
      <w:ind w:left="600"/>
    </w:pPr>
    <w:rPr>
      <w:rFonts w:ascii="XO Thames" w:hAnsi="XO Thames"/>
      <w:sz w:val="28"/>
    </w:rPr>
  </w:style>
  <w:style w:type="character" w:styleId="667" w:customStyle="1">
    <w:name w:val="Оглавление 4 Знак"/>
    <w:link w:val="666"/>
    <w:rPr>
      <w:rFonts w:ascii="XO Thames" w:hAnsi="XO Thames"/>
      <w:sz w:val="28"/>
    </w:rPr>
  </w:style>
  <w:style w:type="paragraph" w:styleId="668">
    <w:name w:val="Header"/>
    <w:basedOn w:val="654"/>
    <w:link w:val="669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69" w:customStyle="1">
    <w:name w:val="Верхний колонтитул Знак"/>
    <w:basedOn w:val="663"/>
    <w:link w:val="668"/>
    <w:uiPriority w:val="99"/>
  </w:style>
  <w:style w:type="paragraph" w:styleId="670">
    <w:name w:val="toc 6"/>
    <w:next w:val="654"/>
    <w:link w:val="671"/>
    <w:uiPriority w:val="39"/>
    <w:pPr>
      <w:ind w:left="1000"/>
    </w:pPr>
    <w:rPr>
      <w:rFonts w:ascii="XO Thames" w:hAnsi="XO Thames"/>
      <w:sz w:val="28"/>
    </w:rPr>
  </w:style>
  <w:style w:type="character" w:styleId="671" w:customStyle="1">
    <w:name w:val="Оглавление 6 Знак"/>
    <w:link w:val="670"/>
    <w:rPr>
      <w:rFonts w:ascii="XO Thames" w:hAnsi="XO Thames"/>
      <w:sz w:val="28"/>
    </w:rPr>
  </w:style>
  <w:style w:type="paragraph" w:styleId="672">
    <w:name w:val="toc 7"/>
    <w:next w:val="654"/>
    <w:link w:val="673"/>
    <w:uiPriority w:val="39"/>
    <w:pPr>
      <w:ind w:left="1200"/>
    </w:pPr>
    <w:rPr>
      <w:rFonts w:ascii="XO Thames" w:hAnsi="XO Thames"/>
      <w:sz w:val="28"/>
    </w:rPr>
  </w:style>
  <w:style w:type="character" w:styleId="673" w:customStyle="1">
    <w:name w:val="Оглавление 7 Знак"/>
    <w:link w:val="672"/>
    <w:rPr>
      <w:rFonts w:ascii="XO Thames" w:hAnsi="XO Thames"/>
      <w:sz w:val="28"/>
    </w:rPr>
  </w:style>
  <w:style w:type="character" w:styleId="674" w:customStyle="1">
    <w:name w:val="Заголовок 3 Знак"/>
    <w:link w:val="657"/>
    <w:rPr>
      <w:rFonts w:ascii="XO Thames" w:hAnsi="XO Thames"/>
      <w:b/>
      <w:sz w:val="26"/>
    </w:rPr>
  </w:style>
  <w:style w:type="paragraph" w:styleId="675">
    <w:name w:val="Plain Text"/>
    <w:basedOn w:val="654"/>
    <w:link w:val="676"/>
    <w:pPr>
      <w:spacing w:after="0" w:line="240" w:lineRule="auto"/>
    </w:pPr>
    <w:rPr>
      <w:rFonts w:ascii="Calibri" w:hAnsi="Calibri"/>
    </w:rPr>
  </w:style>
  <w:style w:type="character" w:styleId="676" w:customStyle="1">
    <w:name w:val="Текст Знак"/>
    <w:basedOn w:val="663"/>
    <w:link w:val="675"/>
    <w:rPr>
      <w:rFonts w:ascii="Calibri" w:hAnsi="Calibri"/>
    </w:rPr>
  </w:style>
  <w:style w:type="paragraph" w:styleId="677">
    <w:name w:val="toc 3"/>
    <w:next w:val="654"/>
    <w:link w:val="678"/>
    <w:uiPriority w:val="39"/>
    <w:pPr>
      <w:ind w:left="400"/>
    </w:pPr>
    <w:rPr>
      <w:rFonts w:ascii="XO Thames" w:hAnsi="XO Thames"/>
      <w:sz w:val="28"/>
    </w:rPr>
  </w:style>
  <w:style w:type="character" w:styleId="678" w:customStyle="1">
    <w:name w:val="Оглавление 3 Знак"/>
    <w:link w:val="677"/>
    <w:rPr>
      <w:rFonts w:ascii="XO Thames" w:hAnsi="XO Thames"/>
      <w:sz w:val="28"/>
    </w:rPr>
  </w:style>
  <w:style w:type="character" w:styleId="679" w:customStyle="1">
    <w:name w:val="Заголовок 5 Знак"/>
    <w:link w:val="659"/>
    <w:rPr>
      <w:rFonts w:ascii="XO Thames" w:hAnsi="XO Thames"/>
      <w:b/>
      <w:sz w:val="22"/>
    </w:rPr>
  </w:style>
  <w:style w:type="character" w:styleId="680" w:customStyle="1">
    <w:name w:val="Заголовок 1 Знак"/>
    <w:link w:val="655"/>
    <w:rPr>
      <w:rFonts w:ascii="XO Thames" w:hAnsi="XO Thames"/>
      <w:b/>
      <w:sz w:val="32"/>
    </w:rPr>
  </w:style>
  <w:style w:type="paragraph" w:styleId="681" w:customStyle="1">
    <w:name w:val="Гиперссылка1"/>
    <w:basedOn w:val="689"/>
    <w:link w:val="682"/>
    <w:rPr>
      <w:color w:val="0563c1" w:themeColor="hyperlink"/>
      <w:u w:val="single"/>
    </w:rPr>
  </w:style>
  <w:style w:type="character" w:styleId="682">
    <w:name w:val="Hyperlink"/>
    <w:basedOn w:val="660"/>
    <w:link w:val="681"/>
    <w:rPr>
      <w:color w:val="0563c1" w:themeColor="hyperlink"/>
      <w:u w:val="single"/>
    </w:rPr>
  </w:style>
  <w:style w:type="paragraph" w:styleId="683" w:customStyle="1">
    <w:name w:val="Footnote"/>
    <w:link w:val="684"/>
    <w:pPr>
      <w:ind w:firstLine="851"/>
      <w:jc w:val="both"/>
    </w:pPr>
    <w:rPr>
      <w:rFonts w:ascii="XO Thames" w:hAnsi="XO Thames"/>
    </w:rPr>
  </w:style>
  <w:style w:type="character" w:styleId="684" w:customStyle="1">
    <w:name w:val="Footnote"/>
    <w:link w:val="683"/>
    <w:rPr>
      <w:rFonts w:ascii="XO Thames" w:hAnsi="XO Thames"/>
      <w:sz w:val="22"/>
    </w:rPr>
  </w:style>
  <w:style w:type="paragraph" w:styleId="685">
    <w:name w:val="toc 1"/>
    <w:next w:val="654"/>
    <w:link w:val="686"/>
    <w:uiPriority w:val="39"/>
    <w:rPr>
      <w:rFonts w:ascii="XO Thames" w:hAnsi="XO Thames"/>
      <w:b/>
      <w:sz w:val="28"/>
    </w:rPr>
  </w:style>
  <w:style w:type="character" w:styleId="686" w:customStyle="1">
    <w:name w:val="Оглавление 1 Знак"/>
    <w:link w:val="685"/>
    <w:rPr>
      <w:rFonts w:ascii="XO Thames" w:hAnsi="XO Thames"/>
      <w:b/>
      <w:sz w:val="28"/>
    </w:rPr>
  </w:style>
  <w:style w:type="paragraph" w:styleId="687" w:customStyle="1">
    <w:name w:val="Header and Footer"/>
    <w:link w:val="688"/>
    <w:pPr>
      <w:jc w:val="both"/>
      <w:spacing w:line="240" w:lineRule="auto"/>
    </w:pPr>
    <w:rPr>
      <w:rFonts w:ascii="XO Thames" w:hAnsi="XO Thames"/>
      <w:sz w:val="20"/>
    </w:rPr>
  </w:style>
  <w:style w:type="character" w:styleId="688" w:customStyle="1">
    <w:name w:val="Header and Footer"/>
    <w:link w:val="687"/>
    <w:rPr>
      <w:rFonts w:ascii="XO Thames" w:hAnsi="XO Thames"/>
      <w:sz w:val="20"/>
    </w:rPr>
  </w:style>
  <w:style w:type="paragraph" w:styleId="689" w:customStyle="1">
    <w:name w:val="Основной шрифт абзаца1"/>
  </w:style>
  <w:style w:type="paragraph" w:styleId="690">
    <w:name w:val="toc 9"/>
    <w:next w:val="654"/>
    <w:link w:val="691"/>
    <w:uiPriority w:val="39"/>
    <w:pPr>
      <w:ind w:left="1600"/>
    </w:pPr>
    <w:rPr>
      <w:rFonts w:ascii="XO Thames" w:hAnsi="XO Thames"/>
      <w:sz w:val="28"/>
    </w:rPr>
  </w:style>
  <w:style w:type="character" w:styleId="691" w:customStyle="1">
    <w:name w:val="Оглавление 9 Знак"/>
    <w:link w:val="690"/>
    <w:rPr>
      <w:rFonts w:ascii="XO Thames" w:hAnsi="XO Thames"/>
      <w:sz w:val="28"/>
    </w:rPr>
  </w:style>
  <w:style w:type="paragraph" w:styleId="692">
    <w:name w:val="toc 8"/>
    <w:next w:val="654"/>
    <w:link w:val="693"/>
    <w:uiPriority w:val="39"/>
    <w:pPr>
      <w:ind w:left="1400"/>
    </w:pPr>
    <w:rPr>
      <w:rFonts w:ascii="XO Thames" w:hAnsi="XO Thames"/>
      <w:sz w:val="28"/>
    </w:rPr>
  </w:style>
  <w:style w:type="character" w:styleId="693" w:customStyle="1">
    <w:name w:val="Оглавление 8 Знак"/>
    <w:link w:val="692"/>
    <w:rPr>
      <w:rFonts w:ascii="XO Thames" w:hAnsi="XO Thames"/>
      <w:sz w:val="28"/>
    </w:rPr>
  </w:style>
  <w:style w:type="paragraph" w:styleId="694">
    <w:name w:val="toc 5"/>
    <w:next w:val="654"/>
    <w:link w:val="695"/>
    <w:uiPriority w:val="39"/>
    <w:pPr>
      <w:ind w:left="800"/>
    </w:pPr>
    <w:rPr>
      <w:rFonts w:ascii="XO Thames" w:hAnsi="XO Thames"/>
      <w:sz w:val="28"/>
    </w:rPr>
  </w:style>
  <w:style w:type="character" w:styleId="695" w:customStyle="1">
    <w:name w:val="Оглавление 5 Знак"/>
    <w:link w:val="694"/>
    <w:rPr>
      <w:rFonts w:ascii="XO Thames" w:hAnsi="XO Thames"/>
      <w:sz w:val="28"/>
    </w:rPr>
  </w:style>
  <w:style w:type="paragraph" w:styleId="696">
    <w:name w:val="Subtitle"/>
    <w:next w:val="654"/>
    <w:link w:val="697"/>
    <w:uiPriority w:val="11"/>
    <w:qFormat/>
    <w:pPr>
      <w:jc w:val="both"/>
    </w:pPr>
    <w:rPr>
      <w:rFonts w:ascii="XO Thames" w:hAnsi="XO Thames"/>
      <w:i/>
      <w:sz w:val="24"/>
    </w:rPr>
  </w:style>
  <w:style w:type="character" w:styleId="697" w:customStyle="1">
    <w:name w:val="Подзаголовок Знак"/>
    <w:link w:val="696"/>
    <w:rPr>
      <w:rFonts w:ascii="XO Thames" w:hAnsi="XO Thames"/>
      <w:i/>
      <w:sz w:val="24"/>
    </w:rPr>
  </w:style>
  <w:style w:type="paragraph" w:styleId="698">
    <w:name w:val="Footer"/>
    <w:basedOn w:val="654"/>
    <w:link w:val="699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699" w:customStyle="1">
    <w:name w:val="Нижний колонтитул Знак"/>
    <w:basedOn w:val="663"/>
    <w:link w:val="698"/>
    <w:rPr>
      <w:rFonts w:ascii="Times New Roman" w:hAnsi="Times New Roman"/>
      <w:sz w:val="28"/>
    </w:rPr>
  </w:style>
  <w:style w:type="paragraph" w:styleId="700">
    <w:name w:val="Title"/>
    <w:next w:val="654"/>
    <w:link w:val="701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701" w:customStyle="1">
    <w:name w:val="Название Знак"/>
    <w:link w:val="700"/>
    <w:rPr>
      <w:rFonts w:ascii="XO Thames" w:hAnsi="XO Thames"/>
      <w:b/>
      <w:caps/>
      <w:sz w:val="40"/>
    </w:rPr>
  </w:style>
  <w:style w:type="paragraph" w:styleId="702">
    <w:name w:val="Balloon Text"/>
    <w:basedOn w:val="654"/>
    <w:link w:val="703"/>
    <w:pPr>
      <w:spacing w:after="0" w:line="240" w:lineRule="auto"/>
    </w:pPr>
    <w:rPr>
      <w:rFonts w:ascii="Segoe UI" w:hAnsi="Segoe UI"/>
      <w:sz w:val="18"/>
    </w:rPr>
  </w:style>
  <w:style w:type="character" w:styleId="703" w:customStyle="1">
    <w:name w:val="Текст выноски Знак"/>
    <w:basedOn w:val="663"/>
    <w:link w:val="702"/>
    <w:rPr>
      <w:rFonts w:ascii="Segoe UI" w:hAnsi="Segoe UI"/>
      <w:sz w:val="18"/>
    </w:rPr>
  </w:style>
  <w:style w:type="character" w:styleId="704" w:customStyle="1">
    <w:name w:val="Заголовок 4 Знак"/>
    <w:link w:val="658"/>
    <w:rPr>
      <w:rFonts w:ascii="XO Thames" w:hAnsi="XO Thames"/>
      <w:b/>
      <w:sz w:val="24"/>
    </w:rPr>
  </w:style>
  <w:style w:type="character" w:styleId="705" w:customStyle="1">
    <w:name w:val="Заголовок 2 Знак"/>
    <w:link w:val="656"/>
    <w:rPr>
      <w:rFonts w:ascii="XO Thames" w:hAnsi="XO Thames"/>
      <w:b/>
      <w:sz w:val="28"/>
    </w:rPr>
  </w:style>
  <w:style w:type="table" w:styleId="706">
    <w:name w:val="Table Grid"/>
    <w:basedOn w:val="661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07" w:customStyle="1">
    <w:name w:val="Сетка таблицы1"/>
    <w:basedOn w:val="661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08" w:customStyle="1">
    <w:name w:val="Сетка таблицы2"/>
    <w:basedOn w:val="661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HP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 Дмитрий Игоревич</dc:creator>
  <cp:lastModifiedBy>monastyrskayatp</cp:lastModifiedBy>
  <cp:revision>14</cp:revision>
  <dcterms:created xsi:type="dcterms:W3CDTF">2025-01-31T01:52:00Z</dcterms:created>
  <dcterms:modified xsi:type="dcterms:W3CDTF">2026-09-24T22:17:38Z</dcterms:modified>
</cp:coreProperties>
</file>