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spacing w:after="0"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wrapTight distL="114300" distR="114300" wrapText="bothSides">
              <wp:wrapPolygon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647700" cy="80772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6000000">
      <w:pPr>
        <w:spacing w:after="0" w:line="360" w:lineRule="auto"/>
        <w:ind/>
        <w:jc w:val="center"/>
        <w:rPr>
          <w:rFonts w:ascii="Times New Roman" w:hAnsi="Times New Roman"/>
          <w:sz w:val="32"/>
        </w:rPr>
      </w:pPr>
    </w:p>
    <w:p w14:paraId="07000000">
      <w:pPr>
        <w:spacing w:after="0" w:line="240" w:lineRule="auto"/>
        <w:ind/>
        <w:jc w:val="center"/>
        <w:rPr>
          <w:rFonts w:ascii="Times New Roman" w:hAnsi="Times New Roman"/>
          <w:b w:val="1"/>
          <w:sz w:val="32"/>
        </w:rPr>
      </w:pPr>
    </w:p>
    <w:p w14:paraId="08000000">
      <w:pPr>
        <w:spacing w:after="0" w:line="240" w:lineRule="auto"/>
        <w:ind/>
        <w:rPr>
          <w:rFonts w:ascii="Times New Roman" w:hAnsi="Times New Roman"/>
          <w:b w:val="1"/>
          <w:sz w:val="32"/>
        </w:rPr>
      </w:pPr>
    </w:p>
    <w:p w14:paraId="09000000">
      <w:pPr>
        <w:spacing w:after="0" w:line="240" w:lineRule="auto"/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П О С Т А Н О В Л Е Н И Е</w:t>
      </w:r>
    </w:p>
    <w:p w14:paraId="0A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B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ПРАВИТЕЛЬСТВА</w:t>
      </w:r>
    </w:p>
    <w:p w14:paraId="0C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КАМЧАТСКОГО КРАЯ</w:t>
      </w:r>
    </w:p>
    <w:p w14:paraId="0D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</w:p>
    <w:tbl>
      <w:tblPr>
        <w:tblStyle w:val="Style_3"/>
        <w:tblLayout w:type="fixed"/>
        <w:tblCellMar>
          <w:left w:type="dxa" w:w="0"/>
          <w:right w:type="dxa" w:w="0"/>
        </w:tblCellMar>
      </w:tblPr>
      <w:tblGrid>
        <w:gridCol w:w="4253"/>
      </w:tblGrid>
      <w:tr>
        <w:trPr>
          <w:trHeight w:hRule="atLeast" w:val="234"/>
        </w:trPr>
        <w:tc>
          <w:tcPr>
            <w:tcW w:type="dxa" w:w="4253"/>
            <w:tcMar>
              <w:left w:type="dxa" w:w="0"/>
              <w:right w:type="dxa" w:w="0"/>
            </w:tcMar>
          </w:tcPr>
          <w:p w14:paraId="0E000000">
            <w:pPr>
              <w:spacing w:after="0" w:line="240" w:lineRule="auto"/>
              <w:ind w:hanging="142" w:left="142"/>
              <w:rPr>
                <w:rFonts w:ascii="Times New Roman" w:hAnsi="Times New Roman"/>
                <w:sz w:val="24"/>
              </w:rPr>
            </w:pPr>
            <w:bookmarkStart w:id="1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1"/>
          </w:p>
        </w:tc>
      </w:tr>
      <w:tr>
        <w:trPr>
          <w:trHeight w:hRule="atLeast" w:val="247"/>
        </w:trPr>
        <w:tc>
          <w:tcPr>
            <w:tcW w:type="dxa" w:w="4253"/>
            <w:tcMar>
              <w:left w:type="dxa" w:w="0"/>
              <w:right w:type="dxa" w:w="0"/>
            </w:tcMar>
          </w:tcPr>
          <w:p w14:paraId="0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>
        <w:trPr>
          <w:trHeight w:hRule="atLeast" w:val="80"/>
        </w:trPr>
        <w:tc>
          <w:tcPr>
            <w:tcW w:type="dxa" w:w="4253"/>
            <w:tcMar>
              <w:left w:type="dxa" w:w="0"/>
              <w:right w:type="dxa" w:w="0"/>
            </w:tcMar>
          </w:tcPr>
          <w:p w14:paraId="10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11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2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 внесении изменени</w:t>
      </w:r>
      <w:r>
        <w:rPr>
          <w:rFonts w:ascii="Times New Roman" w:hAnsi="Times New Roman"/>
          <w:b w:val="1"/>
          <w:sz w:val="28"/>
        </w:rPr>
        <w:t>й</w:t>
      </w:r>
      <w:r>
        <w:rPr>
          <w:rFonts w:ascii="Times New Roman" w:hAnsi="Times New Roman"/>
          <w:b w:val="1"/>
          <w:sz w:val="28"/>
        </w:rPr>
        <w:t xml:space="preserve"> в </w:t>
      </w:r>
      <w:r>
        <w:rPr>
          <w:rFonts w:ascii="Times New Roman" w:hAnsi="Times New Roman"/>
          <w:b w:val="1"/>
          <w:sz w:val="28"/>
        </w:rPr>
        <w:t xml:space="preserve">приложение к </w:t>
      </w:r>
      <w:r>
        <w:rPr>
          <w:rFonts w:ascii="Times New Roman" w:hAnsi="Times New Roman"/>
          <w:b w:val="1"/>
          <w:sz w:val="28"/>
        </w:rPr>
        <w:t>п</w:t>
      </w:r>
      <w:r>
        <w:rPr>
          <w:rFonts w:ascii="Times New Roman" w:hAnsi="Times New Roman"/>
          <w:b w:val="1"/>
          <w:sz w:val="28"/>
        </w:rPr>
        <w:t>остановлени</w:t>
      </w:r>
      <w:r>
        <w:rPr>
          <w:rFonts w:ascii="Times New Roman" w:hAnsi="Times New Roman"/>
          <w:b w:val="1"/>
          <w:sz w:val="28"/>
        </w:rPr>
        <w:t xml:space="preserve">ю </w:t>
      </w:r>
      <w:r>
        <w:rPr>
          <w:rFonts w:ascii="Times New Roman" w:hAnsi="Times New Roman"/>
          <w:b w:val="1"/>
          <w:sz w:val="28"/>
        </w:rPr>
        <w:t>Правительства Камчатского края от 1</w:t>
      </w:r>
      <w:r>
        <w:rPr>
          <w:rFonts w:ascii="Times New Roman" w:hAnsi="Times New Roman"/>
          <w:b w:val="1"/>
          <w:sz w:val="28"/>
        </w:rPr>
        <w:t>2</w:t>
      </w:r>
      <w:r>
        <w:rPr>
          <w:rFonts w:ascii="Times New Roman" w:hAnsi="Times New Roman"/>
          <w:b w:val="1"/>
          <w:sz w:val="28"/>
        </w:rPr>
        <w:t>.11.2008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№ 3</w:t>
      </w:r>
      <w:r>
        <w:rPr>
          <w:rFonts w:ascii="Times New Roman" w:hAnsi="Times New Roman"/>
          <w:b w:val="1"/>
          <w:sz w:val="28"/>
        </w:rPr>
        <w:t>70</w:t>
      </w:r>
      <w:r>
        <w:rPr>
          <w:rFonts w:ascii="Times New Roman" w:hAnsi="Times New Roman"/>
          <w:b w:val="1"/>
          <w:sz w:val="28"/>
        </w:rPr>
        <w:t xml:space="preserve">-П </w:t>
      </w:r>
      <w:r>
        <w:rPr>
          <w:rFonts w:ascii="Times New Roman" w:hAnsi="Times New Roman"/>
          <w:b w:val="1"/>
          <w:sz w:val="28"/>
        </w:rPr>
        <w:t>«</w:t>
      </w:r>
      <w:r>
        <w:rPr>
          <w:rFonts w:ascii="Times New Roman" w:hAnsi="Times New Roman"/>
          <w:b w:val="1"/>
          <w:sz w:val="28"/>
        </w:rPr>
        <w:t xml:space="preserve">Об утверждении Примерного положения о системе оплаты труда работников </w:t>
      </w:r>
      <w:r>
        <w:rPr>
          <w:rFonts w:ascii="Times New Roman" w:hAnsi="Times New Roman"/>
          <w:b w:val="1"/>
          <w:sz w:val="28"/>
        </w:rPr>
        <w:t xml:space="preserve">краевых </w:t>
      </w:r>
      <w:r>
        <w:rPr>
          <w:rFonts w:ascii="Times New Roman" w:hAnsi="Times New Roman"/>
          <w:b w:val="1"/>
          <w:sz w:val="28"/>
        </w:rPr>
        <w:t xml:space="preserve">государственных учреждений, подведомственных Министерству </w:t>
      </w:r>
      <w:r>
        <w:rPr>
          <w:rFonts w:ascii="Times New Roman" w:hAnsi="Times New Roman"/>
          <w:b w:val="1"/>
          <w:sz w:val="28"/>
        </w:rPr>
        <w:t>культуры</w:t>
      </w:r>
      <w:r>
        <w:rPr>
          <w:rFonts w:ascii="Times New Roman" w:hAnsi="Times New Roman"/>
          <w:b w:val="1"/>
          <w:sz w:val="28"/>
        </w:rPr>
        <w:t xml:space="preserve"> </w:t>
      </w:r>
      <w:r>
        <w:br/>
      </w:r>
      <w:r>
        <w:rPr>
          <w:rFonts w:ascii="Times New Roman" w:hAnsi="Times New Roman"/>
          <w:b w:val="1"/>
          <w:sz w:val="28"/>
        </w:rPr>
        <w:t>Камчатского края»</w:t>
      </w:r>
    </w:p>
    <w:p w14:paraId="1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5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Преамбула (при необходимости)</w:t>
      </w:r>
    </w:p>
    <w:p w14:paraId="16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7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ПРАВИТЕЛЬСТВО ПОСТАНОВЛЯЕТ:</w:t>
      </w:r>
    </w:p>
    <w:p w14:paraId="18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9000000">
      <w:pPr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>
        <w:rPr>
          <w:rFonts w:ascii="Times New Roman" w:hAnsi="Times New Roman"/>
          <w:sz w:val="28"/>
        </w:rPr>
        <w:t xml:space="preserve">Внести в </w:t>
      </w:r>
      <w:r>
        <w:rPr>
          <w:rFonts w:ascii="Times New Roman" w:hAnsi="Times New Roman"/>
          <w:sz w:val="28"/>
        </w:rPr>
        <w:t>приложение к постановлению</w:t>
      </w:r>
      <w:r>
        <w:rPr>
          <w:rFonts w:ascii="Times New Roman" w:hAnsi="Times New Roman"/>
          <w:sz w:val="28"/>
        </w:rPr>
        <w:t xml:space="preserve"> Правительства Камчатского края о</w:t>
      </w:r>
      <w:r>
        <w:rPr>
          <w:rFonts w:ascii="Times New Roman" w:hAnsi="Times New Roman"/>
          <w:sz w:val="28"/>
        </w:rPr>
        <w:t>т 1</w:t>
      </w:r>
      <w:r>
        <w:rPr>
          <w:rFonts w:ascii="Times New Roman" w:hAnsi="Times New Roman"/>
          <w:sz w:val="28"/>
        </w:rPr>
        <w:t>2.11.2008 № 370</w:t>
      </w:r>
      <w:r>
        <w:rPr>
          <w:rFonts w:ascii="Times New Roman" w:hAnsi="Times New Roman"/>
          <w:sz w:val="28"/>
        </w:rPr>
        <w:t>-П «</w:t>
      </w:r>
      <w:r>
        <w:rPr>
          <w:rFonts w:ascii="Times New Roman" w:hAnsi="Times New Roman"/>
          <w:sz w:val="28"/>
        </w:rPr>
        <w:t>Об утверждении Примерного положения о системе оплаты труда работников краевых государственных учреждений, подведомственных Министерству культуры Камчатского края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изменени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согласно </w:t>
      </w:r>
      <w:r>
        <w:rPr>
          <w:rFonts w:ascii="Times New Roman" w:hAnsi="Times New Roman"/>
          <w:sz w:val="28"/>
        </w:rPr>
        <w:t>приложению</w:t>
      </w:r>
      <w:r>
        <w:rPr>
          <w:rFonts w:ascii="Times New Roman" w:hAnsi="Times New Roman"/>
          <w:sz w:val="28"/>
        </w:rPr>
        <w:t xml:space="preserve"> к настоящему постановлению</w:t>
      </w:r>
      <w:r>
        <w:rPr>
          <w:rFonts w:ascii="Times New Roman" w:hAnsi="Times New Roman"/>
          <w:sz w:val="28"/>
        </w:rPr>
        <w:t>.</w:t>
      </w:r>
    </w:p>
    <w:p w14:paraId="1A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r>
        <w:rPr>
          <w:rFonts w:ascii="Times New Roman" w:hAnsi="Times New Roman"/>
          <w:sz w:val="28"/>
        </w:rPr>
        <w:t>Настоящее постановление вступает в силу после дня его официального опубликования.</w:t>
      </w:r>
    </w:p>
    <w:p w14:paraId="1B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C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D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tbl>
      <w:tblPr>
        <w:tblStyle w:val="Style_3"/>
        <w:tblInd w:type="dxa" w:w="-34"/>
        <w:tblLayout w:type="fixed"/>
        <w:tblCellMar>
          <w:left w:type="dxa" w:w="0"/>
          <w:right w:type="dxa" w:w="0"/>
        </w:tblCellMar>
      </w:tblPr>
      <w:tblGrid>
        <w:gridCol w:w="3577"/>
        <w:gridCol w:w="3543"/>
        <w:gridCol w:w="2550"/>
      </w:tblGrid>
      <w:tr>
        <w:trPr>
          <w:trHeight w:hRule="atLeast" w:val="2220"/>
        </w:trPr>
        <w:tc>
          <w:tcPr>
            <w:tcW w:type="dxa" w:w="3577"/>
            <w:shd w:fill="auto" w:val="clear"/>
            <w:tcMar>
              <w:left w:type="dxa" w:w="0"/>
              <w:right w:type="dxa" w:w="0"/>
            </w:tcMar>
          </w:tcPr>
          <w:p w14:paraId="1E000000">
            <w:pPr>
              <w:spacing w:after="0" w:line="240" w:lineRule="auto"/>
              <w:ind w:firstLine="0" w:left="30" w:right="27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Председатель </w:t>
            </w:r>
          </w:p>
          <w:p w14:paraId="1F000000">
            <w:pPr>
              <w:spacing w:after="0" w:line="240" w:lineRule="auto"/>
              <w:ind w:firstLine="0" w:left="30" w:right="27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Правительства </w:t>
            </w:r>
          </w:p>
          <w:p w14:paraId="20000000">
            <w:pPr>
              <w:spacing w:after="0" w:line="240" w:lineRule="auto"/>
              <w:ind w:firstLine="0" w:left="30" w:right="27"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2" w:name="_GoBack"/>
            <w:bookmarkEnd w:id="2"/>
            <w:r>
              <w:rPr>
                <w:rFonts w:ascii="Times New Roman" w:hAnsi="Times New Roman"/>
                <w:color w:themeColor="text1" w:val="000000"/>
                <w:sz w:val="28"/>
              </w:rPr>
              <w:t>Камчатского края</w:t>
            </w:r>
          </w:p>
          <w:p w14:paraId="21000000">
            <w:pPr>
              <w:spacing w:after="0" w:line="240" w:lineRule="auto"/>
              <w:ind w:firstLine="0" w:left="30" w:right="27"/>
              <w:rPr>
                <w:rFonts w:ascii="Times New Roman" w:hAnsi="Times New Roman"/>
                <w:color w:themeColor="text1" w:val="000000"/>
                <w:sz w:val="24"/>
              </w:rPr>
            </w:pPr>
          </w:p>
        </w:tc>
        <w:tc>
          <w:tcPr>
            <w:tcW w:type="dxa" w:w="3543"/>
            <w:shd w:fill="auto" w:val="clear"/>
            <w:tcMar>
              <w:left w:type="dxa" w:w="0"/>
              <w:right w:type="dxa" w:w="0"/>
            </w:tcMar>
          </w:tcPr>
          <w:p w14:paraId="22000000">
            <w:pPr>
              <w:spacing w:after="0" w:line="240" w:lineRule="auto"/>
              <w:ind w:hanging="3" w:left="3"/>
              <w:rPr>
                <w:rFonts w:ascii="Times New Roman" w:hAnsi="Times New Roman"/>
                <w:color w:themeColor="text1" w:val="000000"/>
                <w:sz w:val="24"/>
              </w:rPr>
            </w:pPr>
          </w:p>
          <w:p w14:paraId="23000000">
            <w:pPr>
              <w:spacing w:after="0" w:line="240" w:lineRule="auto"/>
              <w:ind w:hanging="3" w:left="3"/>
              <w:rPr>
                <w:rFonts w:ascii="Times New Roman" w:hAnsi="Times New Roman"/>
                <w:color w:themeColor="text1" w:val="000000"/>
                <w:sz w:val="24"/>
              </w:rPr>
            </w:pPr>
          </w:p>
          <w:p w14:paraId="24000000">
            <w:pPr>
              <w:spacing w:after="0" w:line="240" w:lineRule="auto"/>
              <w:ind w:firstLine="0" w:left="-1130"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3" w:name="SIGNERSTAMP1"/>
            <w:r>
              <w:rPr>
                <w:rFonts w:ascii="Times New Roman" w:hAnsi="Times New Roman"/>
                <w:color w:themeColor="background1" w:val="FFFFFF"/>
                <w:sz w:val="24"/>
              </w:rPr>
              <w:t>[горизонтальный штамп подписи 1]</w:t>
            </w:r>
            <w:bookmarkEnd w:id="3"/>
          </w:p>
        </w:tc>
        <w:tc>
          <w:tcPr>
            <w:tcW w:type="dxa" w:w="2550"/>
            <w:shd w:fill="auto" w:val="clear"/>
            <w:tcMar>
              <w:left w:type="dxa" w:w="0"/>
              <w:right w:type="dxa" w:w="0"/>
            </w:tcMar>
          </w:tcPr>
          <w:p w14:paraId="25000000">
            <w:pPr>
              <w:spacing w:after="0" w:line="240" w:lineRule="auto"/>
              <w:ind w:right="135"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26000000">
            <w:pPr>
              <w:spacing w:after="0" w:line="240" w:lineRule="auto"/>
              <w:ind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27000000">
            <w:pPr>
              <w:spacing w:after="0" w:line="240" w:lineRule="auto"/>
              <w:ind/>
              <w:jc w:val="right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Ю.С Морозова</w:t>
            </w:r>
          </w:p>
        </w:tc>
      </w:tr>
    </w:tbl>
    <w:p w14:paraId="28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tbl>
      <w:tblPr>
        <w:tblStyle w:val="Style_4"/>
        <w:tblLayout w:type="fixed"/>
      </w:tblPr>
      <w:tblGrid>
        <w:gridCol w:w="480"/>
        <w:gridCol w:w="480"/>
        <w:gridCol w:w="480"/>
        <w:gridCol w:w="3661"/>
        <w:gridCol w:w="480"/>
        <w:gridCol w:w="1869"/>
        <w:gridCol w:w="486"/>
        <w:gridCol w:w="1701"/>
      </w:tblGrid>
      <w:tr>
        <w:tc>
          <w:tcPr>
            <w:tcW w:type="dxa" w:w="480"/>
            <w:tcBorders>
              <w:top w:color="000000" w:val="nil"/>
              <w:left w:color="000000" w:val="nil"/>
              <w:bottom w:color="000000" w:val="nil"/>
              <w:right w:color="000000" w:val="nil"/>
              <w:tl2br w:color="000000" w:val="nil"/>
              <w:tr2bl w:color="000000" w:val="nil"/>
            </w:tcBorders>
          </w:tcPr>
          <w:p w14:paraId="2900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color="000000" w:val="nil"/>
              <w:left w:color="000000" w:val="nil"/>
              <w:bottom w:color="000000" w:val="nil"/>
              <w:right w:color="000000" w:val="nil"/>
              <w:tl2br w:color="000000" w:val="nil"/>
              <w:tr2bl w:color="000000" w:val="nil"/>
            </w:tcBorders>
          </w:tcPr>
          <w:p w14:paraId="2A00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color="000000" w:val="nil"/>
              <w:left w:color="000000" w:val="nil"/>
              <w:bottom w:color="000000" w:val="nil"/>
              <w:right w:color="000000" w:val="nil"/>
              <w:tl2br w:color="000000" w:val="nil"/>
              <w:tr2bl w:color="000000" w:val="nil"/>
            </w:tcBorders>
          </w:tcPr>
          <w:p w14:paraId="2B00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661"/>
            <w:tcBorders>
              <w:top w:color="000000" w:val="nil"/>
              <w:left w:color="000000" w:val="nil"/>
              <w:bottom w:color="000000" w:val="nil"/>
              <w:right w:color="000000" w:val="nil"/>
              <w:tl2br w:color="000000" w:val="nil"/>
              <w:tr2bl w:color="000000" w:val="nil"/>
            </w:tcBorders>
          </w:tcPr>
          <w:p w14:paraId="2C00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536"/>
            <w:gridSpan w:val="4"/>
            <w:tcBorders>
              <w:top w:color="000000" w:val="nil"/>
              <w:left w:color="000000" w:val="nil"/>
              <w:bottom w:color="000000" w:val="nil"/>
              <w:right w:color="000000" w:val="nil"/>
              <w:tl2br w:color="000000" w:val="nil"/>
              <w:tr2bl w:color="000000" w:val="nil"/>
            </w:tcBorders>
          </w:tcPr>
          <w:p w14:paraId="2D000000">
            <w:pPr>
              <w:widowControl w:val="0"/>
              <w:ind w:hanging="8079" w:left="807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 к постановлению</w:t>
            </w:r>
          </w:p>
        </w:tc>
      </w:tr>
      <w:tr>
        <w:tc>
          <w:tcPr>
            <w:tcW w:type="dxa" w:w="480"/>
            <w:tcBorders>
              <w:top w:color="000000" w:val="nil"/>
              <w:left w:color="000000" w:val="nil"/>
              <w:bottom w:color="000000" w:val="nil"/>
              <w:right w:color="000000" w:val="nil"/>
              <w:tl2br w:color="000000" w:val="nil"/>
              <w:tr2bl w:color="000000" w:val="nil"/>
            </w:tcBorders>
          </w:tcPr>
          <w:p w14:paraId="2E00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color="000000" w:val="nil"/>
              <w:left w:color="000000" w:val="nil"/>
              <w:bottom w:color="000000" w:val="nil"/>
              <w:right w:color="000000" w:val="nil"/>
              <w:tl2br w:color="000000" w:val="nil"/>
              <w:tr2bl w:color="000000" w:val="nil"/>
            </w:tcBorders>
          </w:tcPr>
          <w:p w14:paraId="2F00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color="000000" w:val="nil"/>
              <w:left w:color="000000" w:val="nil"/>
              <w:bottom w:color="000000" w:val="nil"/>
              <w:right w:color="000000" w:val="nil"/>
              <w:tl2br w:color="000000" w:val="nil"/>
              <w:tr2bl w:color="000000" w:val="nil"/>
            </w:tcBorders>
          </w:tcPr>
          <w:p w14:paraId="3000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661"/>
            <w:tcBorders>
              <w:top w:color="000000" w:val="nil"/>
              <w:left w:color="000000" w:val="nil"/>
              <w:bottom w:color="000000" w:val="nil"/>
              <w:right w:color="000000" w:val="nil"/>
              <w:tl2br w:color="000000" w:val="nil"/>
              <w:tr2bl w:color="000000" w:val="nil"/>
            </w:tcBorders>
          </w:tcPr>
          <w:p w14:paraId="3100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536"/>
            <w:gridSpan w:val="4"/>
            <w:tcBorders>
              <w:top w:color="000000" w:val="nil"/>
              <w:left w:color="000000" w:val="nil"/>
              <w:bottom w:color="000000" w:val="nil"/>
              <w:right w:color="000000" w:val="nil"/>
              <w:tl2br w:color="000000" w:val="nil"/>
              <w:tr2bl w:color="000000" w:val="nil"/>
            </w:tcBorders>
          </w:tcPr>
          <w:p w14:paraId="32000000">
            <w:pPr>
              <w:widowControl w:val="0"/>
              <w:ind w:hanging="8079" w:left="807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Правительства Камчатского края</w:t>
            </w:r>
          </w:p>
        </w:tc>
      </w:tr>
      <w:tr>
        <w:tc>
          <w:tcPr>
            <w:tcW w:type="dxa" w:w="480"/>
            <w:tcBorders>
              <w:top w:color="000000" w:val="nil"/>
              <w:left w:color="000000" w:val="nil"/>
              <w:bottom w:color="000000" w:val="nil"/>
              <w:right w:color="000000" w:val="nil"/>
              <w:tl2br w:color="000000" w:val="nil"/>
              <w:tr2bl w:color="000000" w:val="nil"/>
            </w:tcBorders>
          </w:tcPr>
          <w:p w14:paraId="33000000">
            <w:pPr>
              <w:spacing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color="000000" w:val="nil"/>
              <w:left w:color="000000" w:val="nil"/>
              <w:bottom w:color="000000" w:val="nil"/>
              <w:right w:color="000000" w:val="nil"/>
              <w:tl2br w:color="000000" w:val="nil"/>
              <w:tr2bl w:color="000000" w:val="nil"/>
            </w:tcBorders>
          </w:tcPr>
          <w:p w14:paraId="34000000">
            <w:pPr>
              <w:spacing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color="000000" w:val="nil"/>
              <w:left w:color="000000" w:val="nil"/>
              <w:bottom w:color="000000" w:val="nil"/>
              <w:right w:color="000000" w:val="nil"/>
              <w:tl2br w:color="000000" w:val="nil"/>
              <w:tr2bl w:color="000000" w:val="nil"/>
            </w:tcBorders>
          </w:tcPr>
          <w:p w14:paraId="35000000">
            <w:pPr>
              <w:spacing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661"/>
            <w:tcBorders>
              <w:top w:color="000000" w:val="nil"/>
              <w:left w:color="000000" w:val="nil"/>
              <w:bottom w:color="000000" w:val="nil"/>
              <w:right w:color="000000" w:val="nil"/>
              <w:tl2br w:color="000000" w:val="nil"/>
              <w:tr2bl w:color="000000" w:val="nil"/>
            </w:tcBorders>
          </w:tcPr>
          <w:p w14:paraId="36000000">
            <w:pPr>
              <w:spacing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color="000000" w:val="nil"/>
              <w:left w:color="000000" w:val="nil"/>
              <w:bottom w:color="000000" w:val="nil"/>
              <w:right w:color="000000" w:val="nil"/>
              <w:tl2br w:color="000000" w:val="nil"/>
              <w:tr2bl w:color="000000" w:val="nil"/>
            </w:tcBorders>
          </w:tcPr>
          <w:p w14:paraId="37000000">
            <w:pPr>
              <w:spacing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</w:t>
            </w:r>
          </w:p>
        </w:tc>
        <w:tc>
          <w:tcPr>
            <w:tcW w:type="dxa" w:w="1869"/>
            <w:tcBorders>
              <w:top w:color="000000" w:val="nil"/>
              <w:left w:color="000000" w:val="nil"/>
              <w:bottom w:color="000000" w:val="nil"/>
              <w:right w:color="000000" w:val="nil"/>
              <w:tl2br w:color="000000" w:val="nil"/>
              <w:tr2bl w:color="000000" w:val="nil"/>
            </w:tcBorders>
          </w:tcPr>
          <w:p w14:paraId="38000000">
            <w:pPr>
              <w:spacing w:after="60"/>
              <w:ind w:hanging="8079" w:left="8079"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ascii="Times New Roman" w:hAnsi="Times New Roman"/>
                <w:color w:themeColor="background1" w:val="FFFFFF"/>
                <w:sz w:val="28"/>
              </w:rPr>
              <w:t>[R</w:t>
            </w:r>
            <w:r>
              <w:rPr>
                <w:rFonts w:ascii="Times New Roman" w:hAnsi="Times New Roman"/>
                <w:color w:themeColor="background1" w:val="FFFFFF"/>
                <w:sz w:val="16"/>
              </w:rPr>
              <w:t>EGDATESTAMP]</w:t>
            </w:r>
          </w:p>
        </w:tc>
        <w:tc>
          <w:tcPr>
            <w:tcW w:type="dxa" w:w="486"/>
            <w:tcBorders>
              <w:top w:color="000000" w:val="nil"/>
              <w:left w:color="000000" w:val="nil"/>
              <w:bottom w:color="000000" w:val="nil"/>
              <w:right w:color="000000" w:val="nil"/>
              <w:tl2br w:color="000000" w:val="nil"/>
              <w:tr2bl w:color="000000" w:val="nil"/>
            </w:tcBorders>
          </w:tcPr>
          <w:p w14:paraId="39000000">
            <w:pPr>
              <w:spacing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type="dxa" w:w="1701"/>
            <w:tcBorders>
              <w:top w:color="000000" w:val="nil"/>
              <w:left w:color="000000" w:val="nil"/>
              <w:bottom w:color="000000" w:val="nil"/>
              <w:right w:color="000000" w:val="nil"/>
              <w:tl2br w:color="000000" w:val="nil"/>
              <w:tr2bl w:color="000000" w:val="nil"/>
            </w:tcBorders>
          </w:tcPr>
          <w:p w14:paraId="3A000000">
            <w:pPr>
              <w:spacing w:after="60"/>
              <w:ind w:hanging="8079" w:left="8079"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ascii="Times New Roman" w:hAnsi="Times New Roman"/>
                <w:color w:themeColor="background1" w:val="FFFFFF"/>
                <w:sz w:val="28"/>
              </w:rPr>
              <w:t>[R</w:t>
            </w:r>
            <w:r>
              <w:rPr>
                <w:rFonts w:ascii="Times New Roman" w:hAnsi="Times New Roman"/>
                <w:color w:themeColor="background1" w:val="FFFFFF"/>
                <w:sz w:val="16"/>
              </w:rPr>
              <w:t>EGNUMSTAMP]</w:t>
            </w:r>
          </w:p>
        </w:tc>
      </w:tr>
    </w:tbl>
    <w:p w14:paraId="3B000000">
      <w:pPr>
        <w:spacing w:after="0" w:line="240" w:lineRule="auto"/>
        <w:ind/>
        <w:jc w:val="both"/>
        <w:rPr>
          <w:rFonts w:ascii="Times New Roman" w:hAnsi="Times New Roman"/>
        </w:rPr>
      </w:pPr>
    </w:p>
    <w:p w14:paraId="3C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Изменени</w:t>
      </w:r>
      <w:r>
        <w:rPr>
          <w:rFonts w:ascii="Times New Roman" w:hAnsi="Times New Roman"/>
          <w:sz w:val="28"/>
        </w:rPr>
        <w:t>я</w:t>
      </w:r>
    </w:p>
    <w:p w14:paraId="3D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 xml:space="preserve">приложение к </w:t>
      </w:r>
      <w:r>
        <w:rPr>
          <w:rFonts w:ascii="Times New Roman" w:hAnsi="Times New Roman"/>
          <w:sz w:val="28"/>
        </w:rPr>
        <w:t>постановлению</w:t>
      </w:r>
      <w:r>
        <w:rPr>
          <w:rFonts w:ascii="Times New Roman" w:hAnsi="Times New Roman"/>
          <w:sz w:val="28"/>
        </w:rPr>
        <w:t xml:space="preserve"> Правительства Камчатского края от 1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.11.2008 № 3</w:t>
      </w:r>
      <w:r>
        <w:rPr>
          <w:rFonts w:ascii="Times New Roman" w:hAnsi="Times New Roman"/>
          <w:sz w:val="28"/>
        </w:rPr>
        <w:t>70</w:t>
      </w:r>
      <w:r>
        <w:rPr>
          <w:rFonts w:ascii="Times New Roman" w:hAnsi="Times New Roman"/>
          <w:sz w:val="28"/>
        </w:rPr>
        <w:t>-П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>Об утверждении Примерного положения о системе оплаты труда работников краевых государственных учреждений, подведомственных Министерству культуры Камчатского края</w:t>
      </w:r>
      <w:r>
        <w:rPr>
          <w:rFonts w:ascii="Times New Roman" w:hAnsi="Times New Roman"/>
          <w:sz w:val="28"/>
        </w:rPr>
        <w:t>»</w:t>
      </w:r>
    </w:p>
    <w:p w14:paraId="3E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F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Часть</w:t>
      </w:r>
      <w:r>
        <w:rPr>
          <w:rFonts w:ascii="Times New Roman" w:hAnsi="Times New Roman"/>
          <w:sz w:val="28"/>
        </w:rPr>
        <w:t xml:space="preserve"> 1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изложить в следующей редакции: </w:t>
      </w:r>
    </w:p>
    <w:p w14:paraId="40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Примерное положение о системе оплаты труда работников краевых государственных учреждений, подведомственных Министерству культуры Камчатского края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(далее соответственно – Примерное положение, работники, учреждение),</w:t>
      </w:r>
      <w:r>
        <w:rPr>
          <w:rFonts w:ascii="Times New Roman" w:hAnsi="Times New Roman"/>
          <w:sz w:val="28"/>
        </w:rPr>
        <w:t xml:space="preserve"> разработано в соответствии со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"consultantplus://offline/ref=05562F3161010766039BACF75C9ABCA2787D6DE4162059C287B1001806A630F7513C07A1D53AFE5CECDFDF4512275D7D9C55A2D7EBWEDFW"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статьями 135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и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"consultantplus://offline/ref=05562F3161010766039BACF75C9ABCA2787D6DE4162059C287B1001806A630F7513C07A1D836FE5CECDFDF4512275D7D9C55A2D7EBWEDFW"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144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Трудового кодекса Российской Федерации,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"consultantplus://offline/ref=05562F3161010766039BB2FA4AF6E0A67A7431EA14275A97DCE6064F59F636A2117C01F3817BA005BC9A94481238417D9FW4D8W"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Постановлением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Правительства Камчатского края от 21.07.2008 № 221-П «О подготовке к введению отраслевых систем </w:t>
      </w:r>
      <w:r>
        <w:rPr>
          <w:rFonts w:ascii="Times New Roman" w:hAnsi="Times New Roman"/>
          <w:color w:val="000000"/>
          <w:sz w:val="28"/>
        </w:rPr>
        <w:t>оплаты труда работников государственных учреждений Камчатского края» и включает в себя:</w:t>
      </w:r>
    </w:p>
    <w:p w14:paraId="41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порядок и условия оплаты труда работников </w:t>
      </w:r>
      <w:r>
        <w:rPr>
          <w:rFonts w:ascii="Times New Roman" w:hAnsi="Times New Roman"/>
          <w:color w:val="000000"/>
          <w:sz w:val="28"/>
        </w:rPr>
        <w:t>учреждений;</w:t>
      </w:r>
    </w:p>
    <w:p w14:paraId="42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2) 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условия оплаты труда руководител</w:t>
      </w:r>
      <w:r>
        <w:rPr>
          <w:rFonts w:ascii="Times New Roman" w:hAnsi="Times New Roman"/>
          <w:color w:val="000000"/>
          <w:sz w:val="28"/>
        </w:rPr>
        <w:t>я</w:t>
      </w:r>
      <w:r>
        <w:rPr>
          <w:rFonts w:ascii="Times New Roman" w:hAnsi="Times New Roman"/>
          <w:color w:val="000000"/>
          <w:sz w:val="28"/>
        </w:rPr>
        <w:t xml:space="preserve"> учреждения, заместителя руководителя учреждения, главного бухгалтера;</w:t>
      </w:r>
    </w:p>
    <w:p w14:paraId="43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3) индивидуальные условия оплаты труда отдельных работников учреждения;</w:t>
      </w:r>
    </w:p>
    <w:p w14:paraId="44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4) порядок и ус</w:t>
      </w:r>
      <w:r>
        <w:rPr>
          <w:rFonts w:ascii="Times New Roman" w:hAnsi="Times New Roman"/>
          <w:sz w:val="28"/>
        </w:rPr>
        <w:t>ловия выплат компенсационного характера;</w:t>
      </w:r>
    </w:p>
    <w:p w14:paraId="45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 </w:t>
      </w:r>
      <w:r>
        <w:rPr>
          <w:rFonts w:ascii="Times New Roman" w:hAnsi="Times New Roman"/>
          <w:sz w:val="28"/>
        </w:rPr>
        <w:t>порядок и условия выплат стимулирующего характера.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.</w:t>
      </w:r>
    </w:p>
    <w:p w14:paraId="46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Дополнить частью 1</w:t>
      </w:r>
      <w:r>
        <w:rPr>
          <w:rFonts w:ascii="Times New Roman" w:hAnsi="Times New Roman"/>
          <w:sz w:val="28"/>
          <w:vertAlign w:val="superscript"/>
        </w:rPr>
        <w:t>1</w:t>
      </w:r>
      <w:r>
        <w:rPr>
          <w:rFonts w:ascii="Times New Roman" w:hAnsi="Times New Roman"/>
          <w:sz w:val="28"/>
        </w:rPr>
        <w:t xml:space="preserve"> следующего содержания:</w:t>
      </w:r>
    </w:p>
    <w:p w14:paraId="47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  <w:vertAlign w:val="superscript"/>
        </w:rPr>
        <w:t>1</w:t>
      </w:r>
      <w:r>
        <w:rPr>
          <w:rFonts w:ascii="Times New Roman" w:hAnsi="Times New Roman"/>
          <w:color w:val="000000"/>
          <w:sz w:val="28"/>
        </w:rPr>
        <w:t xml:space="preserve">. </w:t>
      </w:r>
      <w:r>
        <w:rPr>
          <w:rFonts w:ascii="Times New Roman" w:hAnsi="Times New Roman"/>
          <w:b w:val="0"/>
          <w:color w:val="000000"/>
          <w:sz w:val="28"/>
        </w:rPr>
        <w:t>Системы оплаты труда работников учреждений, включающие размеры</w:t>
      </w:r>
      <w:r>
        <w:rPr>
          <w:rFonts w:ascii="Times New Roman" w:hAnsi="Times New Roman"/>
          <w:b w:val="0"/>
          <w:sz w:val="28"/>
        </w:rPr>
        <w:t xml:space="preserve"> основных окладов (основных должностных окладов)</w:t>
      </w:r>
      <w:r>
        <w:rPr>
          <w:rFonts w:ascii="Times New Roman" w:hAnsi="Times New Roman"/>
          <w:b w:val="0"/>
          <w:sz w:val="28"/>
        </w:rPr>
        <w:t>, основных ставок заработной платы, выплаты компенсационного и стимулирующего характера, устанавливаются коллективными договорами, соглашениями, локальными н</w:t>
      </w:r>
      <w:r>
        <w:rPr>
          <w:rFonts w:ascii="Times New Roman" w:hAnsi="Times New Roman"/>
          <w:b w:val="0"/>
          <w:sz w:val="28"/>
        </w:rPr>
        <w:t>ормативными актами в соответствии с федеральными законами, иными нормативными правовыми актами Российской Федерации, законами и иными нормативными правовыми актами Камчатского края, содержащими нормы трудового права, а также настоящим Примерным положением.</w:t>
      </w:r>
      <w:r>
        <w:rPr>
          <w:rFonts w:ascii="Times New Roman" w:hAnsi="Times New Roman"/>
          <w:sz w:val="28"/>
        </w:rPr>
        <w:t>».</w:t>
      </w:r>
    </w:p>
    <w:p w14:paraId="48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Часть 4 дополнить абзацем третьим следующего содержания:</w:t>
      </w:r>
    </w:p>
    <w:p w14:paraId="49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Размеры окладов (должностных окладов), выплат компенсационного и стимулирующего характера устанавливаются в пределах фонда оплаты труда учреждения.</w:t>
      </w:r>
      <w:r>
        <w:rPr>
          <w:rFonts w:ascii="Times New Roman" w:hAnsi="Times New Roman"/>
          <w:sz w:val="28"/>
        </w:rPr>
        <w:t>».</w:t>
      </w:r>
    </w:p>
    <w:p w14:paraId="4A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Дополнить частями 4</w:t>
      </w:r>
      <w:r>
        <w:rPr>
          <w:rFonts w:ascii="Times New Roman" w:hAnsi="Times New Roman"/>
          <w:sz w:val="28"/>
          <w:vertAlign w:val="superscript"/>
        </w:rPr>
        <w:t>1</w:t>
      </w:r>
      <w:r>
        <w:rPr>
          <w:rFonts w:ascii="Times New Roman" w:hAnsi="Times New Roman"/>
          <w:sz w:val="28"/>
        </w:rPr>
        <w:t xml:space="preserve"> и 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  <w:vertAlign w:val="superscript"/>
        </w:rPr>
        <w:t>2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следующего содержания:</w:t>
      </w:r>
    </w:p>
    <w:p w14:paraId="4B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  <w:vertAlign w:val="superscript"/>
        </w:rPr>
        <w:t>1</w:t>
      </w:r>
      <w:r>
        <w:rPr>
          <w:rFonts w:ascii="Times New Roman" w:hAnsi="Times New Roman"/>
          <w:sz w:val="28"/>
        </w:rPr>
        <w:t xml:space="preserve">. Заработная плата каждого работника зависит от его квалификации, сложности выполняемой </w:t>
      </w:r>
      <w:r>
        <w:rPr>
          <w:rFonts w:ascii="Times New Roman" w:hAnsi="Times New Roman"/>
          <w:sz w:val="28"/>
        </w:rPr>
        <w:t xml:space="preserve">работы, количества и качества затраченного труда и максимальным размером не ограничивается, за </w:t>
      </w:r>
      <w:r>
        <w:rPr>
          <w:rFonts w:ascii="Times New Roman" w:hAnsi="Times New Roman"/>
          <w:sz w:val="28"/>
        </w:rPr>
        <w:t>исключением случаев, предусмотренных Трудовым кодексом Российской Федерации.</w:t>
      </w:r>
    </w:p>
    <w:p w14:paraId="4C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этом заработная плата работников (без учета премий и иных выплат стимулирующего </w:t>
      </w:r>
      <w:r>
        <w:rPr>
          <w:rFonts w:ascii="Times New Roman" w:hAnsi="Times New Roman"/>
          <w:sz w:val="28"/>
        </w:rPr>
        <w:t xml:space="preserve">характера) при изменении системы оплаты труда не может быть меньше заработной платы (без учета </w:t>
      </w:r>
      <w:r>
        <w:rPr>
          <w:rFonts w:ascii="Times New Roman" w:hAnsi="Times New Roman"/>
          <w:sz w:val="28"/>
        </w:rPr>
        <w:t xml:space="preserve">премий и иных выплат </w:t>
      </w:r>
      <w:r>
        <w:rPr>
          <w:rFonts w:ascii="Times New Roman" w:hAnsi="Times New Roman"/>
          <w:sz w:val="28"/>
        </w:rPr>
        <w:t xml:space="preserve">стимулирующего характера), выплачиваемой работникам до ее изменения, при </w:t>
      </w:r>
      <w:r>
        <w:rPr>
          <w:rFonts w:ascii="Times New Roman" w:hAnsi="Times New Roman"/>
          <w:sz w:val="28"/>
        </w:rPr>
        <w:t xml:space="preserve">условии сохранения объема трудовых (должностных) обязанностей работников и выполнения ими работ </w:t>
      </w:r>
      <w:r>
        <w:rPr>
          <w:rFonts w:ascii="Times New Roman" w:hAnsi="Times New Roman"/>
          <w:sz w:val="28"/>
        </w:rPr>
        <w:t>той же квалификации.</w:t>
      </w:r>
    </w:p>
    <w:p w14:paraId="4D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  <w:vertAlign w:val="superscript"/>
        </w:rPr>
        <w:t>2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Заработная плата работников </w:t>
      </w:r>
      <w:r>
        <w:rPr>
          <w:rFonts w:ascii="Times New Roman" w:hAnsi="Times New Roman"/>
          <w:sz w:val="28"/>
        </w:rPr>
        <w:t>не может быть ниже размера, установленного региональным соглашением</w:t>
      </w:r>
      <w:r>
        <w:rPr>
          <w:rFonts w:ascii="Times New Roman" w:hAnsi="Times New Roman"/>
          <w:sz w:val="28"/>
        </w:rPr>
        <w:t xml:space="preserve"> о минимальной заработной плате в Камчатском крае.</w:t>
      </w:r>
      <w:r>
        <w:rPr>
          <w:rFonts w:ascii="Times New Roman" w:hAnsi="Times New Roman"/>
          <w:sz w:val="28"/>
        </w:rPr>
        <w:t>».</w:t>
      </w:r>
    </w:p>
    <w:p w14:paraId="4E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Дополнить частью 8</w:t>
      </w:r>
      <w:r>
        <w:rPr>
          <w:rFonts w:ascii="Times New Roman" w:hAnsi="Times New Roman"/>
          <w:sz w:val="28"/>
          <w:vertAlign w:val="superscript"/>
        </w:rPr>
        <w:t>1</w:t>
      </w:r>
      <w:r>
        <w:rPr>
          <w:rFonts w:ascii="Times New Roman" w:hAnsi="Times New Roman"/>
          <w:sz w:val="28"/>
        </w:rPr>
        <w:t xml:space="preserve"> следующего содержания:</w:t>
      </w:r>
    </w:p>
    <w:p w14:paraId="4F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  <w:vertAlign w:val="superscript"/>
        </w:rPr>
        <w:t>1</w:t>
      </w:r>
      <w:r>
        <w:rPr>
          <w:rFonts w:ascii="Times New Roman" w:hAnsi="Times New Roman"/>
          <w:sz w:val="28"/>
        </w:rPr>
        <w:t>. Ф</w:t>
      </w:r>
      <w:r>
        <w:rPr>
          <w:rFonts w:ascii="Times New Roman" w:hAnsi="Times New Roman"/>
          <w:sz w:val="28"/>
        </w:rPr>
        <w:t xml:space="preserve">иксированный размер оклада (должностного оклада), размеры и условия установления выплат компенсационного и </w:t>
      </w:r>
      <w:r>
        <w:rPr>
          <w:rFonts w:ascii="Times New Roman" w:hAnsi="Times New Roman"/>
          <w:sz w:val="28"/>
        </w:rPr>
        <w:t xml:space="preserve">стимулирующего характера предусматриваются в трудовом договоре с работником (дополнительном </w:t>
      </w:r>
      <w:r>
        <w:rPr>
          <w:rFonts w:ascii="Times New Roman" w:hAnsi="Times New Roman"/>
          <w:sz w:val="28"/>
        </w:rPr>
        <w:t>соглашении к трудовому договору).</w:t>
      </w:r>
      <w:r>
        <w:rPr>
          <w:rFonts w:ascii="Times New Roman" w:hAnsi="Times New Roman"/>
          <w:sz w:val="28"/>
        </w:rPr>
        <w:t>».</w:t>
      </w:r>
    </w:p>
    <w:p w14:paraId="50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Часть 9 изложить в следующей редакции:</w:t>
      </w:r>
    </w:p>
    <w:p w14:paraId="51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b w:val="0"/>
          <w:sz w:val="28"/>
        </w:rPr>
        <w:t>9. Системы оплаты труда работников уч</w:t>
      </w:r>
      <w:r>
        <w:rPr>
          <w:rFonts w:ascii="Times New Roman" w:hAnsi="Times New Roman"/>
          <w:b w:val="0"/>
          <w:sz w:val="28"/>
        </w:rPr>
        <w:t>реждений устанавливаются с учетом:</w:t>
      </w:r>
    </w:p>
    <w:p w14:paraId="52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1) единого тарифно-квалификационного справочника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работ и профессий рабочих;</w:t>
      </w:r>
    </w:p>
    <w:p w14:paraId="53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2) единого квалификационного справочника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должностей руководителей, специалистов и служащих или профессиональных стандартов;</w:t>
      </w:r>
    </w:p>
    <w:p w14:paraId="54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3) государственных гарантий по оплате труда;</w:t>
      </w:r>
    </w:p>
    <w:p w14:paraId="55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4) основных окладов (основных должностных окладов), основных ставок заработной платы по профессиональным квалификационным группам;</w:t>
      </w:r>
    </w:p>
    <w:p w14:paraId="56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5) примерного перечня видов выплат компенсационного характера в учреждениях;</w:t>
      </w:r>
    </w:p>
    <w:p w14:paraId="57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6) примерного перечня видов выплат стимулирующего характера в учреждениях;</w:t>
      </w:r>
    </w:p>
    <w:p w14:paraId="58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7) порядка установления выплат компенсационного и стимулирующего характера в учреждениях;</w:t>
      </w:r>
    </w:p>
    <w:p w14:paraId="59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8) е</w:t>
      </w:r>
      <w:r>
        <w:rPr>
          <w:rFonts w:ascii="Times New Roman" w:hAnsi="Times New Roman"/>
          <w:color w:val="000000"/>
          <w:sz w:val="28"/>
        </w:rPr>
        <w:t xml:space="preserve">диных рекомендаций по установлению на федеральном, региональном и местном уровнях </w:t>
      </w:r>
      <w:r>
        <w:rPr>
          <w:rFonts w:ascii="Times New Roman" w:hAnsi="Times New Roman"/>
          <w:color w:val="000000"/>
          <w:sz w:val="28"/>
        </w:rPr>
        <w:t xml:space="preserve">систем оплаты труда работников государственных и муниципальных учреждений, утвержденных </w:t>
      </w:r>
      <w:r>
        <w:rPr>
          <w:rFonts w:ascii="Times New Roman" w:hAnsi="Times New Roman"/>
          <w:color w:val="000000"/>
          <w:sz w:val="28"/>
        </w:rPr>
        <w:t>решением Российской трехсторонней комиссии по регулированию социально-трудовых отношений</w:t>
      </w:r>
      <w:r>
        <w:rPr>
          <w:rFonts w:ascii="Times New Roman" w:hAnsi="Times New Roman"/>
          <w:b w:val="0"/>
          <w:color w:val="000000"/>
          <w:sz w:val="28"/>
        </w:rPr>
        <w:t>;</w:t>
      </w:r>
    </w:p>
    <w:p w14:paraId="5A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9) Примерного положения;</w:t>
      </w:r>
    </w:p>
    <w:p w14:paraId="5B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10) мнения представительного органа работников.</w:t>
      </w:r>
    </w:p>
    <w:p w14:paraId="5C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11) </w:t>
      </w:r>
      <w:r>
        <w:rPr>
          <w:rFonts w:ascii="Times New Roman" w:hAnsi="Times New Roman"/>
          <w:sz w:val="28"/>
        </w:rPr>
        <w:t>систем нормирования труда, определяемых работодателем с учетом мнения представительного органа работников или устанавливаемых к</w:t>
      </w:r>
      <w:r>
        <w:rPr>
          <w:rFonts w:ascii="Times New Roman" w:hAnsi="Times New Roman"/>
          <w:sz w:val="28"/>
        </w:rPr>
        <w:t>оллективным договором на основе типовых норм труда для однородных работ (межотраслевых, отраслевых и иных норм труда, включая нормы времени, нормы выработки, нормативы численности, рекомендуемые штатные нормативы, нормы обслуживания и другие типовые нормы)</w:t>
      </w:r>
      <w:r>
        <w:rPr>
          <w:rFonts w:ascii="Times New Roman" w:hAnsi="Times New Roman"/>
          <w:b w:val="0"/>
          <w:sz w:val="28"/>
        </w:rPr>
        <w:t>.</w:t>
      </w:r>
    </w:p>
    <w:p w14:paraId="5D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Нормы часов педагогической и (или) преподавательской работы за ставку заработной платы педагогических работников и порядок определения учебной нагрузки педагогических работников устанавливаются в соответствии с </w:t>
      </w:r>
      <w:r>
        <w:rPr>
          <w:rFonts w:ascii="Times New Roman" w:hAnsi="Times New Roman"/>
          <w:color w:val="000000"/>
          <w:sz w:val="28"/>
        </w:rPr>
        <w:fldChar w:fldCharType="begin"/>
      </w:r>
      <w:r>
        <w:rPr>
          <w:rFonts w:ascii="Times New Roman" w:hAnsi="Times New Roman"/>
          <w:color w:val="000000"/>
          <w:sz w:val="28"/>
        </w:rPr>
        <w:instrText>HYPERLINK "https://login.consultant.ru/link/?req=doc&amp;base=LAW&amp;n=325102&amp;date=17.09.2026Опродолжительностирабочеговремени(нормахчасовпедагогическойработызаставкузаработнойплаты)педагогическихработниковиопорядкеопределенияучебнойнагрузкипедагогическихработников,оговариваемойвтрудовомдоговоре(Зарегистрировано в Минюсте России 25.02.2015 N 36204) ------------ Утратил силу или отменен {КонсультантПлюс}" \o "Приказ Минобрнауки России от 22.12.2014 N 1601 (ред. от 13.05.2019)"</w:instrText>
      </w:r>
      <w:r>
        <w:rPr>
          <w:rFonts w:ascii="Times New Roman" w:hAnsi="Times New Roman"/>
          <w:color w:val="000000"/>
          <w:sz w:val="28"/>
        </w:rPr>
        <w:fldChar w:fldCharType="separate"/>
      </w:r>
      <w:r>
        <w:rPr>
          <w:rFonts w:ascii="Times New Roman" w:hAnsi="Times New Roman"/>
          <w:color w:val="000000"/>
          <w:sz w:val="28"/>
        </w:rPr>
        <w:t>приказом</w:t>
      </w:r>
      <w:r>
        <w:rPr>
          <w:rFonts w:ascii="Times New Roman" w:hAnsi="Times New Roman"/>
          <w:color w:val="000000"/>
          <w:sz w:val="28"/>
        </w:rPr>
        <w:fldChar w:fldCharType="end"/>
      </w:r>
      <w:r>
        <w:rPr>
          <w:rFonts w:ascii="Times New Roman" w:hAnsi="Times New Roman"/>
          <w:color w:val="000000"/>
          <w:sz w:val="28"/>
        </w:rPr>
        <w:t xml:space="preserve"> Министерства образования и науки Российской Федера</w:t>
      </w:r>
      <w:r>
        <w:rPr>
          <w:rFonts w:ascii="Times New Roman" w:hAnsi="Times New Roman"/>
          <w:color w:val="000000"/>
          <w:sz w:val="28"/>
        </w:rPr>
        <w:t>ции от 22.12.2014 № 1601 «О продолжительности рабочего времени (нормах часов педагогической работы за ставку заработной платы) педагогических</w:t>
      </w:r>
      <w:r>
        <w:rPr>
          <w:rFonts w:ascii="Times New Roman" w:hAnsi="Times New Roman"/>
          <w:color w:val="000000"/>
          <w:sz w:val="28"/>
        </w:rPr>
        <w:t xml:space="preserve"> работников и о порядке определения учебной нагрузки педагогических работников, оговариваемой в трудовом договоре».</w:t>
      </w:r>
      <w:r>
        <w:rPr>
          <w:color w:val="000000"/>
          <w:sz w:val="24"/>
        </w:rPr>
        <w:t xml:space="preserve"> </w:t>
      </w:r>
      <w:r>
        <w:rPr>
          <w:rFonts w:ascii="Times New Roman" w:hAnsi="Times New Roman"/>
          <w:sz w:val="28"/>
        </w:rPr>
        <w:t>».</w:t>
      </w:r>
    </w:p>
    <w:p w14:paraId="5E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Часть 9</w:t>
      </w:r>
      <w:r>
        <w:rPr>
          <w:rFonts w:ascii="Times New Roman" w:hAnsi="Times New Roman"/>
          <w:sz w:val="28"/>
          <w:vertAlign w:val="superscript"/>
        </w:rPr>
        <w:t>1</w:t>
      </w:r>
      <w:r>
        <w:rPr>
          <w:rFonts w:ascii="Times New Roman" w:hAnsi="Times New Roman"/>
          <w:sz w:val="28"/>
        </w:rPr>
        <w:t xml:space="preserve"> признать утратившей силу.</w:t>
      </w:r>
    </w:p>
    <w:p w14:paraId="5F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 Часть 10 изложить в следующей редакции:</w:t>
      </w:r>
    </w:p>
    <w:p w14:paraId="60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 xml:space="preserve">10. </w:t>
      </w:r>
      <w:r>
        <w:rPr>
          <w:rFonts w:ascii="Times New Roman" w:hAnsi="Times New Roman"/>
          <w:sz w:val="28"/>
        </w:rPr>
        <w:t xml:space="preserve">Размеры окладов, ставок заработной платы работников учреждения устанавливаются с учетом </w:t>
      </w:r>
      <w:r>
        <w:rPr>
          <w:rFonts w:ascii="Times New Roman" w:hAnsi="Times New Roman"/>
          <w:sz w:val="28"/>
        </w:rPr>
        <w:t xml:space="preserve">требований к профессиональной подготовке и уровню квалификации, необходимых для осуществления </w:t>
      </w:r>
      <w:r>
        <w:rPr>
          <w:rFonts w:ascii="Times New Roman" w:hAnsi="Times New Roman"/>
          <w:sz w:val="28"/>
        </w:rPr>
        <w:t>соответствующей профессиональной деятельности.</w:t>
      </w:r>
    </w:p>
    <w:p w14:paraId="61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должностям служащих – на основе отнесения занимаемых ими должностей к следующим </w:t>
      </w:r>
      <w:r>
        <w:rPr>
          <w:rFonts w:ascii="Times New Roman" w:hAnsi="Times New Roman"/>
          <w:sz w:val="28"/>
        </w:rPr>
        <w:t>профессиональным квалификационным группам (далее – ПКГ):</w:t>
      </w:r>
    </w:p>
    <w:p w14:paraId="62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1) </w:t>
      </w:r>
      <w:r>
        <w:rPr>
          <w:rFonts w:ascii="Times New Roman" w:hAnsi="Times New Roman"/>
          <w:color w:val="000000"/>
          <w:sz w:val="28"/>
        </w:rPr>
        <w:t>работников культуры и искусства – утвержденным</w:t>
      </w:r>
      <w:r>
        <w:rPr>
          <w:rFonts w:ascii="Times New Roman" w:hAnsi="Times New Roman"/>
          <w:color w:val="000000"/>
          <w:sz w:val="28"/>
        </w:rPr>
        <w:t xml:space="preserve"> приказом</w:t>
      </w:r>
      <w:r>
        <w:rPr>
          <w:rFonts w:ascii="Times New Roman" w:hAnsi="Times New Roman"/>
          <w:color w:val="000000"/>
          <w:sz w:val="28"/>
        </w:rPr>
        <w:t xml:space="preserve"> Министерства здравоохранения и социального развития Росс</w:t>
      </w:r>
      <w:r>
        <w:rPr>
          <w:rFonts w:ascii="Times New Roman" w:hAnsi="Times New Roman"/>
          <w:color w:val="000000"/>
          <w:sz w:val="28"/>
        </w:rPr>
        <w:t>ийской Федерации от 31.08.2007 № 570 «Об утверждении профессиональных квалификационных групп должностей работников культуры, искусства и кинематографии»:</w:t>
      </w:r>
    </w:p>
    <w:p w14:paraId="63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2) </w:t>
      </w:r>
      <w:r>
        <w:rPr>
          <w:rFonts w:ascii="Times New Roman" w:hAnsi="Times New Roman"/>
          <w:color w:val="000000"/>
          <w:sz w:val="28"/>
        </w:rPr>
        <w:t xml:space="preserve">работников образования – утвержденным  приказом </w:t>
      </w:r>
      <w:r>
        <w:rPr>
          <w:rFonts w:ascii="Times New Roman" w:hAnsi="Times New Roman"/>
          <w:color w:val="000000"/>
          <w:sz w:val="28"/>
        </w:rPr>
        <w:t>Министерства здравоохранения и социального развития Российской Федерации от 05.05.2008 № 216н «Об утверждении профессиональных квалификационных групп должностей работников образования»;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64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3) </w:t>
      </w:r>
      <w:r>
        <w:rPr>
          <w:rFonts w:ascii="Times New Roman" w:hAnsi="Times New Roman"/>
          <w:color w:val="000000"/>
          <w:sz w:val="28"/>
        </w:rPr>
        <w:t xml:space="preserve">работников сферы научных исследований и разработок – утвержденным </w:t>
      </w:r>
      <w:r>
        <w:rPr>
          <w:rFonts w:ascii="Times New Roman" w:hAnsi="Times New Roman"/>
          <w:color w:val="000000"/>
          <w:sz w:val="28"/>
        </w:rPr>
        <w:t xml:space="preserve">приказом </w:t>
      </w:r>
      <w:r>
        <w:rPr>
          <w:rFonts w:ascii="Times New Roman" w:hAnsi="Times New Roman"/>
          <w:color w:val="000000"/>
          <w:sz w:val="28"/>
        </w:rPr>
        <w:t>Министерства здравоохранения и социального развития Российской Федерации от 03.07.2008 № 305н «Об утверждении профессиональных квалификационных групп должностей работников сферы научных исследований и разработок»;</w:t>
      </w:r>
    </w:p>
    <w:p w14:paraId="65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4) работников высшего и дополнительного профессионального образования – утвержденным приказом </w:t>
      </w:r>
      <w:r>
        <w:rPr>
          <w:rFonts w:ascii="Times New Roman" w:hAnsi="Times New Roman"/>
          <w:color w:val="000000"/>
          <w:sz w:val="28"/>
        </w:rPr>
        <w:t>Министерства здравоохранения и социального развития Российской Федерации от 05.05.2008 № 217н</w:t>
      </w:r>
      <w:r>
        <w:br/>
      </w:r>
      <w:r>
        <w:rPr>
          <w:rFonts w:ascii="Times New Roman" w:hAnsi="Times New Roman"/>
          <w:color w:val="000000"/>
          <w:sz w:val="28"/>
        </w:rPr>
        <w:t>«Об утверждении профессиональных квалификационных групп должностей работников высшего и дополнительного профессионального образования</w:t>
      </w:r>
      <w:r>
        <w:rPr>
          <w:rFonts w:ascii="Times New Roman" w:hAnsi="Times New Roman"/>
          <w:color w:val="000000"/>
          <w:sz w:val="28"/>
        </w:rPr>
        <w:t>»;</w:t>
      </w:r>
    </w:p>
    <w:p w14:paraId="66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5) 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руководителей, специалистов и служащих общеотраслевых должностей – утвержденным приказом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Министерства здравоохранения и социального развития Российской Федерации от 29.05.2008 № 247н</w:t>
      </w:r>
      <w:r>
        <w:br/>
      </w:r>
      <w:r>
        <w:rPr>
          <w:rFonts w:ascii="Times New Roman" w:hAnsi="Times New Roman"/>
          <w:color w:val="000000"/>
          <w:sz w:val="28"/>
        </w:rPr>
        <w:t>«Об утверждении профессиональных квалификационных г</w:t>
      </w:r>
      <w:r>
        <w:rPr>
          <w:rFonts w:ascii="Times New Roman" w:hAnsi="Times New Roman"/>
          <w:color w:val="000000"/>
          <w:sz w:val="28"/>
        </w:rPr>
        <w:t xml:space="preserve">рупп общеотраслевых должностей руководителей, специалистов и служащих», </w:t>
      </w:r>
      <w:r>
        <w:rPr>
          <w:rFonts w:ascii="Times New Roman" w:hAnsi="Times New Roman"/>
          <w:sz w:val="28"/>
        </w:rPr>
        <w:t xml:space="preserve">также ПКГ других отраслей, необходимых </w:t>
      </w:r>
      <w:r>
        <w:rPr>
          <w:rFonts w:ascii="Times New Roman" w:hAnsi="Times New Roman"/>
          <w:sz w:val="28"/>
        </w:rPr>
        <w:t xml:space="preserve">для выполнения целей и задач, определенных уставом учреждения и выполнения государственного </w:t>
      </w:r>
      <w:r>
        <w:rPr>
          <w:rFonts w:ascii="Times New Roman" w:hAnsi="Times New Roman"/>
          <w:sz w:val="28"/>
        </w:rPr>
        <w:t xml:space="preserve">задания, с учетом обеспечения дифференциации размеров окладов по должностям служащих, </w:t>
      </w:r>
      <w:r>
        <w:rPr>
          <w:rFonts w:ascii="Times New Roman" w:hAnsi="Times New Roman"/>
          <w:sz w:val="28"/>
        </w:rPr>
        <w:t>относимых к основному персоналу, и по общеотраслевым должностям.</w:t>
      </w:r>
    </w:p>
    <w:p w14:paraId="67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работников, осуществляющих трудовую деятельность по профессиям рабочих, – в </w:t>
      </w:r>
      <w:r>
        <w:rPr>
          <w:rFonts w:ascii="Times New Roman" w:hAnsi="Times New Roman"/>
          <w:sz w:val="28"/>
        </w:rPr>
        <w:t xml:space="preserve">зависимости от разряда выполняемых работ в соответствии с единым тарифно-квалификационным </w:t>
      </w:r>
      <w:r>
        <w:rPr>
          <w:rFonts w:ascii="Times New Roman" w:hAnsi="Times New Roman"/>
          <w:sz w:val="28"/>
        </w:rPr>
        <w:t>справочником работ и профессий рабочих.</w:t>
      </w:r>
      <w:r>
        <w:rPr>
          <w:rFonts w:ascii="Times New Roman" w:hAnsi="Times New Roman"/>
          <w:sz w:val="28"/>
        </w:rPr>
        <w:t>».</w:t>
      </w:r>
    </w:p>
    <w:p w14:paraId="68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Часть 11 признать утратившей силу.</w:t>
      </w:r>
    </w:p>
    <w:p w14:paraId="69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 Часть 14 изложить в следующей редакции:</w:t>
      </w:r>
    </w:p>
    <w:p w14:paraId="6A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«14.</w:t>
      </w:r>
      <w:r>
        <w:rPr>
          <w:rFonts w:ascii="Times New Roman" w:hAnsi="Times New Roman"/>
          <w:sz w:val="28"/>
        </w:rPr>
        <w:t xml:space="preserve"> По должностям служащих размеры должно</w:t>
      </w:r>
      <w:r>
        <w:rPr>
          <w:rFonts w:ascii="Times New Roman" w:hAnsi="Times New Roman"/>
          <w:sz w:val="28"/>
        </w:rPr>
        <w:t>стных окладов, по которым не определены ПКГ, размеры должностных окладов устанавливаются коллективным договором, соглашением, локальным нормативным актом с учетом мнения представительного органа работников в зависимости от сложности труда данных работнико</w:t>
      </w:r>
      <w:r>
        <w:rPr>
          <w:rFonts w:ascii="Times New Roman" w:hAnsi="Times New Roman"/>
          <w:sz w:val="28"/>
        </w:rPr>
        <w:t>в.»</w:t>
      </w:r>
      <w:r>
        <w:rPr>
          <w:rFonts w:ascii="Times New Roman" w:hAnsi="Times New Roman"/>
          <w:strike w:val="0"/>
          <w:sz w:val="28"/>
        </w:rPr>
        <w:t>.</w:t>
      </w:r>
    </w:p>
    <w:p w14:paraId="6B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11.Часть 22 изложить в следующей редакции:</w:t>
      </w:r>
    </w:p>
    <w:p w14:paraId="6C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 xml:space="preserve">22. Заместителям руководителя, главному бухгалтеру учреждения могут устанавливаться следующие выплаты стимулирующего характера, </w:t>
      </w:r>
      <w:r>
        <w:rPr>
          <w:rFonts w:ascii="Times New Roman" w:hAnsi="Times New Roman"/>
          <w:sz w:val="28"/>
        </w:rPr>
        <w:t xml:space="preserve">предусмотренные </w:t>
      </w:r>
      <w:r>
        <w:rPr>
          <w:rFonts w:ascii="Times New Roman" w:hAnsi="Times New Roman"/>
          <w:sz w:val="28"/>
        </w:rPr>
        <w:t>разде</w:t>
      </w:r>
      <w:r>
        <w:rPr>
          <w:rFonts w:ascii="Times New Roman" w:hAnsi="Times New Roman"/>
          <w:sz w:val="28"/>
        </w:rPr>
        <w:t>ло</w:t>
      </w:r>
      <w:r>
        <w:rPr>
          <w:rFonts w:ascii="Times New Roman" w:hAnsi="Times New Roman"/>
          <w:sz w:val="28"/>
        </w:rPr>
        <w:t>м 5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Приме</w:t>
      </w:r>
      <w:r>
        <w:rPr>
          <w:rFonts w:ascii="Times New Roman" w:hAnsi="Times New Roman"/>
          <w:sz w:val="28"/>
        </w:rPr>
        <w:t>рного положения</w:t>
      </w:r>
      <w:r>
        <w:rPr>
          <w:rFonts w:ascii="Times New Roman" w:hAnsi="Times New Roman"/>
          <w:sz w:val="28"/>
        </w:rPr>
        <w:t>:</w:t>
      </w:r>
    </w:p>
    <w:p w14:paraId="6D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1) выплаты за выслугу лет;</w:t>
      </w:r>
    </w:p>
    <w:p w14:paraId="6E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2) выплаты за наличие ученой степени кандидата наук, доктора наук;</w:t>
      </w:r>
    </w:p>
    <w:p w14:paraId="6F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3) премиальные выплаты по итогам работы;</w:t>
      </w:r>
    </w:p>
    <w:p w14:paraId="70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4) премиальные выплаты за многолетний добросовестный труд;</w:t>
      </w:r>
    </w:p>
    <w:p w14:paraId="71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5) </w:t>
      </w:r>
      <w:r>
        <w:rPr>
          <w:rFonts w:ascii="Times New Roman" w:hAnsi="Times New Roman"/>
          <w:sz w:val="28"/>
        </w:rPr>
        <w:t>премиальные выплаты за образцовое качество выполняемых работ;</w:t>
      </w:r>
    </w:p>
    <w:p w14:paraId="72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6) выплаты за наставничество</w:t>
      </w:r>
      <w:r>
        <w:rPr>
          <w:rFonts w:ascii="Times New Roman" w:hAnsi="Times New Roman"/>
          <w:sz w:val="28"/>
        </w:rPr>
        <w:t xml:space="preserve"> в сфере труда.».</w:t>
      </w:r>
    </w:p>
    <w:p w14:paraId="73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12. Части 25–27 изложить в следующей редакции:</w:t>
      </w:r>
    </w:p>
    <w:p w14:paraId="74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«25. </w:t>
      </w:r>
      <w:r>
        <w:rPr>
          <w:rFonts w:ascii="Times New Roman" w:hAnsi="Times New Roman"/>
          <w:b w:val="0"/>
          <w:color w:val="000000"/>
          <w:sz w:val="28"/>
        </w:rPr>
        <w:t>Работникам учреждений могут быть установлены следующие выплаты компенсационного характера:</w:t>
      </w:r>
    </w:p>
    <w:p w14:paraId="75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1) выплаты за работу с вредными и (или) опасными условиями труда;</w:t>
      </w:r>
    </w:p>
    <w:p w14:paraId="76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2) надбавка за работу со сведениями, составляющими государственную тайну;</w:t>
      </w:r>
    </w:p>
    <w:p w14:paraId="77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3) выплаты за работу в условиях, отклоняющихся от нормальных:</w:t>
      </w:r>
    </w:p>
    <w:p w14:paraId="78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а) при совмещении профессий (должностей),</w:t>
      </w:r>
      <w:r>
        <w:rPr>
          <w:rFonts w:ascii="Times New Roman" w:hAnsi="Times New Roman"/>
          <w:b w:val="0"/>
          <w:color w:val="000000"/>
          <w:sz w:val="28"/>
        </w:rPr>
        <w:t xml:space="preserve"> расширении зон обслуживания;</w:t>
      </w:r>
      <w:r>
        <w:rPr>
          <w:rFonts w:ascii="Times New Roman" w:hAnsi="Times New Roman"/>
          <w:b w:val="0"/>
          <w:color w:val="000000"/>
          <w:sz w:val="28"/>
        </w:rPr>
        <w:t>увеличении объема работы или исполнении обязанностей временно отсутствующего работника без освобождения от работы, определенной трудовым договором;</w:t>
      </w:r>
    </w:p>
    <w:p w14:paraId="79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б) при работе в ночное время;</w:t>
      </w:r>
    </w:p>
    <w:p w14:paraId="7A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в</w:t>
      </w:r>
      <w:r>
        <w:rPr>
          <w:rFonts w:ascii="Times New Roman" w:hAnsi="Times New Roman"/>
          <w:b w:val="0"/>
          <w:color w:val="000000"/>
          <w:sz w:val="28"/>
        </w:rPr>
        <w:t>) за работу в выходные и нерабочие праздничные дни;</w:t>
      </w:r>
    </w:p>
    <w:p w14:paraId="7B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г) при сверхурочной работе;</w:t>
      </w:r>
    </w:p>
    <w:p w14:paraId="7C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4) выплаты за работу в местностях с особыми климатическими условиями.</w:t>
      </w:r>
    </w:p>
    <w:p w14:paraId="7D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5) выпл</w:t>
      </w:r>
      <w:r>
        <w:rPr>
          <w:rFonts w:ascii="Times New Roman" w:hAnsi="Times New Roman"/>
          <w:b w:val="0"/>
          <w:color w:val="000000"/>
          <w:sz w:val="28"/>
        </w:rPr>
        <w:t xml:space="preserve">аты </w:t>
      </w:r>
      <w:r>
        <w:rPr>
          <w:rFonts w:ascii="Times New Roman" w:hAnsi="Times New Roman"/>
          <w:color w:val="000000"/>
          <w:sz w:val="28"/>
        </w:rPr>
        <w:t xml:space="preserve">за </w:t>
      </w:r>
      <w:r>
        <w:rPr>
          <w:rFonts w:ascii="Times New Roman" w:hAnsi="Times New Roman"/>
          <w:color w:val="000000"/>
          <w:sz w:val="28"/>
        </w:rPr>
        <w:t>работу в учреждениях культуры, расположенных в сельской местности.</w:t>
      </w:r>
    </w:p>
    <w:p w14:paraId="7E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26. </w:t>
      </w:r>
      <w:r>
        <w:rPr>
          <w:rFonts w:ascii="Times New Roman" w:hAnsi="Times New Roman"/>
          <w:color w:val="000000"/>
          <w:sz w:val="28"/>
        </w:rPr>
        <w:t xml:space="preserve">Надбавка за работу со сведениями, составляющими государственную тайну, устанавливается </w:t>
      </w:r>
      <w:r>
        <w:rPr>
          <w:rFonts w:ascii="Times New Roman" w:hAnsi="Times New Roman"/>
          <w:color w:val="000000"/>
          <w:sz w:val="28"/>
        </w:rPr>
        <w:t xml:space="preserve">в размере и порядке, определенными в соответствии с постановлением Правительства Российской </w:t>
      </w:r>
      <w:r>
        <w:rPr>
          <w:rFonts w:ascii="Times New Roman" w:hAnsi="Times New Roman"/>
          <w:color w:val="000000"/>
          <w:sz w:val="28"/>
        </w:rPr>
        <w:t xml:space="preserve">Федерации от 18.09.2006 № 573 </w:t>
      </w:r>
      <w:r>
        <w:br/>
      </w:r>
      <w:r>
        <w:rPr>
          <w:rFonts w:ascii="Times New Roman" w:hAnsi="Times New Roman"/>
          <w:color w:val="000000"/>
          <w:sz w:val="28"/>
        </w:rPr>
        <w:t xml:space="preserve">«О предоставлении социальных гарантий гражданам, </w:t>
      </w:r>
      <w:r>
        <w:rPr>
          <w:rFonts w:ascii="Times New Roman" w:hAnsi="Times New Roman"/>
          <w:color w:val="000000"/>
          <w:sz w:val="28"/>
        </w:rPr>
        <w:t xml:space="preserve">допущенным к государственной тайне на постоянной основе, и сотрудникам структурных </w:t>
      </w:r>
      <w:r>
        <w:rPr>
          <w:rFonts w:ascii="Times New Roman" w:hAnsi="Times New Roman"/>
          <w:color w:val="000000"/>
          <w:sz w:val="28"/>
        </w:rPr>
        <w:t>подразделений по защите государственной тайны».</w:t>
      </w:r>
    </w:p>
    <w:p w14:paraId="7F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27. </w:t>
      </w:r>
      <w:r>
        <w:rPr>
          <w:rFonts w:ascii="Times New Roman" w:hAnsi="Times New Roman"/>
          <w:b w:val="0"/>
          <w:sz w:val="28"/>
        </w:rPr>
        <w:t>Выплата за работу в сельской местности устанавливается работникам учреждений и (или) их структурных подразделений, расположенных в сельской местности.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Рекомендуемый размер выплат </w:t>
      </w:r>
      <w:r>
        <w:rPr>
          <w:rFonts w:ascii="Times New Roman" w:hAnsi="Times New Roman"/>
          <w:b w:val="0"/>
          <w:sz w:val="28"/>
        </w:rPr>
        <w:t>за работу в сельской местности</w:t>
      </w:r>
      <w:r>
        <w:rPr>
          <w:rFonts w:ascii="Times New Roman" w:hAnsi="Times New Roman"/>
          <w:b w:val="0"/>
          <w:sz w:val="28"/>
        </w:rPr>
        <w:t xml:space="preserve"> не более 25 процентов основного оклада (основного должностного оклада</w:t>
      </w:r>
      <w:r>
        <w:rPr>
          <w:rFonts w:ascii="Times New Roman" w:hAnsi="Times New Roman"/>
          <w:b w:val="0"/>
          <w:color w:val="000000"/>
          <w:sz w:val="28"/>
        </w:rPr>
        <w:t>).</w:t>
      </w:r>
      <w:r>
        <w:rPr>
          <w:rFonts w:ascii="Times New Roman" w:hAnsi="Times New Roman"/>
          <w:b w:val="0"/>
          <w:color w:val="000000"/>
          <w:sz w:val="28"/>
        </w:rPr>
        <w:t>».</w:t>
      </w:r>
    </w:p>
    <w:p w14:paraId="80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13. Часть 28 изложить в следующей редакции:</w:t>
      </w:r>
    </w:p>
    <w:p w14:paraId="81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28.</w:t>
      </w:r>
      <w:r>
        <w:rPr>
          <w:rFonts w:ascii="Times New Roman" w:hAnsi="Times New Roman"/>
          <w:strike w:val="0"/>
          <w:sz w:val="28"/>
        </w:rPr>
        <w:t xml:space="preserve"> Оплата труда работников учреждений, занятых на работах с вредными и (или) опасными условиями труда, производится в повы</w:t>
      </w:r>
      <w:r>
        <w:rPr>
          <w:rFonts w:ascii="Times New Roman" w:hAnsi="Times New Roman"/>
          <w:strike w:val="0"/>
          <w:sz w:val="28"/>
        </w:rPr>
        <w:t>шенном размере, но не ниже минимальных размеров, установленных трудовым законодательством и иными нормативными правовыми актами, содержащими нормы трудового права.</w:t>
      </w:r>
      <w:r>
        <w:rPr>
          <w:rFonts w:ascii="Times New Roman" w:hAnsi="Times New Roman"/>
          <w:sz w:val="28"/>
        </w:rPr>
        <w:t>».</w:t>
      </w:r>
    </w:p>
    <w:p w14:paraId="82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14. Часть 29 изложить в следующей редакции:</w:t>
      </w:r>
    </w:p>
    <w:p w14:paraId="83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trike w:val="0"/>
          <w:sz w:val="28"/>
        </w:rPr>
      </w:pPr>
      <w:r>
        <w:rPr>
          <w:rFonts w:ascii="Times New Roman" w:hAnsi="Times New Roman"/>
          <w:sz w:val="28"/>
        </w:rPr>
        <w:t xml:space="preserve">«29. </w:t>
      </w:r>
      <w:r>
        <w:rPr>
          <w:rFonts w:ascii="Times New Roman" w:hAnsi="Times New Roman"/>
          <w:sz w:val="28"/>
        </w:rPr>
        <w:t xml:space="preserve">Размер повышения оплаты труда работникам, занятым на работах с вредными и (или) опасными </w:t>
      </w:r>
      <w:r>
        <w:rPr>
          <w:rFonts w:ascii="Times New Roman" w:hAnsi="Times New Roman"/>
          <w:sz w:val="28"/>
        </w:rPr>
        <w:t xml:space="preserve">условиями труда, составляет не менее 4 процентов оклада, установленного для различных видов работ с </w:t>
      </w:r>
      <w:r>
        <w:rPr>
          <w:rFonts w:ascii="Times New Roman" w:hAnsi="Times New Roman"/>
          <w:sz w:val="28"/>
        </w:rPr>
        <w:t>нормальными условиями труда.</w:t>
      </w:r>
      <w:r>
        <w:rPr>
          <w:rFonts w:ascii="Times New Roman" w:hAnsi="Times New Roman"/>
          <w:sz w:val="28"/>
        </w:rPr>
        <w:t>».</w:t>
      </w:r>
    </w:p>
    <w:p w14:paraId="84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trike w:val="0"/>
          <w:sz w:val="28"/>
        </w:rPr>
      </w:pPr>
      <w:r>
        <w:rPr>
          <w:rFonts w:ascii="Times New Roman" w:hAnsi="Times New Roman"/>
          <w:strike w:val="0"/>
          <w:sz w:val="28"/>
        </w:rPr>
        <w:t>14. Часть 34 дополнить абзацем вторым следующего содержания:</w:t>
      </w:r>
    </w:p>
    <w:p w14:paraId="85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trike w:val="0"/>
          <w:sz w:val="28"/>
        </w:rPr>
      </w:pPr>
      <w:r>
        <w:rPr>
          <w:rFonts w:ascii="Times New Roman" w:hAnsi="Times New Roman"/>
          <w:strike w:val="0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 xml:space="preserve">Размер доплаты и сроки ее начисления устанавливаются в трудовом договоре (дополнительном </w:t>
      </w:r>
      <w:r>
        <w:rPr>
          <w:rFonts w:ascii="Times New Roman" w:hAnsi="Times New Roman"/>
          <w:color w:val="000000"/>
          <w:sz w:val="28"/>
        </w:rPr>
        <w:t>соглашении к трудовому договору).</w:t>
      </w:r>
      <w:r>
        <w:rPr>
          <w:rFonts w:ascii="Times New Roman" w:hAnsi="Times New Roman"/>
          <w:strike w:val="0"/>
          <w:sz w:val="28"/>
        </w:rPr>
        <w:t>»</w:t>
      </w:r>
    </w:p>
    <w:p w14:paraId="86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15. Абзац второй части 37 изложить в следующей редакции:</w:t>
      </w:r>
    </w:p>
    <w:p w14:paraId="87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Размеры и условия выплат стимулирующего характера устанавливаются коллективными договорами, соглашениями, локальными нормативными актами,</w:t>
      </w:r>
      <w:r>
        <w:rPr>
          <w:rFonts w:ascii="Times New Roman" w:hAnsi="Times New Roman"/>
          <w:sz w:val="28"/>
        </w:rPr>
        <w:t xml:space="preserve"> принимаемыми с учетом мнения представительного органа работников,</w:t>
      </w:r>
      <w:r>
        <w:rPr>
          <w:rFonts w:ascii="Times New Roman" w:hAnsi="Times New Roman"/>
          <w:sz w:val="28"/>
        </w:rPr>
        <w:t xml:space="preserve"> на основе показателей и критериев эффективности работы,</w:t>
      </w:r>
      <w:r>
        <w:rPr>
          <w:rFonts w:ascii="Times New Roman" w:hAnsi="Times New Roman"/>
          <w:sz w:val="28"/>
        </w:rPr>
        <w:t xml:space="preserve"> и конкретизируются в трудовом договоре работника (дополнительном соглашении к  трудовому договору)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».</w:t>
      </w:r>
    </w:p>
    <w:p w14:paraId="88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16. Часть 38 изложить в следующей редакции:</w:t>
      </w:r>
    </w:p>
    <w:p w14:paraId="89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«38.</w:t>
      </w:r>
      <w:r>
        <w:rPr>
          <w:rFonts w:ascii="Times New Roman" w:hAnsi="Times New Roman"/>
          <w:color w:val="000000"/>
          <w:sz w:val="28"/>
        </w:rPr>
        <w:t xml:space="preserve"> Работникам учреждений могут устанавливаться следующие стимулирующие в</w:t>
      </w:r>
      <w:r>
        <w:rPr>
          <w:rFonts w:ascii="Times New Roman" w:hAnsi="Times New Roman"/>
          <w:color w:val="000000"/>
          <w:sz w:val="28"/>
        </w:rPr>
        <w:t>ыплаты:</w:t>
      </w:r>
    </w:p>
    <w:p w14:paraId="8A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1) выплаты за интенсивность и высокие результаты работы;</w:t>
      </w:r>
    </w:p>
    <w:p w14:paraId="8B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2) выплаты за качество выполняемых работ;</w:t>
      </w:r>
    </w:p>
    <w:p w14:paraId="8C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3) выплаты за выслугу лет;</w:t>
      </w:r>
    </w:p>
    <w:p w14:paraId="8D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4) выплаты за наличие ученой степени кандидата наук, доктора наук;</w:t>
      </w:r>
    </w:p>
    <w:p w14:paraId="8E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5) премиальные выплаты по итогам работы;</w:t>
      </w:r>
    </w:p>
    <w:p w14:paraId="8F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6) премиальные выплаты за многолетний добросовестный труд;</w:t>
      </w:r>
    </w:p>
    <w:p w14:paraId="90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7) </w:t>
      </w:r>
      <w:r>
        <w:rPr>
          <w:rFonts w:ascii="Times New Roman" w:hAnsi="Times New Roman"/>
          <w:sz w:val="28"/>
        </w:rPr>
        <w:t>премиальные выплаты за образцовое качество выполняемых работ;</w:t>
      </w:r>
    </w:p>
    <w:p w14:paraId="91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6) выплаты за наставничество в сфере труда.».</w:t>
      </w:r>
    </w:p>
    <w:p w14:paraId="92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7. В части 39 слова «</w:t>
      </w:r>
      <w:r>
        <w:rPr>
          <w:rFonts w:ascii="Times New Roman" w:hAnsi="Times New Roman"/>
          <w:sz w:val="28"/>
        </w:rPr>
        <w:t xml:space="preserve">Решение о введении повышающих коэффициентов к окладам, предусмотренных </w:t>
      </w:r>
      <w:r>
        <w:rPr>
          <w:rFonts w:ascii="Times New Roman" w:hAnsi="Times New Roman"/>
          <w:sz w:val="28"/>
        </w:rPr>
        <w:t>частью 38</w:t>
      </w:r>
      <w:r>
        <w:rPr>
          <w:rFonts w:ascii="Times New Roman" w:hAnsi="Times New Roman"/>
          <w:sz w:val="28"/>
        </w:rPr>
        <w:t xml:space="preserve"> настоящего Примерного положения, принимается учреждением в пределах фонда</w:t>
      </w:r>
      <w:r>
        <w:rPr>
          <w:rFonts w:ascii="Times New Roman" w:hAnsi="Times New Roman"/>
          <w:sz w:val="28"/>
        </w:rPr>
        <w:t>» заменить словами «</w:t>
      </w:r>
      <w:r>
        <w:rPr>
          <w:rFonts w:ascii="Times New Roman" w:hAnsi="Times New Roman"/>
          <w:sz w:val="28"/>
        </w:rPr>
        <w:t xml:space="preserve">Решение о введении конкретных видов выплат стимулирующего характера, размерах и </w:t>
      </w:r>
      <w:r>
        <w:rPr>
          <w:rFonts w:ascii="Times New Roman" w:hAnsi="Times New Roman"/>
          <w:sz w:val="28"/>
        </w:rPr>
        <w:t xml:space="preserve">условиях их осуществления принимается учреждением самостоятельно с учетом обеспечения </w:t>
      </w:r>
      <w:r>
        <w:rPr>
          <w:rFonts w:ascii="Times New Roman" w:hAnsi="Times New Roman"/>
          <w:sz w:val="28"/>
        </w:rPr>
        <w:t xml:space="preserve">указанных выплат финансовыми средствами в пределах </w:t>
      </w:r>
      <w:r>
        <w:rPr>
          <w:rFonts w:ascii="Times New Roman" w:hAnsi="Times New Roman"/>
          <w:sz w:val="28"/>
        </w:rPr>
        <w:t xml:space="preserve">выделенной на </w:t>
      </w:r>
      <w:r>
        <w:rPr>
          <w:rFonts w:ascii="Times New Roman" w:hAnsi="Times New Roman"/>
          <w:sz w:val="28"/>
        </w:rPr>
        <w:t>выплаты стимулирующего характера</w:t>
      </w:r>
      <w:r>
        <w:rPr>
          <w:rFonts w:ascii="Times New Roman" w:hAnsi="Times New Roman"/>
          <w:sz w:val="28"/>
        </w:rPr>
        <w:t xml:space="preserve"> доли в фонде</w:t>
      </w:r>
      <w:r>
        <w:rPr>
          <w:rFonts w:ascii="Times New Roman" w:hAnsi="Times New Roman"/>
          <w:sz w:val="28"/>
        </w:rPr>
        <w:t>».</w:t>
      </w:r>
    </w:p>
    <w:p w14:paraId="93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18. Часть 40 изложить в следующей редакции:</w:t>
      </w:r>
    </w:p>
    <w:p w14:paraId="94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«40. </w:t>
      </w:r>
      <w:r>
        <w:rPr>
          <w:rFonts w:ascii="Times New Roman" w:hAnsi="Times New Roman"/>
          <w:sz w:val="28"/>
        </w:rPr>
        <w:t xml:space="preserve">Выплаты за интенсивность и высокие результаты работы, за качество выполняемых работ, </w:t>
      </w:r>
      <w:r>
        <w:rPr>
          <w:rFonts w:ascii="Times New Roman" w:hAnsi="Times New Roman"/>
          <w:sz w:val="28"/>
        </w:rPr>
        <w:t xml:space="preserve">премиальные выплаты по итогам работы устанавливаются при достижении показателей эффективности </w:t>
      </w:r>
      <w:r>
        <w:rPr>
          <w:rFonts w:ascii="Times New Roman" w:hAnsi="Times New Roman"/>
          <w:sz w:val="28"/>
        </w:rPr>
        <w:t>деятельности работника.</w:t>
      </w:r>
    </w:p>
    <w:p w14:paraId="95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Показатели эффективности деятельности работника формируются на основе показателей </w:t>
      </w:r>
      <w:r>
        <w:rPr>
          <w:rFonts w:ascii="Times New Roman" w:hAnsi="Times New Roman"/>
          <w:sz w:val="28"/>
        </w:rPr>
        <w:t xml:space="preserve">эффективности деятельности учреждения, показателей качества и объема оказываемых </w:t>
      </w:r>
      <w:r>
        <w:rPr>
          <w:rFonts w:ascii="Times New Roman" w:hAnsi="Times New Roman"/>
          <w:sz w:val="28"/>
        </w:rPr>
        <w:t xml:space="preserve">государственных услуг (выполнения работ) и утверждаются локальным нормативным актом </w:t>
      </w:r>
      <w:r>
        <w:rPr>
          <w:rFonts w:ascii="Times New Roman" w:hAnsi="Times New Roman"/>
          <w:sz w:val="28"/>
        </w:rPr>
        <w:t xml:space="preserve">учреждения, определяющим систему оплаты труда (систему премирования), либо коллективным </w:t>
      </w:r>
      <w:r>
        <w:rPr>
          <w:rFonts w:ascii="Times New Roman" w:hAnsi="Times New Roman"/>
          <w:sz w:val="28"/>
        </w:rPr>
        <w:t>договором.</w:t>
      </w:r>
    </w:p>
    <w:p w14:paraId="96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В целях повышения эффективности деятельности работников за выполненную работу в </w:t>
      </w:r>
      <w:r>
        <w:rPr>
          <w:rFonts w:ascii="Times New Roman" w:hAnsi="Times New Roman"/>
          <w:sz w:val="28"/>
        </w:rPr>
        <w:t xml:space="preserve">учреждении премия по итогам работы за отчетный период выплачивается с учетом выполнения </w:t>
      </w:r>
      <w:r>
        <w:rPr>
          <w:rFonts w:ascii="Times New Roman" w:hAnsi="Times New Roman"/>
          <w:sz w:val="28"/>
        </w:rPr>
        <w:t xml:space="preserve">установленных показателей и критериев оценки эффективности труда. При премировании может </w:t>
      </w:r>
      <w:r>
        <w:rPr>
          <w:rFonts w:ascii="Times New Roman" w:hAnsi="Times New Roman"/>
          <w:sz w:val="28"/>
        </w:rPr>
        <w:t xml:space="preserve">учитываться </w:t>
      </w:r>
      <w:r>
        <w:rPr>
          <w:rFonts w:ascii="Times New Roman" w:hAnsi="Times New Roman"/>
          <w:sz w:val="28"/>
        </w:rPr>
        <w:t>как индивидуальный, так и коллективный результат труда.».</w:t>
      </w:r>
    </w:p>
    <w:p w14:paraId="97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19. В части 41 слова «</w:t>
      </w:r>
      <w:r>
        <w:rPr>
          <w:rFonts w:ascii="Times New Roman" w:hAnsi="Times New Roman"/>
          <w:sz w:val="28"/>
        </w:rPr>
        <w:t xml:space="preserve">Повышающий коэффициент к окладу за выслугу </w:t>
      </w:r>
      <w:r>
        <w:rPr>
          <w:rFonts w:ascii="Times New Roman" w:hAnsi="Times New Roman"/>
          <w:sz w:val="28"/>
        </w:rPr>
        <w:t>лет устанавливается всем работникам в зависимости от общего количества лет, проработанных в учреждениях культуры.» заменить словами «</w:t>
      </w:r>
      <w:r>
        <w:rPr>
          <w:rFonts w:ascii="Times New Roman" w:hAnsi="Times New Roman"/>
          <w:sz w:val="28"/>
        </w:rPr>
        <w:t xml:space="preserve">Выплата за выслугу лет устанавливается всем работникам в зависимости от общего количества лет, проработанных в учреждениях, указанных в части 56 </w:t>
      </w:r>
      <w:r>
        <w:rPr>
          <w:rFonts w:ascii="Times New Roman" w:hAnsi="Times New Roman"/>
          <w:sz w:val="28"/>
        </w:rPr>
        <w:t>Примерного положения, путем установления повышающего коэффициента к окладу за выслугу лет.».</w:t>
      </w:r>
    </w:p>
    <w:p w14:paraId="98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20. Часть 42 изложить в следующей редакции:</w:t>
      </w:r>
    </w:p>
    <w:p w14:paraId="99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trike w:val="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«</w:t>
      </w:r>
      <w:r>
        <w:rPr>
          <w:rFonts w:ascii="Times New Roman" w:hAnsi="Times New Roman"/>
          <w:strike w:val="0"/>
          <w:sz w:val="28"/>
        </w:rPr>
        <w:t xml:space="preserve">42. </w:t>
      </w:r>
      <w:r>
        <w:rPr>
          <w:rFonts w:ascii="Times New Roman" w:hAnsi="Times New Roman"/>
          <w:b w:val="0"/>
          <w:sz w:val="28"/>
        </w:rPr>
        <w:t>Выплаты стимулирующего характера за наставничество в сфере труда устанавливаются при условии письменного со</w:t>
      </w:r>
      <w:r>
        <w:rPr>
          <w:rFonts w:ascii="Times New Roman" w:hAnsi="Times New Roman"/>
          <w:b w:val="0"/>
          <w:sz w:val="28"/>
        </w:rPr>
        <w:t>гласия работника на осуществление наставничества и оформления поручения об осуществлении наставничества в трудовом договоре (дополнительном соглашении к трудовому договору) с указанием содержания, сроков, формы и объема выполнения работы по наставничеству.</w:t>
      </w:r>
    </w:p>
    <w:p w14:paraId="9A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trike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Рекомендуемый размер выплат за наставничество в сфере труда не более </w:t>
      </w:r>
      <w:r>
        <w:rPr>
          <w:rFonts w:ascii="Times New Roman" w:hAnsi="Times New Roman"/>
          <w:b w:val="0"/>
          <w:sz w:val="28"/>
        </w:rPr>
        <w:t xml:space="preserve">20 процентов основного оклада (основного должностного оклада) за </w:t>
      </w:r>
      <w:r>
        <w:rPr>
          <w:rFonts w:ascii="Times New Roman" w:hAnsi="Times New Roman"/>
          <w:b w:val="0"/>
          <w:sz w:val="28"/>
        </w:rPr>
        <w:t>осуществление наставничества в отношении одного работника.</w:t>
      </w:r>
      <w:r>
        <w:rPr>
          <w:rFonts w:ascii="Times New Roman" w:hAnsi="Times New Roman"/>
          <w:b w:val="0"/>
          <w:color w:val="000000"/>
          <w:sz w:val="28"/>
        </w:rPr>
        <w:t>».</w:t>
      </w:r>
    </w:p>
    <w:p w14:paraId="9B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trike w:val="0"/>
          <w:sz w:val="28"/>
        </w:rPr>
      </w:pPr>
      <w:r>
        <w:rPr>
          <w:rFonts w:ascii="Times New Roman" w:hAnsi="Times New Roman"/>
          <w:strike w:val="0"/>
          <w:sz w:val="28"/>
        </w:rPr>
        <w:t>22. Части 44 и 45 признать утратившими силу.</w:t>
      </w:r>
    </w:p>
    <w:p w14:paraId="9C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trike w:val="0"/>
          <w:sz w:val="28"/>
        </w:rPr>
      </w:pPr>
      <w:r>
        <w:rPr>
          <w:rFonts w:ascii="Times New Roman" w:hAnsi="Times New Roman"/>
          <w:strike w:val="0"/>
          <w:sz w:val="28"/>
        </w:rPr>
        <w:t>23. Часть 47 признать утратившей силу.</w:t>
      </w:r>
    </w:p>
    <w:p w14:paraId="9D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trike w:val="0"/>
          <w:sz w:val="28"/>
        </w:rPr>
      </w:pPr>
      <w:r>
        <w:rPr>
          <w:rFonts w:ascii="Times New Roman" w:hAnsi="Times New Roman"/>
          <w:strike w:val="0"/>
          <w:sz w:val="28"/>
        </w:rPr>
        <w:t>24. Части 51–53 признать утратившими силу.</w:t>
      </w:r>
    </w:p>
    <w:p w14:paraId="9E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trike w:val="0"/>
          <w:sz w:val="28"/>
          <w:shd w:fill="FFE779" w:val="clear"/>
        </w:rPr>
      </w:pPr>
      <w:r>
        <w:rPr>
          <w:rFonts w:ascii="Times New Roman" w:hAnsi="Times New Roman"/>
          <w:strike w:val="0"/>
          <w:sz w:val="28"/>
        </w:rPr>
        <w:t>25. В части 57 слово «Из» заменить словами «При наличии экономии».</w:t>
      </w:r>
    </w:p>
    <w:p w14:paraId="9F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A0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A1000000">
      <w:pPr>
        <w:spacing w:after="0" w:line="240" w:lineRule="auto"/>
        <w:ind/>
        <w:jc w:val="both"/>
        <w:rPr>
          <w:rFonts w:ascii="Times New Roman" w:hAnsi="Times New Roman"/>
        </w:rPr>
      </w:pPr>
    </w:p>
    <w:p w14:paraId="A2000000">
      <w:pPr>
        <w:spacing w:after="0" w:line="240" w:lineRule="auto"/>
        <w:ind/>
        <w:jc w:val="both"/>
        <w:rPr>
          <w:rFonts w:ascii="Times New Roman" w:hAnsi="Times New Roman"/>
        </w:rPr>
      </w:pPr>
    </w:p>
    <w:sectPr>
      <w:headerReference r:id="rId1" w:type="first"/>
      <w:headerReference r:id="rId3" w:type="default"/>
      <w:footerReference r:id="rId2" w:type="first"/>
      <w:type w:val="nextPage"/>
      <w:pgSz w:h="16838" w:orient="portrait" w:w="11906"/>
      <w:pgMar w:bottom="1134" w:footer="709" w:gutter="0" w:header="709" w:left="1418" w:right="851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3000000">
    <w:pPr>
      <w:pStyle w:val="Style_1"/>
      <w:ind/>
      <w:jc w:val="center"/>
    </w:pPr>
  </w:p>
  <w:p w14:paraId="04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ind w:firstLine="0" w:left="200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Header Char"/>
    <w:basedOn w:val="Style_8"/>
    <w:link w:val="Style_7_ch"/>
  </w:style>
  <w:style w:styleId="Style_7_ch" w:type="character">
    <w:name w:val="Header Char"/>
    <w:basedOn w:val="Style_8_ch"/>
    <w:link w:val="Style_7"/>
  </w:style>
  <w:style w:styleId="Style_9" w:type="paragraph">
    <w:name w:val="Footnote"/>
    <w:link w:val="Style_9_ch"/>
    <w:pPr>
      <w:ind w:firstLine="851" w:left="0"/>
      <w:jc w:val="both"/>
    </w:pPr>
    <w:rPr>
      <w:rFonts w:ascii="XO Thames" w:hAnsi="XO Thames"/>
    </w:rPr>
  </w:style>
  <w:style w:styleId="Style_9_ch" w:type="character">
    <w:name w:val="Footnote"/>
    <w:link w:val="Style_9"/>
    <w:rPr>
      <w:rFonts w:ascii="XO Thames" w:hAnsi="XO Thames"/>
    </w:rPr>
  </w:style>
  <w:style w:styleId="Style_10" w:type="paragraph">
    <w:name w:val="toc 4"/>
    <w:next w:val="Style_5"/>
    <w:link w:val="Style_10_ch"/>
    <w:uiPriority w:val="39"/>
    <w:pPr>
      <w:ind w:firstLine="0" w:left="600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heading 7"/>
    <w:basedOn w:val="Style_5"/>
    <w:next w:val="Style_5"/>
    <w:link w:val="Style_11_ch"/>
    <w:uiPriority w:val="9"/>
    <w:qFormat/>
    <w:pPr>
      <w:keepNext w:val="1"/>
      <w:keepLines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11_ch" w:type="character">
    <w:name w:val="heading 7"/>
    <w:basedOn w:val="Style_5_ch"/>
    <w:link w:val="Style_11"/>
    <w:rPr>
      <w:rFonts w:ascii="Liberation Sans" w:hAnsi="Liberation Sans"/>
      <w:b w:val="1"/>
      <w:i w:val="1"/>
      <w:sz w:val="22"/>
    </w:rPr>
  </w:style>
  <w:style w:styleId="Style_12" w:type="paragraph">
    <w:name w:val="Основной шрифт абзаца1"/>
    <w:link w:val="Style_12_ch"/>
  </w:style>
  <w:style w:styleId="Style_12_ch" w:type="character">
    <w:name w:val="Основной шрифт абзаца1"/>
    <w:link w:val="Style_12"/>
  </w:style>
  <w:style w:styleId="Style_13" w:type="paragraph">
    <w:name w:val="toc 6"/>
    <w:next w:val="Style_5"/>
    <w:link w:val="Style_13_ch"/>
    <w:uiPriority w:val="39"/>
    <w:pPr>
      <w:ind w:firstLine="0" w:left="1000"/>
    </w:pPr>
    <w:rPr>
      <w:rFonts w:ascii="XO Thames" w:hAnsi="XO Thames"/>
      <w:sz w:val="28"/>
    </w:rPr>
  </w:style>
  <w:style w:styleId="Style_13_ch" w:type="character">
    <w:name w:val="toc 6"/>
    <w:link w:val="Style_13"/>
    <w:rPr>
      <w:rFonts w:ascii="XO Thames" w:hAnsi="XO Thames"/>
      <w:sz w:val="28"/>
    </w:rPr>
  </w:style>
  <w:style w:styleId="Style_14" w:type="paragraph">
    <w:name w:val="toc 7"/>
    <w:next w:val="Style_5"/>
    <w:link w:val="Style_14_ch"/>
    <w:uiPriority w:val="39"/>
    <w:pPr>
      <w:ind w:firstLine="0" w:left="1200"/>
    </w:pPr>
    <w:rPr>
      <w:rFonts w:ascii="XO Thames" w:hAnsi="XO Thames"/>
      <w:sz w:val="28"/>
    </w:rPr>
  </w:style>
  <w:style w:styleId="Style_14_ch" w:type="character">
    <w:name w:val="toc 7"/>
    <w:link w:val="Style_14"/>
    <w:rPr>
      <w:rFonts w:ascii="XO Thames" w:hAnsi="XO Thames"/>
      <w:sz w:val="28"/>
    </w:rPr>
  </w:style>
  <w:style w:styleId="Style_15" w:type="paragraph">
    <w:name w:val="footnote reference"/>
    <w:basedOn w:val="Style_8"/>
    <w:link w:val="Style_15_ch"/>
    <w:rPr>
      <w:vertAlign w:val="superscript"/>
    </w:rPr>
  </w:style>
  <w:style w:styleId="Style_15_ch" w:type="character">
    <w:name w:val="footnote reference"/>
    <w:basedOn w:val="Style_8_ch"/>
    <w:link w:val="Style_15"/>
    <w:rPr>
      <w:vertAlign w:val="superscript"/>
    </w:rPr>
  </w:style>
  <w:style w:styleId="Style_16" w:type="paragraph">
    <w:name w:val="TOC Heading"/>
    <w:link w:val="Style_16_ch"/>
  </w:style>
  <w:style w:styleId="Style_16_ch" w:type="character">
    <w:name w:val="TOC Heading"/>
    <w:link w:val="Style_16"/>
  </w:style>
  <w:style w:styleId="Style_17" w:type="paragraph">
    <w:name w:val="Caption Char"/>
    <w:basedOn w:val="Style_8"/>
    <w:link w:val="Style_17_ch"/>
    <w:rPr>
      <w:b w:val="1"/>
      <w:color w:themeColor="accent1" w:val="5B9BD5"/>
      <w:sz w:val="18"/>
    </w:rPr>
  </w:style>
  <w:style w:styleId="Style_17_ch" w:type="character">
    <w:name w:val="Caption Char"/>
    <w:basedOn w:val="Style_8_ch"/>
    <w:link w:val="Style_17"/>
    <w:rPr>
      <w:b w:val="1"/>
      <w:color w:themeColor="accent1" w:val="5B9BD5"/>
      <w:sz w:val="18"/>
    </w:rPr>
  </w:style>
  <w:style w:styleId="Style_18" w:type="paragraph">
    <w:name w:val="heading 3"/>
    <w:next w:val="Style_5"/>
    <w:link w:val="Style_1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8_ch" w:type="character">
    <w:name w:val="heading 3"/>
    <w:link w:val="Style_18"/>
    <w:rPr>
      <w:rFonts w:ascii="XO Thames" w:hAnsi="XO Thames"/>
      <w:b w:val="1"/>
      <w:sz w:val="26"/>
    </w:rPr>
  </w:style>
  <w:style w:styleId="Style_19" w:type="paragraph">
    <w:name w:val="Heading 3 Char"/>
    <w:basedOn w:val="Style_8"/>
    <w:link w:val="Style_19_ch"/>
    <w:rPr>
      <w:rFonts w:ascii="Liberation Sans" w:hAnsi="Liberation Sans"/>
      <w:sz w:val="30"/>
    </w:rPr>
  </w:style>
  <w:style w:styleId="Style_19_ch" w:type="character">
    <w:name w:val="Heading 3 Char"/>
    <w:basedOn w:val="Style_8_ch"/>
    <w:link w:val="Style_19"/>
    <w:rPr>
      <w:rFonts w:ascii="Liberation Sans" w:hAnsi="Liberation Sans"/>
      <w:sz w:val="30"/>
    </w:rPr>
  </w:style>
  <w:style w:styleId="Style_20" w:type="paragraph">
    <w:name w:val="endnote reference"/>
    <w:basedOn w:val="Style_8"/>
    <w:link w:val="Style_20_ch"/>
    <w:rPr>
      <w:vertAlign w:val="superscript"/>
    </w:rPr>
  </w:style>
  <w:style w:styleId="Style_20_ch" w:type="character">
    <w:name w:val="endnote reference"/>
    <w:basedOn w:val="Style_8_ch"/>
    <w:link w:val="Style_20"/>
    <w:rPr>
      <w:vertAlign w:val="superscript"/>
    </w:rPr>
  </w:style>
  <w:style w:styleId="Style_21" w:type="paragraph">
    <w:name w:val="Intense Quote"/>
    <w:basedOn w:val="Style_5"/>
    <w:next w:val="Style_5"/>
    <w:link w:val="Style_21_ch"/>
    <w:pPr>
      <w:ind w:firstLine="0" w:left="720" w:right="720"/>
      <w:contextualSpacing w:val="0"/>
    </w:pPr>
    <w:rPr>
      <w:i w:val="1"/>
    </w:rPr>
  </w:style>
  <w:style w:styleId="Style_21_ch" w:type="character">
    <w:name w:val="Intense Quote"/>
    <w:basedOn w:val="Style_5_ch"/>
    <w:link w:val="Style_21"/>
    <w:rPr>
      <w:i w:val="1"/>
    </w:rPr>
  </w:style>
  <w:style w:styleId="Style_22" w:type="paragraph">
    <w:name w:val="heading 9"/>
    <w:basedOn w:val="Style_5"/>
    <w:next w:val="Style_5"/>
    <w:link w:val="Style_22_ch"/>
    <w:uiPriority w:val="9"/>
    <w:qFormat/>
    <w:pPr>
      <w:keepNext w:val="1"/>
      <w:keepLines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22_ch" w:type="character">
    <w:name w:val="heading 9"/>
    <w:basedOn w:val="Style_5_ch"/>
    <w:link w:val="Style_22"/>
    <w:rPr>
      <w:rFonts w:ascii="Liberation Sans" w:hAnsi="Liberation Sans"/>
      <w:i w:val="1"/>
      <w:sz w:val="21"/>
    </w:rPr>
  </w:style>
  <w:style w:styleId="Style_23" w:type="paragraph">
    <w:name w:val="Subtitle Char"/>
    <w:basedOn w:val="Style_8"/>
    <w:link w:val="Style_23_ch"/>
    <w:rPr>
      <w:sz w:val="24"/>
    </w:rPr>
  </w:style>
  <w:style w:styleId="Style_23_ch" w:type="character">
    <w:name w:val="Subtitle Char"/>
    <w:basedOn w:val="Style_8_ch"/>
    <w:link w:val="Style_23"/>
    <w:rPr>
      <w:sz w:val="24"/>
    </w:rPr>
  </w:style>
  <w:style w:styleId="Style_24" w:type="paragraph">
    <w:name w:val="Heading 9 Char"/>
    <w:basedOn w:val="Style_8"/>
    <w:link w:val="Style_24_ch"/>
    <w:rPr>
      <w:rFonts w:ascii="Liberation Sans" w:hAnsi="Liberation Sans"/>
      <w:i w:val="1"/>
      <w:sz w:val="21"/>
    </w:rPr>
  </w:style>
  <w:style w:styleId="Style_24_ch" w:type="character">
    <w:name w:val="Heading 9 Char"/>
    <w:basedOn w:val="Style_8_ch"/>
    <w:link w:val="Style_24"/>
    <w:rPr>
      <w:rFonts w:ascii="Liberation Sans" w:hAnsi="Liberation Sans"/>
      <w:i w:val="1"/>
      <w:sz w:val="21"/>
    </w:rPr>
  </w:style>
  <w:style w:styleId="Style_25" w:type="paragraph">
    <w:name w:val="Intense Quote Char"/>
    <w:link w:val="Style_25_ch"/>
    <w:rPr>
      <w:i w:val="1"/>
    </w:rPr>
  </w:style>
  <w:style w:styleId="Style_25_ch" w:type="character">
    <w:name w:val="Intense Quote Char"/>
    <w:link w:val="Style_25"/>
    <w:rPr>
      <w:i w:val="1"/>
    </w:rPr>
  </w:style>
  <w:style w:styleId="Style_26" w:type="paragraph">
    <w:name w:val="Обычный1"/>
    <w:link w:val="Style_26_ch"/>
  </w:style>
  <w:style w:styleId="Style_26_ch" w:type="character">
    <w:name w:val="Обычный1"/>
    <w:link w:val="Style_26"/>
  </w:style>
  <w:style w:styleId="Style_27" w:type="paragraph">
    <w:name w:val="Heading 7 Char"/>
    <w:basedOn w:val="Style_8"/>
    <w:link w:val="Style_27_ch"/>
    <w:rPr>
      <w:rFonts w:ascii="Liberation Sans" w:hAnsi="Liberation Sans"/>
      <w:b w:val="1"/>
      <w:i w:val="1"/>
      <w:sz w:val="22"/>
    </w:rPr>
  </w:style>
  <w:style w:styleId="Style_27_ch" w:type="character">
    <w:name w:val="Heading 7 Char"/>
    <w:basedOn w:val="Style_8_ch"/>
    <w:link w:val="Style_27"/>
    <w:rPr>
      <w:rFonts w:ascii="Liberation Sans" w:hAnsi="Liberation Sans"/>
      <w:b w:val="1"/>
      <w:i w:val="1"/>
      <w:sz w:val="22"/>
    </w:rPr>
  </w:style>
  <w:style w:styleId="Style_28" w:type="paragraph">
    <w:name w:val="Гиперссылка1"/>
    <w:basedOn w:val="Style_12"/>
    <w:link w:val="Style_28_ch"/>
    <w:rPr>
      <w:color w:themeColor="hyperlink" w:val="0563C1"/>
      <w:u w:val="single"/>
    </w:rPr>
  </w:style>
  <w:style w:styleId="Style_28_ch" w:type="character">
    <w:name w:val="Гиперссылка1"/>
    <w:basedOn w:val="Style_12_ch"/>
    <w:link w:val="Style_28"/>
    <w:rPr>
      <w:color w:themeColor="hyperlink" w:val="0563C1"/>
      <w:u w:val="single"/>
    </w:rPr>
  </w:style>
  <w:style w:styleId="Style_29" w:type="paragraph">
    <w:name w:val="Plain Text"/>
    <w:basedOn w:val="Style_5"/>
    <w:link w:val="Style_29_ch"/>
    <w:pPr>
      <w:spacing w:after="0" w:line="240" w:lineRule="auto"/>
      <w:ind/>
    </w:pPr>
    <w:rPr>
      <w:rFonts w:ascii="Calibri" w:hAnsi="Calibri"/>
    </w:rPr>
  </w:style>
  <w:style w:styleId="Style_29_ch" w:type="character">
    <w:name w:val="Plain Text"/>
    <w:basedOn w:val="Style_5_ch"/>
    <w:link w:val="Style_29"/>
    <w:rPr>
      <w:rFonts w:ascii="Calibri" w:hAnsi="Calibri"/>
    </w:rPr>
  </w:style>
  <w:style w:styleId="Style_30" w:type="paragraph">
    <w:name w:val="toc 3"/>
    <w:next w:val="Style_5"/>
    <w:link w:val="Style_30_ch"/>
    <w:uiPriority w:val="39"/>
    <w:pPr>
      <w:ind w:firstLine="0" w:left="400"/>
    </w:pPr>
    <w:rPr>
      <w:rFonts w:ascii="XO Thames" w:hAnsi="XO Thames"/>
      <w:sz w:val="28"/>
    </w:rPr>
  </w:style>
  <w:style w:styleId="Style_30_ch" w:type="character">
    <w:name w:val="toc 3"/>
    <w:link w:val="Style_30"/>
    <w:rPr>
      <w:rFonts w:ascii="XO Thames" w:hAnsi="XO Thames"/>
      <w:sz w:val="28"/>
    </w:rPr>
  </w:style>
  <w:style w:styleId="Style_31" w:type="paragraph">
    <w:name w:val="Heading 1 Char"/>
    <w:basedOn w:val="Style_8"/>
    <w:link w:val="Style_31_ch"/>
    <w:rPr>
      <w:rFonts w:ascii="Liberation Sans" w:hAnsi="Liberation Sans"/>
      <w:sz w:val="40"/>
    </w:rPr>
  </w:style>
  <w:style w:styleId="Style_31_ch" w:type="character">
    <w:name w:val="Heading 1 Char"/>
    <w:basedOn w:val="Style_8_ch"/>
    <w:link w:val="Style_31"/>
    <w:rPr>
      <w:rFonts w:ascii="Liberation Sans" w:hAnsi="Liberation Sans"/>
      <w:sz w:val="40"/>
    </w:rPr>
  </w:style>
  <w:style w:styleId="Style_32" w:type="paragraph">
    <w:name w:val="List Paragraph"/>
    <w:basedOn w:val="Style_5"/>
    <w:link w:val="Style_32_ch"/>
    <w:pPr>
      <w:ind w:firstLine="0" w:left="720"/>
      <w:contextualSpacing w:val="1"/>
    </w:pPr>
  </w:style>
  <w:style w:styleId="Style_32_ch" w:type="character">
    <w:name w:val="List Paragraph"/>
    <w:basedOn w:val="Style_5_ch"/>
    <w:link w:val="Style_32"/>
  </w:style>
  <w:style w:styleId="Style_33" w:type="paragraph">
    <w:name w:val="Endnote Text Char"/>
    <w:link w:val="Style_33_ch"/>
    <w:rPr>
      <w:sz w:val="20"/>
    </w:rPr>
  </w:style>
  <w:style w:styleId="Style_33_ch" w:type="character">
    <w:name w:val="Endnote Text Char"/>
    <w:link w:val="Style_33"/>
    <w:rPr>
      <w:sz w:val="20"/>
    </w:rPr>
  </w:style>
  <w:style w:styleId="Style_34" w:type="paragraph">
    <w:name w:val="heading 5"/>
    <w:next w:val="Style_5"/>
    <w:link w:val="Style_3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34_ch" w:type="character">
    <w:name w:val="heading 5"/>
    <w:link w:val="Style_34"/>
    <w:rPr>
      <w:rFonts w:ascii="XO Thames" w:hAnsi="XO Thames"/>
      <w:b w:val="1"/>
    </w:rPr>
  </w:style>
  <w:style w:styleId="Style_35" w:type="paragraph">
    <w:name w:val="No Spacing"/>
    <w:link w:val="Style_35_ch"/>
    <w:pPr>
      <w:spacing w:after="0" w:before="0" w:line="240" w:lineRule="auto"/>
      <w:ind/>
    </w:pPr>
  </w:style>
  <w:style w:styleId="Style_35_ch" w:type="character">
    <w:name w:val="No Spacing"/>
    <w:link w:val="Style_35"/>
  </w:style>
  <w:style w:styleId="Style_36" w:type="paragraph">
    <w:name w:val="Title Char"/>
    <w:basedOn w:val="Style_8"/>
    <w:link w:val="Style_36_ch"/>
    <w:rPr>
      <w:sz w:val="48"/>
    </w:rPr>
  </w:style>
  <w:style w:styleId="Style_36_ch" w:type="character">
    <w:name w:val="Title Char"/>
    <w:basedOn w:val="Style_8_ch"/>
    <w:link w:val="Style_36"/>
    <w:rPr>
      <w:sz w:val="48"/>
    </w:rPr>
  </w:style>
  <w:style w:styleId="Style_37" w:type="paragraph">
    <w:name w:val="heading 1"/>
    <w:next w:val="Style_5"/>
    <w:link w:val="Style_3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37_ch" w:type="character">
    <w:name w:val="heading 1"/>
    <w:link w:val="Style_37"/>
    <w:rPr>
      <w:rFonts w:ascii="XO Thames" w:hAnsi="XO Thames"/>
      <w:b w:val="1"/>
      <w:sz w:val="32"/>
    </w:rPr>
  </w:style>
  <w:style w:styleId="Style_38" w:type="paragraph">
    <w:name w:val="Heading 6 Char"/>
    <w:basedOn w:val="Style_8"/>
    <w:link w:val="Style_38_ch"/>
    <w:rPr>
      <w:rFonts w:ascii="Liberation Sans" w:hAnsi="Liberation Sans"/>
      <w:b w:val="1"/>
      <w:sz w:val="22"/>
    </w:rPr>
  </w:style>
  <w:style w:styleId="Style_38_ch" w:type="character">
    <w:name w:val="Heading 6 Char"/>
    <w:basedOn w:val="Style_8_ch"/>
    <w:link w:val="Style_38"/>
    <w:rPr>
      <w:rFonts w:ascii="Liberation Sans" w:hAnsi="Liberation Sans"/>
      <w:b w:val="1"/>
      <w:sz w:val="22"/>
    </w:rPr>
  </w:style>
  <w:style w:styleId="Style_39" w:type="paragraph">
    <w:name w:val="Hyperlink"/>
    <w:link w:val="Style_39_ch"/>
    <w:rPr>
      <w:color w:val="0000FF"/>
      <w:u w:val="single"/>
    </w:rPr>
  </w:style>
  <w:style w:styleId="Style_39_ch" w:type="character">
    <w:name w:val="Hyperlink"/>
    <w:link w:val="Style_39"/>
    <w:rPr>
      <w:color w:val="0000FF"/>
      <w:u w:val="single"/>
    </w:rPr>
  </w:style>
  <w:style w:styleId="Style_40" w:type="paragraph">
    <w:name w:val="Footnote"/>
    <w:basedOn w:val="Style_5"/>
    <w:link w:val="Style_40_ch"/>
    <w:pPr>
      <w:spacing w:after="40" w:line="240" w:lineRule="auto"/>
      <w:ind/>
    </w:pPr>
    <w:rPr>
      <w:sz w:val="18"/>
    </w:rPr>
  </w:style>
  <w:style w:styleId="Style_40_ch" w:type="character">
    <w:name w:val="Footnote"/>
    <w:basedOn w:val="Style_5_ch"/>
    <w:link w:val="Style_40"/>
    <w:rPr>
      <w:sz w:val="18"/>
    </w:rPr>
  </w:style>
  <w:style w:styleId="Style_41" w:type="paragraph">
    <w:name w:val="heading 8"/>
    <w:basedOn w:val="Style_5"/>
    <w:next w:val="Style_5"/>
    <w:link w:val="Style_41_ch"/>
    <w:uiPriority w:val="9"/>
    <w:qFormat/>
    <w:pPr>
      <w:keepNext w:val="1"/>
      <w:keepLines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41_ch" w:type="character">
    <w:name w:val="heading 8"/>
    <w:basedOn w:val="Style_5_ch"/>
    <w:link w:val="Style_41"/>
    <w:rPr>
      <w:rFonts w:ascii="Liberation Sans" w:hAnsi="Liberation Sans"/>
      <w:i w:val="1"/>
      <w:sz w:val="22"/>
    </w:rPr>
  </w:style>
  <w:style w:styleId="Style_42" w:type="paragraph">
    <w:name w:val="toc 1"/>
    <w:next w:val="Style_5"/>
    <w:link w:val="Style_42_ch"/>
    <w:uiPriority w:val="39"/>
    <w:rPr>
      <w:rFonts w:ascii="XO Thames" w:hAnsi="XO Thames"/>
      <w:b w:val="1"/>
      <w:sz w:val="28"/>
    </w:rPr>
  </w:style>
  <w:style w:styleId="Style_42_ch" w:type="character">
    <w:name w:val="toc 1"/>
    <w:link w:val="Style_42"/>
    <w:rPr>
      <w:rFonts w:ascii="XO Thames" w:hAnsi="XO Thames"/>
      <w:b w:val="1"/>
      <w:sz w:val="28"/>
    </w:rPr>
  </w:style>
  <w:style w:styleId="Style_43" w:type="paragraph">
    <w:name w:val="Header and Footer"/>
    <w:link w:val="Style_43_ch"/>
    <w:pPr>
      <w:spacing w:line="240" w:lineRule="auto"/>
      <w:ind/>
      <w:jc w:val="both"/>
    </w:pPr>
    <w:rPr>
      <w:rFonts w:ascii="XO Thames" w:hAnsi="XO Thames"/>
      <w:sz w:val="20"/>
    </w:rPr>
  </w:style>
  <w:style w:styleId="Style_43_ch" w:type="character">
    <w:name w:val="Header and Footer"/>
    <w:link w:val="Style_43"/>
    <w:rPr>
      <w:rFonts w:ascii="XO Thames" w:hAnsi="XO Thames"/>
      <w:sz w:val="20"/>
    </w:rPr>
  </w:style>
  <w:style w:styleId="Style_2" w:type="paragraph">
    <w:name w:val="Footer"/>
    <w:basedOn w:val="Style_5"/>
    <w:link w:val="Style_2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8"/>
    </w:rPr>
  </w:style>
  <w:style w:styleId="Style_2_ch" w:type="character">
    <w:name w:val="Footer"/>
    <w:basedOn w:val="Style_5_ch"/>
    <w:link w:val="Style_2"/>
    <w:rPr>
      <w:rFonts w:ascii="Times New Roman" w:hAnsi="Times New Roman"/>
      <w:sz w:val="28"/>
    </w:rPr>
  </w:style>
  <w:style w:styleId="Style_44" w:type="paragraph">
    <w:name w:val="Quote Char"/>
    <w:link w:val="Style_44_ch"/>
    <w:rPr>
      <w:i w:val="1"/>
    </w:rPr>
  </w:style>
  <w:style w:styleId="Style_44_ch" w:type="character">
    <w:name w:val="Quote Char"/>
    <w:link w:val="Style_44"/>
    <w:rPr>
      <w:i w:val="1"/>
    </w:rPr>
  </w:style>
  <w:style w:styleId="Style_45" w:type="paragraph">
    <w:name w:val="Quote"/>
    <w:basedOn w:val="Style_5"/>
    <w:next w:val="Style_5"/>
    <w:link w:val="Style_45_ch"/>
    <w:pPr>
      <w:ind w:firstLine="0" w:left="720" w:right="720"/>
    </w:pPr>
    <w:rPr>
      <w:i w:val="1"/>
    </w:rPr>
  </w:style>
  <w:style w:styleId="Style_45_ch" w:type="character">
    <w:name w:val="Quote"/>
    <w:basedOn w:val="Style_5_ch"/>
    <w:link w:val="Style_45"/>
    <w:rPr>
      <w:i w:val="1"/>
    </w:rPr>
  </w:style>
  <w:style w:styleId="Style_46" w:type="paragraph">
    <w:name w:val="toc 9"/>
    <w:next w:val="Style_5"/>
    <w:link w:val="Style_46_ch"/>
    <w:uiPriority w:val="39"/>
    <w:pPr>
      <w:ind w:firstLine="0" w:left="1600"/>
    </w:pPr>
    <w:rPr>
      <w:rFonts w:ascii="XO Thames" w:hAnsi="XO Thames"/>
      <w:sz w:val="28"/>
    </w:rPr>
  </w:style>
  <w:style w:styleId="Style_46_ch" w:type="character">
    <w:name w:val="toc 9"/>
    <w:link w:val="Style_46"/>
    <w:rPr>
      <w:rFonts w:ascii="XO Thames" w:hAnsi="XO Thames"/>
      <w:sz w:val="28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47" w:type="paragraph">
    <w:name w:val="toc 8"/>
    <w:next w:val="Style_5"/>
    <w:link w:val="Style_47_ch"/>
    <w:uiPriority w:val="39"/>
    <w:pPr>
      <w:ind w:firstLine="0" w:left="1400"/>
    </w:pPr>
    <w:rPr>
      <w:rFonts w:ascii="XO Thames" w:hAnsi="XO Thames"/>
      <w:sz w:val="28"/>
    </w:rPr>
  </w:style>
  <w:style w:styleId="Style_47_ch" w:type="character">
    <w:name w:val="toc 8"/>
    <w:link w:val="Style_47"/>
    <w:rPr>
      <w:rFonts w:ascii="XO Thames" w:hAnsi="XO Thames"/>
      <w:sz w:val="28"/>
    </w:rPr>
  </w:style>
  <w:style w:styleId="Style_48" w:type="paragraph">
    <w:name w:val="Heading 2 Char"/>
    <w:basedOn w:val="Style_8"/>
    <w:link w:val="Style_48_ch"/>
    <w:rPr>
      <w:rFonts w:ascii="Liberation Sans" w:hAnsi="Liberation Sans"/>
      <w:sz w:val="34"/>
    </w:rPr>
  </w:style>
  <w:style w:styleId="Style_48_ch" w:type="character">
    <w:name w:val="Heading 2 Char"/>
    <w:basedOn w:val="Style_8_ch"/>
    <w:link w:val="Style_48"/>
    <w:rPr>
      <w:rFonts w:ascii="Liberation Sans" w:hAnsi="Liberation Sans"/>
      <w:sz w:val="34"/>
    </w:rPr>
  </w:style>
  <w:style w:styleId="Style_49" w:type="paragraph">
    <w:name w:val="Heading 5 Char"/>
    <w:basedOn w:val="Style_8"/>
    <w:link w:val="Style_49_ch"/>
    <w:rPr>
      <w:rFonts w:ascii="Liberation Sans" w:hAnsi="Liberation Sans"/>
      <w:b w:val="1"/>
      <w:sz w:val="24"/>
    </w:rPr>
  </w:style>
  <w:style w:styleId="Style_49_ch" w:type="character">
    <w:name w:val="Heading 5 Char"/>
    <w:basedOn w:val="Style_8_ch"/>
    <w:link w:val="Style_49"/>
    <w:rPr>
      <w:rFonts w:ascii="Liberation Sans" w:hAnsi="Liberation Sans"/>
      <w:b w:val="1"/>
      <w:sz w:val="24"/>
    </w:rPr>
  </w:style>
  <w:style w:styleId="Style_50" w:type="paragraph">
    <w:name w:val="Footnote"/>
    <w:basedOn w:val="Style_5"/>
    <w:link w:val="Style_50_ch"/>
    <w:pPr>
      <w:spacing w:after="40" w:line="240" w:lineRule="auto"/>
      <w:ind/>
    </w:pPr>
    <w:rPr>
      <w:sz w:val="18"/>
    </w:rPr>
  </w:style>
  <w:style w:styleId="Style_50_ch" w:type="character">
    <w:name w:val="Footnote"/>
    <w:basedOn w:val="Style_5_ch"/>
    <w:link w:val="Style_50"/>
    <w:rPr>
      <w:sz w:val="18"/>
    </w:rPr>
  </w:style>
  <w:style w:styleId="Style_51" w:type="paragraph">
    <w:name w:val="Caption"/>
    <w:basedOn w:val="Style_5"/>
    <w:next w:val="Style_5"/>
    <w:link w:val="Style_51_ch"/>
    <w:pPr>
      <w:spacing w:line="276" w:lineRule="auto"/>
      <w:ind/>
    </w:pPr>
    <w:rPr>
      <w:b w:val="1"/>
      <w:color w:themeColor="accent1" w:val="5B9BD5"/>
      <w:sz w:val="18"/>
    </w:rPr>
  </w:style>
  <w:style w:styleId="Style_51_ch" w:type="character">
    <w:name w:val="Caption"/>
    <w:basedOn w:val="Style_5_ch"/>
    <w:link w:val="Style_51"/>
    <w:rPr>
      <w:b w:val="1"/>
      <w:color w:themeColor="accent1" w:val="5B9BD5"/>
      <w:sz w:val="18"/>
    </w:rPr>
  </w:style>
  <w:style w:styleId="Style_52" w:type="paragraph">
    <w:name w:val="toc 5"/>
    <w:next w:val="Style_5"/>
    <w:link w:val="Style_52_ch"/>
    <w:uiPriority w:val="39"/>
    <w:pPr>
      <w:ind w:firstLine="0" w:left="800"/>
    </w:pPr>
    <w:rPr>
      <w:rFonts w:ascii="XO Thames" w:hAnsi="XO Thames"/>
      <w:sz w:val="28"/>
    </w:rPr>
  </w:style>
  <w:style w:styleId="Style_52_ch" w:type="character">
    <w:name w:val="toc 5"/>
    <w:link w:val="Style_52"/>
    <w:rPr>
      <w:rFonts w:ascii="XO Thames" w:hAnsi="XO Thames"/>
      <w:sz w:val="28"/>
    </w:rPr>
  </w:style>
  <w:style w:styleId="Style_53" w:type="paragraph">
    <w:name w:val="Heading 8 Char"/>
    <w:basedOn w:val="Style_8"/>
    <w:link w:val="Style_53_ch"/>
    <w:rPr>
      <w:rFonts w:ascii="Liberation Sans" w:hAnsi="Liberation Sans"/>
      <w:i w:val="1"/>
      <w:sz w:val="22"/>
    </w:rPr>
  </w:style>
  <w:style w:styleId="Style_53_ch" w:type="character">
    <w:name w:val="Heading 8 Char"/>
    <w:basedOn w:val="Style_8_ch"/>
    <w:link w:val="Style_53"/>
    <w:rPr>
      <w:rFonts w:ascii="Liberation Sans" w:hAnsi="Liberation Sans"/>
      <w:i w:val="1"/>
      <w:sz w:val="22"/>
    </w:rPr>
  </w:style>
  <w:style w:styleId="Style_54" w:type="paragraph">
    <w:name w:val="table of figures"/>
    <w:basedOn w:val="Style_5"/>
    <w:next w:val="Style_5"/>
    <w:link w:val="Style_54_ch"/>
    <w:pPr>
      <w:spacing w:after="0"/>
      <w:ind/>
    </w:pPr>
  </w:style>
  <w:style w:styleId="Style_54_ch" w:type="character">
    <w:name w:val="table of figures"/>
    <w:basedOn w:val="Style_5_ch"/>
    <w:link w:val="Style_54"/>
  </w:style>
  <w:style w:styleId="Style_55" w:type="paragraph">
    <w:name w:val="Heading 4 Char"/>
    <w:basedOn w:val="Style_8"/>
    <w:link w:val="Style_55_ch"/>
    <w:rPr>
      <w:rFonts w:ascii="Liberation Sans" w:hAnsi="Liberation Sans"/>
      <w:b w:val="1"/>
      <w:sz w:val="26"/>
    </w:rPr>
  </w:style>
  <w:style w:styleId="Style_55_ch" w:type="character">
    <w:name w:val="Heading 4 Char"/>
    <w:basedOn w:val="Style_8_ch"/>
    <w:link w:val="Style_55"/>
    <w:rPr>
      <w:rFonts w:ascii="Liberation Sans" w:hAnsi="Liberation Sans"/>
      <w:b w:val="1"/>
      <w:sz w:val="26"/>
    </w:rPr>
  </w:style>
  <w:style w:styleId="Style_56" w:type="paragraph">
    <w:name w:val="Footer Char"/>
    <w:basedOn w:val="Style_8"/>
    <w:link w:val="Style_56_ch"/>
  </w:style>
  <w:style w:styleId="Style_56_ch" w:type="character">
    <w:name w:val="Footer Char"/>
    <w:basedOn w:val="Style_8_ch"/>
    <w:link w:val="Style_56"/>
  </w:style>
  <w:style w:styleId="Style_57" w:type="paragraph">
    <w:name w:val="Balloon Text"/>
    <w:basedOn w:val="Style_5"/>
    <w:link w:val="Style_57_ch"/>
    <w:pPr>
      <w:spacing w:after="0" w:line="240" w:lineRule="auto"/>
      <w:ind/>
    </w:pPr>
    <w:rPr>
      <w:rFonts w:ascii="Segoe UI" w:hAnsi="Segoe UI"/>
      <w:sz w:val="18"/>
    </w:rPr>
  </w:style>
  <w:style w:styleId="Style_57_ch" w:type="character">
    <w:name w:val="Balloon Text"/>
    <w:basedOn w:val="Style_5_ch"/>
    <w:link w:val="Style_57"/>
    <w:rPr>
      <w:rFonts w:ascii="Segoe UI" w:hAnsi="Segoe UI"/>
      <w:sz w:val="18"/>
    </w:rPr>
  </w:style>
  <w:style w:styleId="Style_58" w:type="paragraph">
    <w:name w:val="Subtitle"/>
    <w:next w:val="Style_5"/>
    <w:link w:val="Style_5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58_ch" w:type="character">
    <w:name w:val="Subtitle"/>
    <w:link w:val="Style_58"/>
    <w:rPr>
      <w:rFonts w:ascii="XO Thames" w:hAnsi="XO Thames"/>
      <w:i w:val="1"/>
      <w:sz w:val="24"/>
    </w:rPr>
  </w:style>
  <w:style w:styleId="Style_59" w:type="paragraph">
    <w:name w:val="endnote text"/>
    <w:basedOn w:val="Style_5"/>
    <w:link w:val="Style_59_ch"/>
    <w:pPr>
      <w:spacing w:after="0" w:line="240" w:lineRule="auto"/>
      <w:ind/>
    </w:pPr>
    <w:rPr>
      <w:sz w:val="20"/>
    </w:rPr>
  </w:style>
  <w:style w:styleId="Style_59_ch" w:type="character">
    <w:name w:val="endnote text"/>
    <w:basedOn w:val="Style_5_ch"/>
    <w:link w:val="Style_59"/>
    <w:rPr>
      <w:sz w:val="20"/>
    </w:rPr>
  </w:style>
  <w:style w:styleId="Style_60" w:type="paragraph">
    <w:name w:val="Title"/>
    <w:next w:val="Style_5"/>
    <w:link w:val="Style_6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60_ch" w:type="character">
    <w:name w:val="Title"/>
    <w:link w:val="Style_60"/>
    <w:rPr>
      <w:rFonts w:ascii="XO Thames" w:hAnsi="XO Thames"/>
      <w:b w:val="1"/>
      <w:caps w:val="1"/>
      <w:sz w:val="40"/>
    </w:rPr>
  </w:style>
  <w:style w:styleId="Style_61" w:type="paragraph">
    <w:name w:val="heading 4"/>
    <w:next w:val="Style_5"/>
    <w:link w:val="Style_6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61_ch" w:type="character">
    <w:name w:val="heading 4"/>
    <w:link w:val="Style_61"/>
    <w:rPr>
      <w:rFonts w:ascii="XO Thames" w:hAnsi="XO Thames"/>
      <w:b w:val="1"/>
      <w:sz w:val="24"/>
    </w:rPr>
  </w:style>
  <w:style w:styleId="Style_62" w:type="paragraph">
    <w:name w:val="heading 2"/>
    <w:next w:val="Style_5"/>
    <w:link w:val="Style_6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62_ch" w:type="character">
    <w:name w:val="heading 2"/>
    <w:link w:val="Style_62"/>
    <w:rPr>
      <w:rFonts w:ascii="XO Thames" w:hAnsi="XO Thames"/>
      <w:b w:val="1"/>
      <w:sz w:val="28"/>
    </w:rPr>
  </w:style>
  <w:style w:styleId="Style_1" w:type="paragraph">
    <w:name w:val="Header"/>
    <w:basedOn w:val="Style_5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5_ch"/>
    <w:link w:val="Style_1"/>
  </w:style>
  <w:style w:styleId="Style_63" w:type="paragraph">
    <w:name w:val="heading 6"/>
    <w:basedOn w:val="Style_5"/>
    <w:next w:val="Style_5"/>
    <w:link w:val="Style_63_ch"/>
    <w:uiPriority w:val="9"/>
    <w:qFormat/>
    <w:pPr>
      <w:keepNext w:val="1"/>
      <w:keepLines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63_ch" w:type="character">
    <w:name w:val="heading 6"/>
    <w:basedOn w:val="Style_5_ch"/>
    <w:link w:val="Style_63"/>
    <w:rPr>
      <w:rFonts w:ascii="Liberation Sans" w:hAnsi="Liberation Sans"/>
      <w:b w:val="1"/>
      <w:sz w:val="22"/>
    </w:rPr>
  </w:style>
  <w:style w:styleId="Style_64" w:type="table">
    <w:name w:val="List Table 1 Light - Accent 2"/>
    <w:basedOn w:val="Style_3"/>
    <w:pPr>
      <w:spacing w:after="0" w:line="240" w:lineRule="auto"/>
      <w:ind/>
    </w:pPr>
    <w:tblPr>
      <w:tblInd w:type="dxa" w:w="0"/>
    </w:tblPr>
  </w:style>
  <w:style w:styleId="Style_65" w:type="table">
    <w:name w:val="List Table 6 Colorful - Accent 5"/>
    <w:basedOn w:val="Style_3"/>
    <w:pPr>
      <w:spacing w:after="0" w:line="240" w:lineRule="auto"/>
      <w:ind/>
    </w:pPr>
    <w:tblPr>
      <w:tblInd w:type="dxa" w:w="0"/>
      <w:tblBorders>
        <w:top w:sz="4" w:themeColor="accent5" w:themeTint="9A" w:val="single"/>
        <w:bottom w:sz="4" w:themeColor="accent5" w:themeTint="9A" w:val="single"/>
      </w:tblBorders>
    </w:tblPr>
  </w:style>
  <w:style w:styleId="Style_66" w:type="table">
    <w:name w:val="Bordered &amp; Lined - Accent 2"/>
    <w:basedOn w:val="Style_3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67" w:type="table">
    <w:name w:val="Grid Table 6 Colorful - Accent 5"/>
    <w:basedOn w:val="Style_3"/>
    <w:pPr>
      <w:spacing w:after="0" w:line="240" w:lineRule="auto"/>
      <w:ind/>
    </w:p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68" w:type="table">
    <w:name w:val="Grid Table 6 Colorful - Accent 6"/>
    <w:basedOn w:val="Style_3"/>
    <w:pPr>
      <w:spacing w:after="0" w:line="240" w:lineRule="auto"/>
      <w:ind/>
    </w:p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69" w:type="table">
    <w:name w:val="List Table 2 - Accent 1"/>
    <w:basedOn w:val="Style_3"/>
    <w:pPr>
      <w:spacing w:after="0" w:line="240" w:lineRule="auto"/>
      <w:ind/>
    </w:pPr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70" w:type="table">
    <w:name w:val="Grid Table 5 Dark - Accent 2"/>
    <w:basedOn w:val="Style_3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71" w:type="table">
    <w:name w:val="Bordered &amp; Lined - Accent 5"/>
    <w:basedOn w:val="Style_3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72" w:type="table">
    <w:name w:val="List Table 1 Light - Accent 4"/>
    <w:basedOn w:val="Style_3"/>
    <w:pPr>
      <w:spacing w:after="0" w:line="240" w:lineRule="auto"/>
      <w:ind/>
    </w:pPr>
    <w:tblPr>
      <w:tblInd w:type="dxa" w:w="0"/>
    </w:tblPr>
  </w:style>
  <w:style w:styleId="Style_4" w:type="table">
    <w:name w:val="Table Grid"/>
    <w:basedOn w:val="Style_3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3" w:type="table">
    <w:name w:val="Grid Table 7 Colorful - Accent 1"/>
    <w:basedOn w:val="Style_3"/>
    <w:pPr>
      <w:spacing w:after="0" w:line="240" w:lineRule="auto"/>
      <w:ind/>
    </w:pPr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74" w:type="table">
    <w:name w:val="Grid Table 6 Colorful - Accent 1"/>
    <w:basedOn w:val="Style_3"/>
    <w:pPr>
      <w:spacing w:after="0" w:line="240" w:lineRule="auto"/>
      <w:ind/>
    </w:pPr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75" w:type="table">
    <w:name w:val="Bordered &amp; Lined - Accent 6"/>
    <w:basedOn w:val="Style_3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76" w:type="table">
    <w:name w:val="List Table 3 - Accent 6"/>
    <w:basedOn w:val="Style_3"/>
    <w:pPr>
      <w:spacing w:after="0" w:line="240" w:lineRule="auto"/>
      <w:ind/>
    </w:pPr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77" w:type="table">
    <w:name w:val="Table Grid Light"/>
    <w:basedOn w:val="Style_3"/>
    <w:pPr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8" w:type="table">
    <w:name w:val="Grid Table 6 Colorful - Accent 4"/>
    <w:basedOn w:val="Style_3"/>
    <w:pPr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79" w:type="table">
    <w:name w:val="Grid Table 5 Dark - Accent 3"/>
    <w:basedOn w:val="Style_3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80" w:type="table">
    <w:name w:val="Сетка таблицы1"/>
    <w:basedOn w:val="Style_3"/>
    <w:pPr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81" w:type="table">
    <w:name w:val="Grid Table 3 - Accent 5"/>
    <w:basedOn w:val="Style_3"/>
    <w:pPr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82" w:type="table">
    <w:name w:val="List Table 5 Dark - Accent 4"/>
    <w:basedOn w:val="Style_3"/>
    <w:pPr>
      <w:spacing w:after="0" w:line="240" w:lineRule="auto"/>
      <w:ind/>
    </w:pPr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83" w:type="table">
    <w:name w:val="List Table 1 Light - Accent 1"/>
    <w:basedOn w:val="Style_3"/>
    <w:pPr>
      <w:spacing w:after="0" w:line="240" w:lineRule="auto"/>
      <w:ind/>
    </w:pPr>
    <w:tblPr>
      <w:tblInd w:type="dxa" w:w="0"/>
    </w:tblPr>
  </w:style>
  <w:style w:styleId="Style_84" w:type="table">
    <w:name w:val="Bordered - Accent 3"/>
    <w:basedOn w:val="Style_3"/>
    <w:pPr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85" w:type="table">
    <w:name w:val="Grid Table 4 - Accent 5"/>
    <w:basedOn w:val="Style_3"/>
    <w:pPr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86" w:type="table">
    <w:name w:val="Bordered &amp; Lined - Accent 3"/>
    <w:basedOn w:val="Style_3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87" w:type="table">
    <w:name w:val="Plain Table 5"/>
    <w:basedOn w:val="Style_3"/>
    <w:pPr>
      <w:spacing w:after="0" w:line="240" w:lineRule="auto"/>
      <w:ind/>
    </w:pPr>
    <w:tblPr>
      <w:tblInd w:type="dxa" w:w="0"/>
    </w:tblPr>
  </w:style>
  <w:style w:styleId="Style_88" w:type="table">
    <w:name w:val="List Table 7 Colorful - Accent 6"/>
    <w:basedOn w:val="Style_3"/>
    <w:pPr>
      <w:spacing w:after="0" w:line="240" w:lineRule="auto"/>
      <w:ind/>
    </w:pPr>
    <w:tblPr>
      <w:tblInd w:type="dxa" w:w="0"/>
      <w:tblBorders>
        <w:right w:sz="4" w:themeColor="accent6" w:themeTint="98" w:val="single"/>
      </w:tblBorders>
    </w:tblPr>
  </w:style>
  <w:style w:styleId="Style_89" w:type="table">
    <w:name w:val="Grid Table 7 Colorful - Accent 3"/>
    <w:basedOn w:val="Style_3"/>
    <w:pPr>
      <w:spacing w:after="0" w:line="240" w:lineRule="auto"/>
      <w:ind/>
    </w:pPr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90" w:type="table">
    <w:name w:val="List Table 6 Colorful - Accent 4"/>
    <w:basedOn w:val="Style_3"/>
    <w:pPr>
      <w:spacing w:after="0" w:line="240" w:lineRule="auto"/>
      <w:ind/>
    </w:pPr>
    <w:tblPr>
      <w:tblInd w:type="dxa" w:w="0"/>
      <w:tblBorders>
        <w:top w:sz="4" w:themeColor="accent4" w:themeTint="9A" w:val="single"/>
        <w:bottom w:sz="4" w:themeColor="accent4" w:themeTint="9A" w:val="single"/>
      </w:tblBorders>
    </w:tblPr>
  </w:style>
  <w:style w:styleId="Style_91" w:type="table">
    <w:name w:val="Сетка таблицы2"/>
    <w:basedOn w:val="Style_3"/>
    <w:pPr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92" w:type="table">
    <w:name w:val="List Table 4"/>
    <w:basedOn w:val="Style_3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93" w:type="table">
    <w:name w:val="Grid Table 5 Dark"/>
    <w:basedOn w:val="Style_3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94" w:type="table">
    <w:name w:val="List Table 7 Colorful - Accent 4"/>
    <w:basedOn w:val="Style_3"/>
    <w:pPr>
      <w:spacing w:after="0" w:line="240" w:lineRule="auto"/>
      <w:ind/>
    </w:pPr>
    <w:tblPr>
      <w:tblInd w:type="dxa" w:w="0"/>
      <w:tblBorders>
        <w:right w:sz="4" w:themeColor="accent4" w:themeTint="9A" w:val="single"/>
      </w:tblBorders>
    </w:tblPr>
  </w:style>
  <w:style w:styleId="Style_95" w:type="table">
    <w:name w:val="Bordered - Accent 5"/>
    <w:basedOn w:val="Style_3"/>
    <w:pPr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96" w:type="table">
    <w:name w:val="List Table 5 Dark - Accent 6"/>
    <w:basedOn w:val="Style_3"/>
    <w:pPr>
      <w:spacing w:after="0" w:line="240" w:lineRule="auto"/>
      <w:ind/>
    </w:pPr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97" w:type="table">
    <w:name w:val="Grid Table 1 Light - Accent 2"/>
    <w:basedOn w:val="Style_3"/>
    <w:pPr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98" w:type="table">
    <w:name w:val="Grid Table 1 Light - Accent 3"/>
    <w:basedOn w:val="Style_3"/>
    <w:pPr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99" w:type="table">
    <w:name w:val="Bordered &amp; Lined - Accent 1"/>
    <w:basedOn w:val="Style_3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00" w:type="table">
    <w:name w:val="Bordered - Accent 1"/>
    <w:basedOn w:val="Style_3"/>
    <w:pPr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01" w:type="table">
    <w:name w:val="List Table 5 Dark - Accent 3"/>
    <w:basedOn w:val="Style_3"/>
    <w:pPr>
      <w:spacing w:after="0" w:line="240" w:lineRule="auto"/>
      <w:ind/>
    </w:pPr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02" w:type="table">
    <w:name w:val="List Table 2 - Accent 4"/>
    <w:basedOn w:val="Style_3"/>
    <w:pPr>
      <w:spacing w:after="0" w:line="240" w:lineRule="auto"/>
      <w:ind/>
    </w:pPr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03" w:type="table">
    <w:name w:val="List Table 3 - Accent 5"/>
    <w:basedOn w:val="Style_3"/>
    <w:pPr>
      <w:spacing w:after="0" w:line="240" w:lineRule="auto"/>
      <w:ind/>
    </w:pPr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04" w:type="table">
    <w:name w:val="Grid Table 3 - Accent 3"/>
    <w:basedOn w:val="Style_3"/>
    <w:pPr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05" w:type="table">
    <w:name w:val="Grid Table 6 Colorful - Accent 3"/>
    <w:basedOn w:val="Style_3"/>
    <w:pPr>
      <w:spacing w:after="0" w:line="240" w:lineRule="auto"/>
      <w:ind/>
    </w:pPr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06" w:type="table">
    <w:name w:val="Grid Table 2 - Accent 6"/>
    <w:basedOn w:val="Style_3"/>
    <w:pPr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07" w:type="table">
    <w:name w:val="List Table 4 - Accent 3"/>
    <w:basedOn w:val="Style_3"/>
    <w:pPr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08" w:type="table">
    <w:name w:val="List Table 6 Colorful - Accent 2"/>
    <w:basedOn w:val="Style_3"/>
    <w:pPr>
      <w:spacing w:after="0" w:line="240" w:lineRule="auto"/>
      <w:ind/>
    </w:pPr>
    <w:tblPr>
      <w:tblInd w:type="dxa" w:w="0"/>
      <w:tblBorders>
        <w:top w:sz="4" w:themeColor="accent2" w:themeTint="97" w:val="single"/>
        <w:bottom w:sz="4" w:themeColor="accent2" w:themeTint="97" w:val="single"/>
      </w:tblBorders>
    </w:tblPr>
  </w:style>
  <w:style w:styleId="Style_109" w:type="table">
    <w:name w:val="Grid Table 3 - Accent 2"/>
    <w:basedOn w:val="Style_3"/>
    <w:pPr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10" w:type="table">
    <w:name w:val="Lined - Accent 6"/>
    <w:basedOn w:val="Style_3"/>
    <w:pPr>
      <w:spacing w:after="0" w:line="240" w:lineRule="auto"/>
      <w:ind/>
    </w:pPr>
    <w:rPr>
      <w:color w:val="404040"/>
    </w:rPr>
    <w:tblPr>
      <w:tblInd w:type="dxa" w:w="0"/>
    </w:tblPr>
  </w:style>
  <w:style w:styleId="Style_111" w:type="table">
    <w:name w:val="Grid Table 1 Light - Accent 1"/>
    <w:basedOn w:val="Style_3"/>
    <w:pPr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12" w:type="table">
    <w:name w:val="List Table 5 Dark - Accent 2"/>
    <w:basedOn w:val="Style_3"/>
    <w:pPr>
      <w:spacing w:after="0" w:line="240" w:lineRule="auto"/>
      <w:ind/>
    </w:pPr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13" w:type="table">
    <w:name w:val="Grid Table 5 Dark- Accent 4"/>
    <w:basedOn w:val="Style_3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4" w:type="table">
    <w:name w:val="Grid Table 1 Light - Accent 5"/>
    <w:basedOn w:val="Style_3"/>
    <w:pPr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15" w:type="table">
    <w:name w:val="List Table 6 Colorful - Accent 6"/>
    <w:basedOn w:val="Style_3"/>
    <w:pPr>
      <w:spacing w:after="0" w:line="240" w:lineRule="auto"/>
      <w:ind/>
    </w:pPr>
    <w:tblPr>
      <w:tblInd w:type="dxa" w:w="0"/>
      <w:tblBorders>
        <w:top w:sz="4" w:themeColor="accent6" w:themeTint="98" w:val="single"/>
        <w:bottom w:sz="4" w:themeColor="accent6" w:themeTint="98" w:val="single"/>
      </w:tblBorders>
    </w:tblPr>
  </w:style>
  <w:style w:styleId="Style_116" w:type="table">
    <w:name w:val="Grid Table 3"/>
    <w:basedOn w:val="Style_3"/>
    <w:pPr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17" w:type="table">
    <w:name w:val="Grid Table 2 - Accent 4"/>
    <w:basedOn w:val="Style_3"/>
    <w:pPr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18" w:type="table">
    <w:name w:val="Grid Table 5 Dark- Accent 1"/>
    <w:basedOn w:val="Style_3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9" w:type="table">
    <w:name w:val="List Table 4 - Accent 1"/>
    <w:basedOn w:val="Style_3"/>
    <w:pPr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20" w:type="table">
    <w:name w:val="Grid Table 4 - Accent 1"/>
    <w:basedOn w:val="Style_3"/>
    <w:pPr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21" w:type="table">
    <w:name w:val="Grid Table 2 - Accent 5"/>
    <w:basedOn w:val="Style_3"/>
    <w:pPr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22" w:type="table">
    <w:name w:val="Bordered - Accent 4"/>
    <w:basedOn w:val="Style_3"/>
    <w:pPr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23" w:type="table">
    <w:name w:val="List Table 7 Colorful - Accent 1"/>
    <w:basedOn w:val="Style_3"/>
    <w:pPr>
      <w:spacing w:after="0" w:line="240" w:lineRule="auto"/>
      <w:ind/>
    </w:pPr>
    <w:tblPr>
      <w:tblInd w:type="dxa" w:w="0"/>
      <w:tblBorders>
        <w:right w:sz="4" w:themeColor="accent1" w:val="single"/>
      </w:tblBorders>
    </w:tblPr>
  </w:style>
  <w:style w:styleId="Style_124" w:type="table">
    <w:name w:val="List Table 7 Colorful - Accent 5"/>
    <w:basedOn w:val="Style_3"/>
    <w:pPr>
      <w:spacing w:after="0" w:line="240" w:lineRule="auto"/>
      <w:ind/>
    </w:pPr>
    <w:tblPr>
      <w:tblInd w:type="dxa" w:w="0"/>
      <w:tblBorders>
        <w:right w:sz="4" w:themeColor="accent5" w:themeTint="9A" w:val="single"/>
      </w:tblBorders>
    </w:tblPr>
  </w:style>
  <w:style w:styleId="Style_125" w:type="table">
    <w:name w:val="Grid Table 2"/>
    <w:basedOn w:val="Style_3"/>
    <w:pPr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26" w:type="table">
    <w:name w:val="Grid Table 7 Colorful - Accent 2"/>
    <w:basedOn w:val="Style_3"/>
    <w:pPr>
      <w:spacing w:after="0" w:line="240" w:lineRule="auto"/>
      <w:ind/>
    </w:pPr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27" w:type="table">
    <w:name w:val="List Table 3 - Accent 4"/>
    <w:basedOn w:val="Style_3"/>
    <w:pPr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28" w:type="table">
    <w:name w:val="Grid Table 3 - Accent 1"/>
    <w:basedOn w:val="Style_3"/>
    <w:pPr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29" w:type="table">
    <w:name w:val="Grid Table 2 - Accent 1"/>
    <w:basedOn w:val="Style_3"/>
    <w:pPr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30" w:type="table">
    <w:name w:val="Grid Table 5 Dark - Accent 5"/>
    <w:basedOn w:val="Style_3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31" w:type="table">
    <w:name w:val="Grid Table 4 - Accent 4"/>
    <w:basedOn w:val="Style_3"/>
    <w:pPr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32" w:type="table">
    <w:name w:val="Grid Table 3 - Accent 4"/>
    <w:basedOn w:val="Style_3"/>
    <w:pPr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33" w:type="table">
    <w:name w:val="Grid Table 4 - Accent 3"/>
    <w:basedOn w:val="Style_3"/>
    <w:pPr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34" w:type="table">
    <w:name w:val="List Table 2 - Accent 3"/>
    <w:basedOn w:val="Style_3"/>
    <w:pPr>
      <w:spacing w:after="0" w:line="240" w:lineRule="auto"/>
      <w:ind/>
    </w:pPr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35" w:type="table">
    <w:name w:val="Grid Table 2 - Accent 3"/>
    <w:basedOn w:val="Style_3"/>
    <w:pPr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36" w:type="table">
    <w:name w:val="Grid Table 4 - Accent 6"/>
    <w:basedOn w:val="Style_3"/>
    <w:pPr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37" w:type="table">
    <w:name w:val="List Table 1 Light - Accent 3"/>
    <w:basedOn w:val="Style_3"/>
    <w:pPr>
      <w:spacing w:after="0" w:line="240" w:lineRule="auto"/>
      <w:ind/>
    </w:pPr>
    <w:tblPr>
      <w:tblInd w:type="dxa" w:w="0"/>
    </w:tblPr>
  </w:style>
  <w:style w:styleId="Style_138" w:type="table">
    <w:name w:val="Grid Table 7 Colorful"/>
    <w:basedOn w:val="Style_3"/>
    <w:pPr>
      <w:spacing w:after="0" w:line="240" w:lineRule="auto"/>
      <w:ind/>
    </w:pPr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39" w:type="table">
    <w:name w:val="Grid Table 4"/>
    <w:basedOn w:val="Style_3"/>
    <w:pPr>
      <w:spacing w:after="0" w:line="240" w:lineRule="auto"/>
      <w:ind/>
    </w:pPr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40" w:type="table">
    <w:name w:val="Grid Table 5 Dark - Accent 6"/>
    <w:basedOn w:val="Style_3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1" w:type="table">
    <w:name w:val="List Table 3 - Accent 1"/>
    <w:basedOn w:val="Style_3"/>
    <w:pPr>
      <w:spacing w:after="0" w:line="240" w:lineRule="auto"/>
      <w:ind/>
    </w:p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42" w:type="table">
    <w:name w:val="Plain Table 3"/>
    <w:basedOn w:val="Style_3"/>
    <w:pPr>
      <w:spacing w:after="0" w:line="240" w:lineRule="auto"/>
      <w:ind/>
    </w:pPr>
    <w:tblPr>
      <w:tblInd w:type="dxa" w:w="0"/>
    </w:tblPr>
  </w:style>
  <w:style w:styleId="Style_143" w:type="table">
    <w:name w:val="Plain Table 4"/>
    <w:basedOn w:val="Style_3"/>
    <w:pPr>
      <w:spacing w:after="0" w:line="240" w:lineRule="auto"/>
      <w:ind/>
    </w:pPr>
    <w:tblPr>
      <w:tblInd w:type="dxa" w:w="0"/>
    </w:tblPr>
  </w:style>
  <w:style w:styleId="Style_144" w:type="table">
    <w:name w:val="Grid Table 1 Light"/>
    <w:basedOn w:val="Style_3"/>
    <w:pPr>
      <w:spacing w:after="0" w:line="240" w:lineRule="auto"/>
      <w:ind/>
    </w:pPr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45" w:type="table">
    <w:name w:val="Bordered &amp; Lined - Accent"/>
    <w:basedOn w:val="Style_3"/>
    <w:pPr>
      <w:spacing w:after="0" w:line="240" w:lineRule="auto"/>
      <w:ind/>
    </w:pPr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46" w:type="table">
    <w:name w:val="Bordered &amp; Lined - Accent 4"/>
    <w:basedOn w:val="Style_3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147" w:type="table">
    <w:name w:val="Lined - Accent"/>
    <w:basedOn w:val="Style_3"/>
    <w:pPr>
      <w:spacing w:after="0" w:line="240" w:lineRule="auto"/>
      <w:ind/>
    </w:pPr>
    <w:rPr>
      <w:color w:val="404040"/>
    </w:rPr>
    <w:tblPr>
      <w:tblInd w:type="dxa" w:w="0"/>
    </w:tblPr>
  </w:style>
  <w:style w:styleId="Style_148" w:type="table">
    <w:name w:val="Lined - Accent 5"/>
    <w:basedOn w:val="Style_3"/>
    <w:pPr>
      <w:spacing w:after="0" w:line="240" w:lineRule="auto"/>
      <w:ind/>
    </w:pPr>
    <w:rPr>
      <w:color w:val="404040"/>
    </w:rPr>
    <w:tblPr>
      <w:tblInd w:type="dxa" w:w="0"/>
    </w:tblPr>
  </w:style>
  <w:style w:styleId="Style_149" w:type="table">
    <w:name w:val="List Table 2 - Accent 6"/>
    <w:basedOn w:val="Style_3"/>
    <w:pPr>
      <w:spacing w:after="0" w:line="240" w:lineRule="auto"/>
      <w:ind/>
    </w:pPr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50" w:type="table">
    <w:name w:val="Grid Table 7 Colorful - Accent 6"/>
    <w:basedOn w:val="Style_3"/>
    <w:pPr>
      <w:spacing w:after="0" w:line="240" w:lineRule="auto"/>
      <w:ind/>
    </w:pPr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51" w:type="table">
    <w:name w:val="List Table 7 Colorful - Accent 2"/>
    <w:basedOn w:val="Style_3"/>
    <w:pPr>
      <w:spacing w:after="0" w:line="240" w:lineRule="auto"/>
      <w:ind/>
    </w:pPr>
    <w:tblPr>
      <w:tblInd w:type="dxa" w:w="0"/>
      <w:tblBorders>
        <w:right w:sz="4" w:themeColor="accent2" w:themeTint="97" w:val="single"/>
      </w:tblBorders>
    </w:tblPr>
  </w:style>
  <w:style w:styleId="Style_152" w:type="table">
    <w:name w:val="List Table 4 - Accent 4"/>
    <w:basedOn w:val="Style_3"/>
    <w:pPr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53" w:type="table">
    <w:name w:val="Bordered - Accent 2"/>
    <w:basedOn w:val="Style_3"/>
    <w:pPr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54" w:type="table">
    <w:name w:val="Grid Table 7 Colorful - Accent 5"/>
    <w:basedOn w:val="Style_3"/>
    <w:pPr>
      <w:spacing w:after="0" w:line="240" w:lineRule="auto"/>
      <w:ind/>
    </w:pPr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55" w:type="table">
    <w:name w:val="List Table 3 - Accent 2"/>
    <w:basedOn w:val="Style_3"/>
    <w:pPr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56" w:type="table">
    <w:name w:val="List Table 3 - Accent 3"/>
    <w:basedOn w:val="Style_3"/>
    <w:pPr>
      <w:spacing w:after="0" w:line="240" w:lineRule="auto"/>
      <w:ind/>
    </w:pPr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57" w:type="table">
    <w:name w:val="List Table 4 - Accent 6"/>
    <w:basedOn w:val="Style_3"/>
    <w:pPr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58" w:type="table">
    <w:name w:val="Grid Table 4 - Accent 2"/>
    <w:basedOn w:val="Style_3"/>
    <w:pPr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59" w:type="table">
    <w:name w:val="List Table 1 Light - Accent 5"/>
    <w:basedOn w:val="Style_3"/>
    <w:pPr>
      <w:spacing w:after="0" w:line="240" w:lineRule="auto"/>
      <w:ind/>
    </w:pPr>
    <w:tblPr>
      <w:tblInd w:type="dxa" w:w="0"/>
    </w:tblPr>
  </w:style>
  <w:style w:styleId="Style_160" w:type="table">
    <w:name w:val="Lined - Accent 2"/>
    <w:basedOn w:val="Style_3"/>
    <w:pPr>
      <w:spacing w:after="0" w:line="240" w:lineRule="auto"/>
      <w:ind/>
    </w:pPr>
    <w:rPr>
      <w:color w:val="404040"/>
    </w:rPr>
    <w:tblPr>
      <w:tblInd w:type="dxa" w:w="0"/>
    </w:tblPr>
  </w:style>
  <w:style w:styleId="Style_161" w:type="table">
    <w:name w:val="Grid Table 7 Colorful - Accent 4"/>
    <w:basedOn w:val="Style_3"/>
    <w:pPr>
      <w:spacing w:after="0" w:line="240" w:lineRule="auto"/>
      <w:ind/>
    </w:pPr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62" w:type="table">
    <w:name w:val="Plain Table 1"/>
    <w:basedOn w:val="Style_3"/>
    <w:pPr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3" w:type="table">
    <w:name w:val="Bordered - Accent 6"/>
    <w:basedOn w:val="Style_3"/>
    <w:pPr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64" w:type="table">
    <w:name w:val="List Table 3"/>
    <w:basedOn w:val="Style_3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65" w:type="table">
    <w:name w:val="Lined - Accent 4"/>
    <w:basedOn w:val="Style_3"/>
    <w:pPr>
      <w:spacing w:after="0" w:line="240" w:lineRule="auto"/>
      <w:ind/>
    </w:pPr>
    <w:rPr>
      <w:color w:val="404040"/>
    </w:rPr>
    <w:tblPr>
      <w:tblInd w:type="dxa" w:w="0"/>
    </w:tblPr>
  </w:style>
  <w:style w:styleId="Style_166" w:type="table">
    <w:name w:val="List Table 2 - Accent 2"/>
    <w:basedOn w:val="Style_3"/>
    <w:pPr>
      <w:spacing w:after="0" w:line="240" w:lineRule="auto"/>
      <w:ind/>
    </w:pPr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67" w:type="table">
    <w:name w:val="List Table 2 - Accent 5"/>
    <w:basedOn w:val="Style_3"/>
    <w:pPr>
      <w:spacing w:after="0" w:line="240" w:lineRule="auto"/>
      <w:ind/>
    </w:pPr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68" w:type="table">
    <w:name w:val="Bordered"/>
    <w:basedOn w:val="Style_3"/>
    <w:pPr>
      <w:spacing w:after="0" w:line="240" w:lineRule="auto"/>
      <w:ind/>
    </w:pPr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69" w:type="table">
    <w:name w:val="List Table 7 Colorful - Accent 3"/>
    <w:basedOn w:val="Style_3"/>
    <w:pPr>
      <w:spacing w:after="0" w:line="240" w:lineRule="auto"/>
      <w:ind/>
    </w:pPr>
    <w:tblPr>
      <w:tblInd w:type="dxa" w:w="0"/>
      <w:tblBorders>
        <w:right w:sz="4" w:themeColor="accent3" w:themeTint="98" w:val="single"/>
      </w:tblBorders>
    </w:tblPr>
  </w:style>
  <w:style w:styleId="Style_170" w:type="table">
    <w:name w:val="List Table 6 Colorful - Accent 3"/>
    <w:basedOn w:val="Style_3"/>
    <w:pPr>
      <w:spacing w:after="0" w:line="240" w:lineRule="auto"/>
      <w:ind/>
    </w:pPr>
    <w:tblPr>
      <w:tblInd w:type="dxa" w:w="0"/>
      <w:tblBorders>
        <w:top w:sz="4" w:themeColor="accent3" w:themeTint="98" w:val="single"/>
        <w:bottom w:sz="4" w:themeColor="accent3" w:themeTint="98" w:val="single"/>
      </w:tblBorders>
    </w:tblPr>
  </w:style>
  <w:style w:styleId="Style_171" w:type="table">
    <w:name w:val="List Table 6 Colorful"/>
    <w:basedOn w:val="Style_3"/>
    <w:pPr>
      <w:spacing w:after="0" w:line="240" w:lineRule="auto"/>
      <w:ind/>
    </w:pPr>
    <w:tblPr>
      <w:tblInd w:type="dxa" w:w="0"/>
      <w:tblBorders>
        <w:top w:sz="4" w:themeColor="text1" w:themeTint="80" w:val="single"/>
        <w:bottom w:sz="4" w:themeColor="text1" w:themeTint="80" w:val="single"/>
      </w:tblBorders>
    </w:tblPr>
  </w:style>
  <w:style w:styleId="Style_172" w:type="table">
    <w:name w:val="List Table 6 Colorful - Accent 1"/>
    <w:basedOn w:val="Style_3"/>
    <w:pPr>
      <w:spacing w:after="0" w:line="240" w:lineRule="auto"/>
      <w:ind/>
    </w:pPr>
    <w:tblPr>
      <w:tblInd w:type="dxa" w:w="0"/>
      <w:tblBorders>
        <w:top w:sz="4" w:themeColor="accent1" w:val="single"/>
        <w:bottom w:sz="4" w:themeColor="accent1" w:val="single"/>
      </w:tblBorders>
    </w:tblPr>
  </w:style>
  <w:style w:styleId="Style_173" w:type="table">
    <w:name w:val="Grid Table 6 Colorful"/>
    <w:basedOn w:val="Style_3"/>
    <w:pPr>
      <w:spacing w:after="0" w:line="240" w:lineRule="auto"/>
      <w:ind/>
    </w:pPr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74" w:type="table">
    <w:name w:val="Grid Table 1 Light - Accent 4"/>
    <w:basedOn w:val="Style_3"/>
    <w:pPr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75" w:type="table">
    <w:name w:val="List Table 5 Dark - Accent 1"/>
    <w:basedOn w:val="Style_3"/>
    <w:pPr>
      <w:spacing w:after="0" w:line="240" w:lineRule="auto"/>
      <w:ind/>
    </w:pPr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76" w:type="table">
    <w:name w:val="List Table 4 - Accent 5"/>
    <w:basedOn w:val="Style_3"/>
    <w:pPr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77" w:type="table">
    <w:name w:val="List Table 1 Light"/>
    <w:basedOn w:val="Style_3"/>
    <w:pPr>
      <w:spacing w:after="0" w:line="240" w:lineRule="auto"/>
      <w:ind/>
    </w:pPr>
    <w:tblPr>
      <w:tblInd w:type="dxa" w:w="0"/>
    </w:tblPr>
  </w:style>
  <w:style w:styleId="Style_178" w:type="table">
    <w:name w:val="Grid Table 1 Light - Accent 6"/>
    <w:basedOn w:val="Style_3"/>
    <w:pPr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79" w:type="table">
    <w:name w:val="Lined - Accent 1"/>
    <w:basedOn w:val="Style_3"/>
    <w:pPr>
      <w:spacing w:after="0" w:line="240" w:lineRule="auto"/>
      <w:ind/>
    </w:pPr>
    <w:rPr>
      <w:color w:val="404040"/>
    </w:rPr>
    <w:tblPr>
      <w:tblInd w:type="dxa" w:w="0"/>
    </w:tblPr>
  </w:style>
  <w:style w:styleId="Style_180" w:type="table">
    <w:name w:val="Grid Table 2 - Accent 2"/>
    <w:basedOn w:val="Style_3"/>
    <w:pPr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81" w:type="table">
    <w:name w:val="Grid Table 6 Colorful - Accent 2"/>
    <w:basedOn w:val="Style_3"/>
    <w:pPr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82" w:type="table">
    <w:name w:val="Lined - Accent 3"/>
    <w:basedOn w:val="Style_3"/>
    <w:pPr>
      <w:spacing w:after="0" w:line="240" w:lineRule="auto"/>
      <w:ind/>
    </w:pPr>
    <w:rPr>
      <w:color w:val="404040"/>
    </w:rPr>
    <w:tblPr>
      <w:tblInd w:type="dxa" w:w="0"/>
    </w:tblPr>
  </w:style>
  <w:style w:styleId="Style_183" w:type="table">
    <w:name w:val="Grid Table 3 - Accent 6"/>
    <w:basedOn w:val="Style_3"/>
    <w:pPr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84" w:type="table">
    <w:name w:val="Plain Table 2"/>
    <w:basedOn w:val="Style_3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5" w:type="table">
    <w:name w:val="List Table 1 Light - Accent 6"/>
    <w:basedOn w:val="Style_3"/>
    <w:pPr>
      <w:spacing w:after="0" w:line="240" w:lineRule="auto"/>
      <w:ind/>
    </w:pPr>
    <w:tblPr>
      <w:tblInd w:type="dxa" w:w="0"/>
    </w:tblPr>
  </w:style>
  <w:style w:styleId="Style_186" w:type="table">
    <w:name w:val="List Table 5 Dark - Accent 5"/>
    <w:basedOn w:val="Style_3"/>
    <w:pPr>
      <w:spacing w:after="0" w:line="240" w:lineRule="auto"/>
      <w:ind/>
    </w:pPr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87" w:type="table">
    <w:name w:val="List Table 5 Dark"/>
    <w:basedOn w:val="Style_3"/>
    <w:pPr>
      <w:spacing w:after="0" w:line="240" w:lineRule="auto"/>
      <w:ind/>
    </w:pPr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88" w:type="table">
    <w:name w:val="List Table 7 Colorful"/>
    <w:basedOn w:val="Style_3"/>
    <w:pPr>
      <w:spacing w:after="0" w:line="240" w:lineRule="auto"/>
      <w:ind/>
    </w:pPr>
    <w:tblPr>
      <w:tblInd w:type="dxa" w:w="0"/>
      <w:tblBorders>
        <w:right w:sz="4" w:themeColor="text1" w:themeTint="80" w:val="single"/>
      </w:tblBorders>
    </w:tblPr>
  </w:style>
  <w:style w:styleId="Style_189" w:type="table">
    <w:name w:val="List Table 2"/>
    <w:basedOn w:val="Style_3"/>
    <w:pPr>
      <w:spacing w:after="0" w:line="240" w:lineRule="auto"/>
      <w:ind/>
    </w:pPr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90" w:type="table">
    <w:name w:val="List Table 4 - Accent 2"/>
    <w:basedOn w:val="Style_3"/>
    <w:pPr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0" Target="theme/theme1.xml" Type="http://schemas.openxmlformats.org/officeDocument/2006/relationships/theme"/>
  <Relationship Id="rId9" Target="webSettings.xml" Type="http://schemas.openxmlformats.org/officeDocument/2006/relationships/webSettings"/>
  <Relationship Id="rId8" Target="stylesWithEffects.xml" Type="http://schemas.microsoft.com/office/2007/relationships/stylesWithEffects"/>
  <Relationship Id="rId7" Target="styles.xml" Type="http://schemas.openxmlformats.org/officeDocument/2006/relationships/styles"/>
  <Relationship Id="rId6" Target="settings.xml" Type="http://schemas.openxmlformats.org/officeDocument/2006/relationships/settings"/>
  <Relationship Id="rId5" Target="fontTable.xml" Type="http://schemas.openxmlformats.org/officeDocument/2006/relationships/fontTable"/>
  <Relationship Id="rId4" Target="media/1.jpeg" Type="http://schemas.openxmlformats.org/officeDocument/2006/relationships/image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2026-09-25T03:08:46Z</dcterms:modified>
</cp:coreProperties>
</file>