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_x0000_i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i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МИНИСТЕРСТВО ОБРАЗОВАНИЯ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ПРИКАЗ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/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957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ind w:left="3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 xml:space="preserve">О внесении изменения в приложение к приказу Министерства образования Камчатс</w:t>
            </w:r>
            <w:r>
              <w:rPr>
                <w:rFonts w:ascii="Times New Roman" w:hAnsi="Times New Roman"/>
                <w:b/>
                <w:bCs/>
                <w:sz w:val="28"/>
              </w:rPr>
              <w:t xml:space="preserve">кого края от 27.06.2023 № 10-Н «Об утверждении Порядка признания организаций, осуществляющих образовательную деятельность, и иных действующих в сфере образования организаций, а также их объединений региональными инновационными площадками в Камчатском крае»</w:t>
            </w:r>
            <w:r>
              <w:rPr>
                <w:rFonts w:ascii="Times New Roman" w:hAnsi="Times New Roman"/>
                <w:b/>
                <w:bCs/>
                <w:sz w:val="28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ПРИКАЗЫВАЮ: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приложение к приказу Министерства образования Камчатского края от 27.06.2023 № 10-Н «Об утверждении Порядка признания организаций</w:t>
      </w:r>
      <w:r>
        <w:rPr>
          <w:rFonts w:ascii="Times New Roman" w:hAnsi="Times New Roman"/>
          <w:sz w:val="28"/>
        </w:rPr>
        <w:t xml:space="preserve">, осуществляющих образовательную деятельность, и иных действующих в сфере образования организаций, а также их объединений региональными инновационными площадками в Камчатском крае» изменение, изложив его в редакции согласно приложению к настоящему приказу.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Настоящий приказ вступает в силу после дня его официального опубликования.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8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Министр</w:t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1"/>
            <w:r/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8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А.А. Захаровская</w:t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r>
        <w:br w:type="page" w:clear="all"/>
      </w:r>
      <w:r/>
    </w:p>
    <w:p>
      <w:pPr>
        <w:ind w:right="-2" w:firstLine="4961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к приказу Министерства</w:t>
      </w:r>
      <w:r>
        <w:rPr>
          <w:rFonts w:ascii="Times New Roman" w:hAnsi="Times New Roman"/>
          <w:sz w:val="28"/>
        </w:rPr>
      </w:r>
    </w:p>
    <w:p>
      <w:pPr>
        <w:ind w:right="-2" w:firstLine="4961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Камчатского края</w:t>
      </w:r>
      <w:r>
        <w:rPr>
          <w:rFonts w:ascii="Times New Roman" w:hAnsi="Times New Roman"/>
          <w:sz w:val="28"/>
        </w:rPr>
      </w:r>
    </w:p>
    <w:tbl>
      <w:tblPr>
        <w:tblStyle w:val="957"/>
        <w:tblW w:w="0" w:type="auto"/>
        <w:tblInd w:w="4962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4" w:type="dxa"/>
            <w:textDirection w:val="lrTb"/>
            <w:noWrap w:val="false"/>
          </w:tcPr>
          <w:p>
            <w:pPr>
              <w:ind w:left="-65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lang w:val="en-US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  <w:lang w:val="en-US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lang w:val="en-US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  <w:lang w:val="en-US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4961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«Приложение к приказу Министерства</w:t>
      </w:r>
      <w:r>
        <w:rPr>
          <w:rFonts w:ascii="Times New Roman" w:hAnsi="Times New Roman"/>
          <w:sz w:val="28"/>
          <w:szCs w:val="28"/>
        </w:rPr>
      </w:r>
    </w:p>
    <w:p>
      <w:pPr>
        <w:ind w:left="4961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образования Камчатского края </w:t>
      </w:r>
      <w:r>
        <w:rPr>
          <w:rFonts w:ascii="Times New Roman" w:hAnsi="Times New Roman"/>
          <w:sz w:val="28"/>
          <w:szCs w:val="28"/>
        </w:rPr>
      </w:r>
    </w:p>
    <w:p>
      <w:pPr>
        <w:ind w:left="4961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от 27.06.2023 № 10-Н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признания </w:t>
      </w:r>
      <w:r>
        <w:rPr>
          <w:rFonts w:ascii="Times New Roman" w:hAnsi="Times New Roman"/>
          <w:sz w:val="28"/>
        </w:rPr>
        <w:t xml:space="preserve">организаций, осуществляющих образовательную деятельность, и иных действующих в сфере образования организаций, а также их объединений региональными инновационными площадками в Камчатском крае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Настоящий Порядок регулирует вопросы признания </w:t>
      </w:r>
      <w:r>
        <w:rPr>
          <w:rFonts w:ascii="Times New Roman" w:hAnsi="Times New Roman"/>
          <w:sz w:val="28"/>
        </w:rPr>
        <w:t xml:space="preserve">организаций, осуществляющ</w:t>
      </w:r>
      <w:r>
        <w:rPr>
          <w:rFonts w:ascii="Times New Roman" w:hAnsi="Times New Roman"/>
          <w:sz w:val="28"/>
        </w:rPr>
        <w:t xml:space="preserve">их образовательную деятельность, и иных действующих в сфере образования организаций, а также их объединений региональными инновационными площадками в Камчатском крае (далее соответственно – образовательные организации, региональные инновационные площадки).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2. Региональными инновационными площадками признаются образоват</w:t>
      </w:r>
      <w:r>
        <w:rPr>
          <w:rFonts w:ascii="Times New Roman" w:hAnsi="Times New Roman"/>
          <w:sz w:val="28"/>
          <w:szCs w:val="28"/>
        </w:rPr>
        <w:t xml:space="preserve">ельные организации, осуществляющие свою деятельность на территории Камчатского края и реализующие инновационные проекты (программы), имеющие существенное значение для обеспечения развития системы образования Камчатского края (далее – инновационный проект).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</w:rPr>
        <w:t xml:space="preserve">Итогом деятельности региональной инновационной площадки выступает разработанный ей результат инновационной деятельности, который готов к массовому использованию и обеспечивает высокую результативность решения актуальной проблемы (далее – продукт). 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</w:rPr>
        <w:t xml:space="preserve">4. Виды продуктов: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</w:rPr>
        <w:t xml:space="preserve">1) образовательные программы (основные общеобразовательные программы, основные профессиональные образовательные программы, основные программы профессионального обучения, дополнительные образовательные программы), программы внеурочной деятельности; 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</w:rPr>
        <w:t xml:space="preserve">2) научно-методические разработки (концепции, модели методического сопровождения, организации образовательного процесса), алгоритмы, описания систем, методики, технологии, в том числе дистанционные и цифровые; 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</w:rPr>
        <w:t xml:space="preserve">3) учебные и учебно-методические пособия, учебно-методические комплексы (комплекты), учебные материалы; 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</w:rPr>
        <w:t xml:space="preserve">4) методические разработки: программы вебинаров, семинаров, конструкторы, кейсы, методические пособия и методические рекомендации для педагогов и руководителей образовательных учреждений, авторские программы; 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</w:rPr>
        <w:t xml:space="preserve">5) диагностические (оценочные) материалы: наборы критериев оценки, контрольно-измерительные материалы;  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</w:rPr>
        <w:t xml:space="preserve">6) электронные или цифровые ресурсы, программное обеспечение, медиаресурсы, сайты;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</w:rPr>
        <w:t xml:space="preserve">7) правовые документы (проекты документов): приказы, положения, проекты модельных локальных актов.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5. Признание образовательных организаций региональными инновационными площ</w:t>
      </w:r>
      <w:r>
        <w:rPr>
          <w:rFonts w:ascii="Times New Roman" w:hAnsi="Times New Roman"/>
          <w:sz w:val="28"/>
          <w:szCs w:val="28"/>
        </w:rPr>
        <w:t xml:space="preserve">адками осуществляется Министерством образования Камчатского края (далее – Министерство) на основании предложений координационного совета по вопросам развития инновационной инфраструктуры в сфере образования Камчатского края (далее – координационный совет).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Координационный совет формируется в составе председателя, его заместителя, секретаря и членов координационного совета.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6. В состав координационного совета входят представители Министерства, </w:t>
      </w:r>
      <w:r>
        <w:rPr>
          <w:rFonts w:ascii="Times New Roman" w:hAnsi="Times New Roman"/>
          <w:sz w:val="28"/>
        </w:rPr>
        <w:t xml:space="preserve">Министерства просвещения Российской Федерации, иных заинтересованных исполнительных органов Камчатского края, органов местного </w:t>
      </w:r>
      <w:r>
        <w:rPr>
          <w:rFonts w:ascii="Times New Roman" w:hAnsi="Times New Roman"/>
          <w:sz w:val="28"/>
          <w:szCs w:val="28"/>
        </w:rPr>
        <w:t xml:space="preserve">самоуправления муниципальных образований Камчатского края, осуществляющих управление в сфере образования, образовательных и научных организаций, а также общественных организаций, осуществляющих деятельность в сфере образования.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Персональный состав координационного совета утверждается приказом Министерства.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7. Основной формой работы координационного совета являются заседания, которые проводятся по мере необходимости, но не реже двух раз в год. 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Заседания координационного совета считаются правомочными если в них участвуют не менее двух третей ее членов.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Заседания координационного совета по решению председателя координационного совета проводятся в очной форме, в том числе с использованием видео-конференц-связи, или в заочной форме посредством заочного голосования.</w:t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8. Заседания координационного совета проводит председатель координационного совета, а в случае </w:t>
      </w:r>
      <w:r>
        <w:rPr>
          <w:rFonts w:ascii="Times New Roman" w:hAnsi="Times New Roman"/>
          <w:sz w:val="28"/>
          <w:szCs w:val="28"/>
        </w:rPr>
        <w:t xml:space="preserve">его отсутствия в связи с состоянием здоровья или другими обстоятельствами, временно препятствующими исполнению обязанностей (в частности, отпуск, служебная командировка) и (или) на основании его поручения – заместитель председателя координационного совета.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9. Председателем координационного совета является заместитель Министра образования Камчатского края.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10. Председатель координационного совета:</w:t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1) осуществляет общее руководство деятельностью координационного совета;</w:t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2) определяет порядок проведения заседания координационного совета;</w:t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3) назначает дату и время проведения заседания координационного совета, утверждает повестку заседания координационного совета;</w:t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4) проводит заседание координационного совета.</w:t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11. Секретарь координационного совета:</w:t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1) осуществляет подготовку необходимых документов в соответствии с повесткой заседания координационного совета;</w:t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2) ведет протокол заседания координационного совета;</w:t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3) уведомляет членов координационного совета о дате, времени, месте и повестке заседания координационного совета;</w:t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4) осуществляет другие функции, связанные с организацией деятельности координационного совета.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12. В случае, если секретарь координационного совета не может осуществлять свои обязанности </w:t>
      </w:r>
      <w:r>
        <w:rPr>
          <w:rFonts w:ascii="Times New Roman" w:hAnsi="Times New Roman"/>
          <w:sz w:val="28"/>
          <w:szCs w:val="28"/>
        </w:rPr>
        <w:t xml:space="preserve">в связи с состоянием здоровья или другими обстоятельствами, временно препятствующими исполнению обязанностей (в частности, отпуск, служебная командировка), их исполняет один из членов координационного совета по решению председателя координационного совета.</w:t>
      </w:r>
      <w:r>
        <w:rPr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13. Решения координац</w:t>
      </w:r>
      <w:r>
        <w:rPr>
          <w:rFonts w:ascii="Times New Roman" w:hAnsi="Times New Roman"/>
          <w:sz w:val="28"/>
          <w:szCs w:val="28"/>
        </w:rPr>
        <w:t xml:space="preserve">ионного совета принимаются простым большинством голосов путем открытого голосования присутствующих на заседании членов координационного совета. При равенстве голосов членов координационного совета голос председательствующего на заседании является решающим.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Все члены координационного совета обладают правом голоса при голосовании.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Лица, приглашенные на заседания координационного совета, не имеют права голоса при голосовании.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14. Делегирование полномочий члена координационного совета иному лицу не допускается.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15. Решения координационного совета оформляются протоколами, которые подписывает председатель координационного совета. В протоколах указывается особое мнение членов координационного совета (при его наличии).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16. Организационное сопровождение процедуры</w:t>
      </w:r>
      <w:r>
        <w:rPr>
          <w:rFonts w:ascii="Times New Roman" w:hAnsi="Times New Roman"/>
          <w:sz w:val="28"/>
          <w:szCs w:val="28"/>
        </w:rPr>
        <w:t xml:space="preserve"> признания образовательных организаций региональными инновационными площадками осуществляет региональный оператор по вопросам формирования и функционирования инновационной инфраструктуры в сфере образования Камчатского края (далее – региональный оператор).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Региональным оператором является краевое государственное автономное учреждение дополнительного профессионального образования «Камчатский институт развития образования».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17. Для признания образовательной организации инновационной площадкой образовательная организация, </w:t>
      </w:r>
      <w:r>
        <w:rPr>
          <w:rFonts w:ascii="Times New Roman" w:hAnsi="Times New Roman"/>
          <w:sz w:val="28"/>
        </w:rPr>
        <w:t xml:space="preserve">претендующая на присвоение статуса региональной инновационной площадки (далее – организация-заявитель), направляет региональному оператору в период с 1 декабря по 14 февраля на адрес электронной почты kiro@kamchatkairo.ru заявку, которая должна содержать: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1) наименование, место нахождения, контактные данные организации-заявителя;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sz w:val="20"/>
        </w:rPr>
      </w:pPr>
      <w:r>
        <w:rPr>
          <w:rFonts w:ascii="Times New Roman" w:hAnsi="Times New Roman"/>
          <w:sz w:val="28"/>
        </w:rPr>
        <w:t xml:space="preserve">2) цели, задачи, инновационную и практическую значимость предлагаемого инновационного проекта, корреляцию инновационного проекта с </w:t>
      </w:r>
      <w:r>
        <w:rPr>
          <w:rFonts w:ascii="Times New Roman" w:hAnsi="Times New Roman"/>
          <w:sz w:val="28"/>
        </w:rPr>
        <w:t xml:space="preserve">национальными целями и стратегическими задачами, теоретические положения, на которых строится инновационный проект;</w:t>
      </w:r>
      <w:r>
        <w:rPr>
          <w:sz w:val="20"/>
        </w:rPr>
        <w:t xml:space="preserve"> </w:t>
      </w:r>
      <w:r>
        <w:rPr>
          <w:sz w:val="2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программу реализации инновационного проекта;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4) описание методов деятельности, используемых в ходе реализации мероприятий инновационного проекта;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5) ресурсное обеспечение и возможные риски реализации инновационного проекта;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6) прогнозируемые результаты реализации инновационного проекта по каждому этапу программы реализации инновационного проекта, включая средства мониторинга, контроля и обеспечения достоверности результатов реализации инновационного проекта;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7) информацию о востребованности продукта;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8) предложения по распространению и внедрению продукта в массовую практику; 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9) выписку из решения коллегиального органа организации-заявителя об обращении с заявкой на признание ее региональной инновационной площадкой. 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18. Заявка формируется организацией-заявителем в соответствии с приоритетными направлениями деятельности региональных инновационных площадок, утверждаемыми приказом Министерства. 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19. Региональный оператор в течение 5 рабочих дней со дня окончания приема заявок осуществляет: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регистрацию заявки;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техническую проверку заявки на соответствие требованиям, указанным в части 17 настоящего Порядка;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направление заявки, прошедшей техническую проверку, в коорд</w:t>
      </w:r>
      <w:r>
        <w:rPr>
          <w:rFonts w:ascii="Times New Roman" w:hAnsi="Times New Roman"/>
          <w:sz w:val="28"/>
        </w:rPr>
        <w:t xml:space="preserve">инационный совет либо направление мотивированного отказа организации-заявителю в дальнейшем направлении заявки в координационный совет по результатам технической проверки при наличии одного или нескольких оснований, указанных в части 20 настоящего Порядка.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 </w:t>
      </w:r>
      <w:r>
        <w:rPr>
          <w:rFonts w:ascii="Times New Roman" w:hAnsi="Times New Roman"/>
          <w:sz w:val="28"/>
        </w:rPr>
        <w:t xml:space="preserve">Основаниями для отказа в направлении региональным оператором заявки в координационный совет по результатам технической проверки являются: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1) несоответствие заявки требованиям, указанным в части 17 настоящего Порядка;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</w:rPr>
        <w:t xml:space="preserve">2) несоответствие заявки приоритетным направлениям деятельности региональных инновационных площадок, утверждаемым Министерством в соо</w:t>
      </w:r>
      <w:r>
        <w:rPr>
          <w:rFonts w:ascii="Times New Roman" w:hAnsi="Times New Roman"/>
          <w:sz w:val="28"/>
          <w:highlight w:val="white"/>
        </w:rPr>
        <w:t xml:space="preserve">тветствии с частью 18 настоящего Порядка;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3) несоответствие в заявке между целями, задачами, методами и ожидаемыми результатами инновационной деятельности.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21. Координационный совет в течение 5 рабочих дней со дня поступления заявок утверждает распределение заявок между экспертами и направляет их экспертам для проведения экспертизы.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Одна заявка направляется трем экспертам.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22. Эксперты в течение 20 рабочих дней со дня получения заявки осуществляют ее экспертизу в соответствии с критериями оценки заявок организаций-соискателей, указанными в приложении 1 к настоящему Порядку, </w:t>
      </w:r>
      <w:r>
        <w:rPr>
          <w:rFonts w:ascii="Times New Roman" w:hAnsi="Times New Roman"/>
          <w:sz w:val="28"/>
          <w:highlight w:val="white"/>
        </w:rPr>
        <w:t xml:space="preserve">формируют на основании данных критериев экспертное заключение и направляют экспертное заключение в координационный совет.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23. Координационный совет в течение 10 рабочих дней со дня получения экспертных заключений рассматривает экспертные заключения и принимает одно из следующих решений: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рекомендовать признать организацию-заявителя региональной инновационной площадкой;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отказать в признании организации-заявителя региональной инновационной площадкой.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24. Решение об отказе в признании организации-заявителя региональной инновационной площадкой принимается в случае если среднее арифметическое количество баллов по результатам экспертизы заявки равно 54 баллам и ниже.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Среднее арифметическое количество баллов по результатам экспертизы заявки определяется путем суммирования баллов, присвоенных каждым экспертом в экспертном заключении, и последующего деления на количество экспертов, проводивших экспертизу заявки.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25. Протокол заседания координационного совета, которым утверждается одно из решений, указанных в части 23 настоящего Порядка, подписывается председателем координационного совета в течение 2 рабочих дней со дня принятия решения.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26. Региональный оператор в течение 2 рабочих дней со дня подписания протокола заседания координационного совета размещает его на своем официальном сайте в информационно-телекоммуникационной сети «Интернет» (далее – официальный сайт).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27. Министерство в течение 20 рабочих дней со дня подписания протокола заседания координационного совета издает приказ о признании </w:t>
      </w:r>
      <w:r>
        <w:rPr>
          <w:rFonts w:ascii="Times New Roman" w:hAnsi="Times New Roman"/>
          <w:sz w:val="28"/>
        </w:rPr>
        <w:br/>
        <w:t xml:space="preserve">организации-заявителя региональной инновационной площадкой с указанием темы и сроков ее деятельности в качестве региональной инновационной площадки.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28. Срок деятельности региональной инновационной площадки определяется сроками реализации инновационного проекта, указанного в программе реализации инновационного проекта.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29. Региональная инновационная площадка в течение 30 календарных дней со дня ее признания региональной инновационной площадкой создает на своем официальном сайте в информационно-телекомму</w:t>
      </w:r>
      <w:r>
        <w:rPr>
          <w:rFonts w:ascii="Times New Roman" w:hAnsi="Times New Roman"/>
          <w:sz w:val="28"/>
        </w:rPr>
        <w:t xml:space="preserve">никационной сети «Интернет» тематический раздел, содержащий актуальную информацию о ее деятельности в качестве региональной инновационной площадки (в том числе ежегодные отчеты</w:t>
      </w:r>
      <w:r>
        <w:rPr>
          <w:rFonts w:ascii="Times New Roman" w:hAnsi="Times New Roman"/>
          <w:sz w:val="28"/>
        </w:rPr>
        <w:t xml:space="preserve"> о реализации и</w:t>
      </w:r>
      <w:r>
        <w:rPr>
          <w:rFonts w:ascii="Times New Roman" w:hAnsi="Times New Roman"/>
          <w:sz w:val="28"/>
        </w:rPr>
        <w:t xml:space="preserve">нновационного проекта (далее – ежегодные отчеты), правовые акты).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30. Региональные инновационные площадки осуществляют свою деятельность в соответствии с прилагаемой к заявке программой реализации инновационного проекта. 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31. Региональные инновационные площадки при реализации инновационного проекта:</w:t>
      </w:r>
      <w:r>
        <w:rPr>
          <w:rFonts w:ascii="Times New Roman" w:hAnsi="Times New Roman"/>
          <w:sz w:val="28"/>
        </w:rPr>
      </w:r>
    </w:p>
    <w:p>
      <w:pPr>
        <w:pStyle w:val="766"/>
        <w:numPr>
          <w:ilvl w:val="0"/>
          <w:numId w:val="1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планируют свою деятельность, привлекая научных консультантов;</w:t>
      </w:r>
      <w:r>
        <w:rPr>
          <w:rFonts w:ascii="Times New Roman" w:hAnsi="Times New Roman"/>
          <w:sz w:val="28"/>
        </w:rPr>
      </w:r>
    </w:p>
    <w:p>
      <w:pPr>
        <w:pStyle w:val="766"/>
        <w:numPr>
          <w:ilvl w:val="0"/>
          <w:numId w:val="1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осуществляют мониторинг реализуемого инновационного проекта;</w:t>
      </w:r>
      <w:r>
        <w:rPr>
          <w:rFonts w:ascii="Times New Roman" w:hAnsi="Times New Roman"/>
          <w:sz w:val="28"/>
        </w:rPr>
      </w:r>
    </w:p>
    <w:p>
      <w:pPr>
        <w:pStyle w:val="766"/>
        <w:numPr>
          <w:ilvl w:val="0"/>
          <w:numId w:val="1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орга</w:t>
      </w:r>
      <w:r>
        <w:rPr>
          <w:rFonts w:ascii="Times New Roman" w:hAnsi="Times New Roman"/>
          <w:sz w:val="28"/>
        </w:rPr>
        <w:t xml:space="preserve">низуют информационное сопровождение реализации инновационного проекта посредством информирования родителей (законных представителей) несовершеннолетних обучающихся и иных лиц о целях, задачах, механизмах реализации, результативности инновационного проекта.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32. В соответствии с календарем про</w:t>
      </w:r>
      <w:r>
        <w:rPr>
          <w:rFonts w:ascii="Times New Roman" w:hAnsi="Times New Roman"/>
          <w:sz w:val="28"/>
        </w:rPr>
        <w:t xml:space="preserve">ведения отчетных мероприятий, ежегодно утверждаемым региональным оператором и размещаемым им на своем официальном сайте до 1 октября, региональные инновационные площадки проводят отчетные мероприятия (не менее одного отчетного мероприятия за учебный год). 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Цель отчетного ме</w:t>
      </w:r>
      <w:r>
        <w:rPr>
          <w:rFonts w:ascii="Times New Roman" w:hAnsi="Times New Roman"/>
          <w:sz w:val="28"/>
          <w:highlight w:val="none"/>
        </w:rPr>
        <w:t xml:space="preserve">роприятия – представление практической значимости и возможности тиражирования </w:t>
      </w:r>
      <w:r>
        <w:rPr>
          <w:rFonts w:ascii="Times New Roman" w:hAnsi="Times New Roman"/>
          <w:sz w:val="28"/>
          <w:highlight w:val="none"/>
        </w:rPr>
        <w:t xml:space="preserve">результатов инновационной деятельности</w:t>
      </w:r>
      <w:r>
        <w:rPr>
          <w:rFonts w:ascii="Times New Roman" w:hAnsi="Times New Roman"/>
          <w:sz w:val="28"/>
          <w:highlight w:val="none"/>
        </w:rPr>
        <w:t xml:space="preserve"> </w:t>
      </w:r>
      <w:r>
        <w:rPr>
          <w:rFonts w:ascii="Times New Roman" w:hAnsi="Times New Roman"/>
          <w:sz w:val="28"/>
          <w:highlight w:val="none"/>
        </w:rPr>
        <w:t xml:space="preserve">для иных образовательных организаций.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highlight w:val="none"/>
        </w:rPr>
        <w:t xml:space="preserve">Обязательным условием проведения отчетного м</w:t>
      </w:r>
      <w:r>
        <w:rPr>
          <w:rFonts w:ascii="Times New Roman" w:hAnsi="Times New Roman"/>
          <w:sz w:val="28"/>
        </w:rPr>
        <w:t xml:space="preserve">ероприятия является участие членов координационного совета.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33. Члены координационного совета, участвовавшие в отчетном мероприятии, письменно высказывают свои замечания и предложения по итогам отчетного мероприятия. По итогам с</w:t>
      </w:r>
      <w:r>
        <w:rPr>
          <w:rFonts w:ascii="Times New Roman" w:hAnsi="Times New Roman"/>
          <w:sz w:val="28"/>
        </w:rPr>
        <w:t xml:space="preserve">бора и анализа информации о проведенном отчетном мероприятии региональный оператор в течение 20 рабочих дней со дня проведения отчетного мероприятия информирует региональные инновационные площадки о замечаниях и предложениях членов координационного совета.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34. Региональные инновационные площадки (за исключением</w:t>
      </w:r>
      <w:r>
        <w:rPr>
          <w:rFonts w:ascii="Times New Roman" w:hAnsi="Times New Roman"/>
          <w:sz w:val="28"/>
        </w:rPr>
        <w:t xml:space="preserve"> региональных инновационных площадок, деятельность которых прекращается в текущем календарном году) ежегодно в срок до 25 сентября направляют региональному оператору ежегодный отчет для проведения экспертизы на адрес электронной почты kiro@kamchatkairo.ru.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35. Региональный оператор в течение 5 рабочих дней со дня окончания срока приема ежегодных отчетов осуществляет их направление в координационный совет.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36. Координационный совет в течение 5 рабочих дней со дня поступления ежегодных отчетов утверждает распределение ежегодных отчетов между экспертами и направляет их экспертам для проведения экспертизы.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</w:rPr>
        <w:t xml:space="preserve">Один ежегодный отчет рассматривается одним экспертом.</w:t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37. Эксперт в течение 20 рабоч</w:t>
      </w:r>
      <w:r>
        <w:rPr>
          <w:rFonts w:ascii="Times New Roman" w:hAnsi="Times New Roman"/>
          <w:sz w:val="28"/>
        </w:rPr>
        <w:t xml:space="preserve">их дней со дня получения ежегодного отчета осуществляет его экспертизу в соответствии с критериями, установленными в приложении 2 к настоящему Порядку, формирует на основании данных критериев экспертное заключение и направляет его в координационный совет. 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38. Координационный совет в срок не позднее 10 ноября </w:t>
      </w:r>
      <w:r>
        <w:rPr>
          <w:rFonts w:ascii="Times New Roman" w:hAnsi="Times New Roman"/>
          <w:sz w:val="28"/>
          <w:highlight w:val="none"/>
        </w:rPr>
        <w:t xml:space="preserve">по итогам экспертизы ежегодного отчета</w:t>
      </w:r>
      <w:r>
        <w:rPr>
          <w:rFonts w:ascii="Times New Roman" w:hAnsi="Times New Roman"/>
          <w:sz w:val="28"/>
          <w:highlight w:val="none"/>
        </w:rPr>
        <w:t xml:space="preserve"> региональных инновационных площадок принимает одно из следующих решений: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66"/>
        <w:numPr>
          <w:ilvl w:val="0"/>
          <w:numId w:val="1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продлении деятельности региональной инновационной площадки;</w:t>
      </w:r>
      <w:r>
        <w:rPr>
          <w:rFonts w:ascii="Times New Roman" w:hAnsi="Times New Roman"/>
          <w:sz w:val="28"/>
        </w:rPr>
      </w:r>
    </w:p>
    <w:p>
      <w:pPr>
        <w:pStyle w:val="766"/>
        <w:numPr>
          <w:ilvl w:val="0"/>
          <w:numId w:val="1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досрочном прекращении деятельности региональной инновационной площадки. </w:t>
      </w:r>
      <w:r>
        <w:rPr>
          <w:rFonts w:ascii="Times New Roman" w:hAnsi="Times New Roman"/>
          <w:sz w:val="28"/>
        </w:rPr>
      </w:r>
    </w:p>
    <w:p>
      <w:pPr>
        <w:pStyle w:val="766"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39. Основаниями для досрочного прекращения деятельности региональной инновационной площадки являются:</w:t>
      </w:r>
      <w:r>
        <w:rPr>
          <w:rFonts w:ascii="Times New Roman" w:hAnsi="Times New Roman"/>
          <w:color w:val="000000" w:themeColor="text1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1)</w:t>
      </w:r>
      <w:r>
        <w:rPr>
          <w:rFonts w:ascii="Times New Roman" w:hAnsi="Times New Roman"/>
          <w:color w:val="000000" w:themeColor="text1"/>
          <w:sz w:val="28"/>
        </w:rPr>
        <w:tab/>
        <w:t xml:space="preserve">получение промежуточных результатов, свидетельствующих о невозможности или нецелесообразности продолжения реализации инновационной деятельности;</w:t>
      </w:r>
      <w:r>
        <w:rPr>
          <w:rFonts w:ascii="Times New Roman" w:hAnsi="Times New Roman"/>
          <w:color w:val="000000" w:themeColor="text1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2)</w:t>
      </w:r>
      <w:r>
        <w:rPr>
          <w:rFonts w:ascii="Times New Roman" w:hAnsi="Times New Roman"/>
          <w:color w:val="000000" w:themeColor="text1"/>
          <w:sz w:val="28"/>
        </w:rPr>
        <w:tab/>
        <w:t xml:space="preserve">получение неудовлетворительного экспертного заключения на ежегодный отчет;</w:t>
      </w:r>
      <w:r>
        <w:rPr>
          <w:rFonts w:ascii="Times New Roman" w:hAnsi="Times New Roman"/>
          <w:color w:val="000000" w:themeColor="text1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3)</w:t>
      </w:r>
      <w:r>
        <w:rPr>
          <w:rFonts w:ascii="Times New Roman" w:hAnsi="Times New Roman"/>
          <w:color w:val="000000" w:themeColor="text1"/>
          <w:sz w:val="28"/>
        </w:rPr>
        <w:tab/>
        <w:t xml:space="preserve">непредставление или несвоевременное представление ежегодного отчета;</w:t>
      </w:r>
      <w:r>
        <w:rPr>
          <w:rFonts w:ascii="Times New Roman" w:hAnsi="Times New Roman"/>
          <w:color w:val="000000" w:themeColor="text1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5)</w:t>
      </w:r>
      <w:r>
        <w:rPr>
          <w:rFonts w:ascii="Times New Roman" w:hAnsi="Times New Roman"/>
          <w:color w:val="000000" w:themeColor="text1"/>
          <w:sz w:val="28"/>
        </w:rPr>
        <w:tab/>
        <w:t xml:space="preserve">отсутствие информации о деятельности региональной инновационной площадки, в том числе ежегодного отчета, на официальном сайте региональной инновационной площадки; </w:t>
      </w:r>
      <w:r>
        <w:rPr>
          <w:rFonts w:ascii="Times New Roman" w:hAnsi="Times New Roman"/>
          <w:color w:val="000000" w:themeColor="text1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6)</w:t>
      </w:r>
      <w:r>
        <w:rPr>
          <w:rFonts w:ascii="Times New Roman" w:hAnsi="Times New Roman"/>
          <w:color w:val="000000" w:themeColor="text1"/>
          <w:sz w:val="28"/>
        </w:rPr>
        <w:tab/>
        <w:t xml:space="preserve">прекращение деятельности образовательной организации, признанной региональной инновационной площадкой. </w:t>
      </w:r>
      <w:r>
        <w:rPr>
          <w:rFonts w:ascii="Times New Roman" w:hAnsi="Times New Roman"/>
          <w:color w:val="000000" w:themeColor="text1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40. Протокол заседания координационного совета, на котором было принято одно из решений, указанных в части 38 настоящего Порядка, подписывается председателем координационного совета в течение 2 рабочих дней со дня принятия решения.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41. Региональный оператор в течение 2 рабочих дней со дня получения подписанного протокола размещает его на своем официальном сайте в информационно-телекоммуникационной сети «Интернет».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42. Министерство в срок до 30 ноября издает приказ о продлении или досрочном прекращении деятельности региональной инновационной площадки с указанием темы и сроков деятельности в качестве региональной инновационной площадки.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43. Ежегодные отчеты размещаются региональной инновационной площадкой на своем официальном сайте ежегодно в срок до 31 октября. 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44. По итогам реализации инновационного проекта региональные инн</w:t>
      </w:r>
      <w:r>
        <w:rPr>
          <w:rFonts w:ascii="Times New Roman" w:hAnsi="Times New Roman"/>
          <w:sz w:val="28"/>
          <w:highlight w:val="none"/>
        </w:rPr>
        <w:t xml:space="preserve">овационные площадки направляют в адрес регионального оператора </w:t>
      </w:r>
      <w:r>
        <w:rPr>
          <w:rFonts w:ascii="Times New Roman" w:hAnsi="Times New Roman"/>
          <w:sz w:val="28"/>
          <w:highlight w:val="none"/>
        </w:rPr>
        <w:t xml:space="preserve">на адрес электронной почты kiro@kamchatkairo.ru </w:t>
      </w:r>
      <w:r>
        <w:rPr>
          <w:rFonts w:ascii="Times New Roman" w:hAnsi="Times New Roman"/>
          <w:sz w:val="28"/>
          <w:highlight w:val="none"/>
        </w:rPr>
        <w:t xml:space="preserve">в срок до 25 сентября </w:t>
      </w:r>
      <w:r>
        <w:rPr>
          <w:rFonts w:ascii="Times New Roman" w:hAnsi="Times New Roman"/>
          <w:sz w:val="28"/>
          <w:highlight w:val="none"/>
        </w:rPr>
        <w:t xml:space="preserve">итоговый отчет</w:t>
      </w:r>
      <w:r>
        <w:rPr>
          <w:rFonts w:ascii="Times New Roman" w:hAnsi="Times New Roman"/>
          <w:sz w:val="28"/>
          <w:highlight w:val="none"/>
        </w:rPr>
        <w:t xml:space="preserve"> </w:t>
      </w:r>
      <w:r>
        <w:rPr>
          <w:rFonts w:ascii="Times New Roman" w:hAnsi="Times New Roman"/>
          <w:sz w:val="28"/>
        </w:rPr>
        <w:t xml:space="preserve">о реализации и</w:t>
      </w:r>
      <w:r>
        <w:rPr>
          <w:rFonts w:ascii="Times New Roman" w:hAnsi="Times New Roman"/>
          <w:sz w:val="28"/>
        </w:rPr>
        <w:t xml:space="preserve">нновационного проекта (далее – итоговый отчет) </w:t>
      </w:r>
      <w:r>
        <w:rPr>
          <w:rFonts w:ascii="Times New Roman" w:hAnsi="Times New Roman"/>
          <w:sz w:val="28"/>
          <w:highlight w:val="none"/>
        </w:rPr>
        <w:t xml:space="preserve">и</w:t>
      </w:r>
      <w:r>
        <w:rPr>
          <w:rFonts w:ascii="Times New Roman" w:hAnsi="Times New Roman"/>
          <w:sz w:val="28"/>
          <w:highlight w:val="none"/>
        </w:rPr>
        <w:t xml:space="preserve"> </w:t>
      </w:r>
      <w:r>
        <w:rPr>
          <w:rFonts w:ascii="Times New Roman" w:hAnsi="Times New Roman"/>
          <w:sz w:val="28"/>
          <w:highlight w:val="none"/>
        </w:rPr>
        <w:t xml:space="preserve">разработанный </w:t>
      </w:r>
      <w:r>
        <w:rPr>
          <w:rFonts w:ascii="Times New Roman" w:hAnsi="Times New Roman"/>
          <w:sz w:val="28"/>
          <w:highlight w:val="none"/>
        </w:rPr>
        <w:t xml:space="preserve">продукт для проведения экспертизы.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45. Региональный оператор в течение 5 рабочих дней со дня окончания срока приема итоговых </w:t>
      </w:r>
      <w:r>
        <w:rPr>
          <w:rFonts w:ascii="Times New Roman" w:hAnsi="Times New Roman"/>
          <w:sz w:val="28"/>
          <w:highlight w:val="none"/>
        </w:rPr>
        <w:t xml:space="preserve">отчетов и</w:t>
      </w:r>
      <w:r>
        <w:rPr>
          <w:rFonts w:ascii="Times New Roman" w:hAnsi="Times New Roman"/>
          <w:sz w:val="28"/>
          <w:highlight w:val="none"/>
        </w:rPr>
        <w:t xml:space="preserve"> </w:t>
      </w:r>
      <w:r>
        <w:rPr>
          <w:rFonts w:ascii="Times New Roman" w:hAnsi="Times New Roman"/>
          <w:sz w:val="28"/>
          <w:highlight w:val="none"/>
        </w:rPr>
        <w:t xml:space="preserve">продуктов осуществляет их направление экспертам для проведения экспертизы.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Один итоговый </w:t>
      </w:r>
      <w:r>
        <w:rPr>
          <w:rFonts w:ascii="Times New Roman" w:hAnsi="Times New Roman"/>
          <w:sz w:val="28"/>
          <w:highlight w:val="none"/>
        </w:rPr>
        <w:t xml:space="preserve">отчет и</w:t>
      </w:r>
      <w:r>
        <w:rPr>
          <w:rFonts w:ascii="Times New Roman" w:hAnsi="Times New Roman"/>
          <w:sz w:val="28"/>
          <w:highlight w:val="none"/>
        </w:rPr>
        <w:t xml:space="preserve"> </w:t>
      </w:r>
      <w:r>
        <w:rPr>
          <w:rFonts w:ascii="Times New Roman" w:hAnsi="Times New Roman"/>
          <w:sz w:val="28"/>
          <w:highlight w:val="none"/>
        </w:rPr>
        <w:t xml:space="preserve">продукт рассматриваются одним экспертом.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trike w:val="0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46. Эксперт в течение 20 рабочих дней со дня получения</w:t>
      </w:r>
      <w:r>
        <w:rPr>
          <w:rFonts w:ascii="Times New Roman" w:hAnsi="Times New Roman"/>
          <w:sz w:val="28"/>
          <w:highlight w:val="none"/>
        </w:rPr>
        <w:t xml:space="preserve"> итогового </w:t>
      </w:r>
      <w:r>
        <w:rPr>
          <w:rFonts w:ascii="Times New Roman" w:hAnsi="Times New Roman"/>
          <w:sz w:val="28"/>
          <w:highlight w:val="none"/>
        </w:rPr>
        <w:t xml:space="preserve">отчета и</w:t>
      </w:r>
      <w:r>
        <w:rPr>
          <w:rFonts w:ascii="Times New Roman" w:hAnsi="Times New Roman"/>
          <w:sz w:val="28"/>
          <w:highlight w:val="none"/>
        </w:rPr>
        <w:t xml:space="preserve"> продукта осуществляет </w:t>
      </w:r>
      <w:r>
        <w:rPr>
          <w:rFonts w:ascii="Times New Roman" w:hAnsi="Times New Roman"/>
          <w:sz w:val="28"/>
          <w:highlight w:val="none"/>
        </w:rPr>
        <w:t xml:space="preserve">их</w:t>
      </w:r>
      <w:r>
        <w:rPr>
          <w:rFonts w:ascii="Times New Roman" w:hAnsi="Times New Roman"/>
          <w:sz w:val="28"/>
          <w:highlight w:val="none"/>
        </w:rPr>
        <w:t xml:space="preserve"> экспертизу в соответствии с критериями, определенными в</w:t>
      </w:r>
      <w:r>
        <w:rPr>
          <w:rFonts w:ascii="Times New Roman" w:hAnsi="Times New Roman"/>
          <w:sz w:val="28"/>
          <w:highlight w:val="none"/>
        </w:rPr>
        <w:t xml:space="preserve"> </w:t>
      </w:r>
      <w:r>
        <w:rPr>
          <w:rFonts w:ascii="Times New Roman" w:hAnsi="Times New Roman"/>
          <w:sz w:val="28"/>
          <w:highlight w:val="none"/>
        </w:rPr>
        <w:t xml:space="preserve">приложени</w:t>
      </w:r>
      <w:r>
        <w:rPr>
          <w:rFonts w:ascii="Times New Roman" w:hAnsi="Times New Roman"/>
          <w:sz w:val="28"/>
          <w:highlight w:val="none"/>
        </w:rPr>
        <w:t xml:space="preserve">ях</w:t>
      </w:r>
      <w:r>
        <w:rPr>
          <w:rFonts w:ascii="Times New Roman" w:hAnsi="Times New Roman"/>
          <w:sz w:val="28"/>
          <w:highlight w:val="none"/>
        </w:rPr>
        <w:t xml:space="preserve"> </w:t>
      </w:r>
      <w:r>
        <w:rPr>
          <w:rFonts w:ascii="Times New Roman" w:hAnsi="Times New Roman"/>
          <w:sz w:val="28"/>
          <w:highlight w:val="none"/>
        </w:rPr>
        <w:t xml:space="preserve">2 и</w:t>
      </w:r>
      <w:r>
        <w:rPr>
          <w:rFonts w:ascii="Times New Roman" w:hAnsi="Times New Roman"/>
          <w:sz w:val="28"/>
          <w:highlight w:val="none"/>
        </w:rPr>
        <w:t xml:space="preserve"> </w:t>
      </w:r>
      <w:r>
        <w:rPr>
          <w:rFonts w:ascii="Times New Roman" w:hAnsi="Times New Roman"/>
          <w:sz w:val="28"/>
          <w:highlight w:val="none"/>
        </w:rPr>
        <w:t xml:space="preserve">3 к настоящему Порядку, формирует на </w:t>
      </w:r>
      <w:r>
        <w:rPr>
          <w:rFonts w:ascii="Times New Roman" w:hAnsi="Times New Roman"/>
          <w:sz w:val="28"/>
        </w:rPr>
        <w:t xml:space="preserve">основании указанных критериев экспертные заключения и направляет </w:t>
      </w:r>
      <w:r>
        <w:rPr>
          <w:rFonts w:ascii="Times New Roman" w:hAnsi="Times New Roman"/>
          <w:strike w:val="0"/>
          <w:sz w:val="28"/>
          <w:highlight w:val="none"/>
        </w:rPr>
        <w:t xml:space="preserve">экспертные заключения региональному оператору</w:t>
      </w:r>
      <w:r>
        <w:rPr>
          <w:rFonts w:ascii="Times New Roman" w:hAnsi="Times New Roman"/>
          <w:strike w:val="0"/>
          <w:sz w:val="28"/>
          <w:highlight w:val="none"/>
        </w:rPr>
        <w:t xml:space="preserve">.</w:t>
      </w:r>
      <w:r>
        <w:rPr>
          <w:rFonts w:ascii="Times New Roman" w:hAnsi="Times New Roman"/>
          <w:strike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trike w:val="0"/>
          <w:sz w:val="28"/>
          <w:szCs w:val="28"/>
          <w:highlight w:val="none"/>
        </w:rPr>
      </w:pPr>
      <w:r>
        <w:rPr>
          <w:rFonts w:ascii="Times New Roman" w:hAnsi="Times New Roman"/>
          <w:strike w:val="0"/>
          <w:sz w:val="28"/>
          <w:szCs w:val="28"/>
          <w:highlight w:val="none"/>
        </w:rPr>
        <w:t xml:space="preserve">47. Региональный оператор в течение 2 рабочих дней со дня получения экспертных заключений направляет их региональной инновационной площадке, направившей итоговый отчет и продукт, </w:t>
      </w:r>
      <w:r>
        <w:rPr>
          <w:rFonts w:ascii="Times New Roman" w:hAnsi="Times New Roman"/>
          <w:strike w:val="0"/>
          <w:sz w:val="28"/>
          <w:highlight w:val="none"/>
        </w:rPr>
        <w:t xml:space="preserve">и в координационный совет</w:t>
      </w:r>
      <w:r>
        <w:rPr>
          <w:rFonts w:ascii="Times New Roman" w:hAnsi="Times New Roman"/>
          <w:strike w:val="0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strike w:val="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48. Коор</w:t>
      </w:r>
      <w:r>
        <w:rPr>
          <w:rFonts w:ascii="Times New Roman" w:hAnsi="Times New Roman"/>
          <w:sz w:val="28"/>
          <w:highlight w:val="none"/>
        </w:rPr>
        <w:t xml:space="preserve">динационный совет в срок не позднее 10 ноября по итогам </w:t>
      </w:r>
      <w:r>
        <w:rPr>
          <w:rFonts w:ascii="Times New Roman" w:hAnsi="Times New Roman"/>
          <w:sz w:val="28"/>
          <w:highlight w:val="none"/>
        </w:rPr>
        <w:t xml:space="preserve">экспертизы </w:t>
      </w:r>
      <w:r>
        <w:rPr>
          <w:rFonts w:ascii="Times New Roman" w:hAnsi="Times New Roman"/>
          <w:sz w:val="28"/>
          <w:highlight w:val="none"/>
        </w:rPr>
        <w:t xml:space="preserve">итогового отчета</w:t>
      </w:r>
      <w:r>
        <w:rPr>
          <w:rFonts w:ascii="Times New Roman" w:hAnsi="Times New Roman"/>
          <w:sz w:val="28"/>
          <w:highlight w:val="none"/>
        </w:rPr>
        <w:t xml:space="preserve"> и </w:t>
      </w:r>
      <w:r>
        <w:rPr>
          <w:rFonts w:ascii="Times New Roman" w:hAnsi="Times New Roman"/>
          <w:sz w:val="28"/>
          <w:highlight w:val="none"/>
        </w:rPr>
        <w:t xml:space="preserve">продукта региональной инновационной площадки принимает одно из следующих решений: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1) </w:t>
      </w:r>
      <w:r>
        <w:rPr>
          <w:rFonts w:ascii="Times New Roman" w:hAnsi="Times New Roman"/>
          <w:sz w:val="28"/>
          <w:highlight w:val="none"/>
        </w:rPr>
        <w:t xml:space="preserve">завершить деятельность региональной инновационной площадки по истечении срока реализации инновационного проекта и</w:t>
      </w:r>
      <w:bookmarkStart w:id="2" w:name="_GoBack"/>
      <w:r>
        <w:rPr>
          <w:highlight w:val="none"/>
        </w:rPr>
      </w:r>
      <w:bookmarkEnd w:id="2"/>
      <w:r>
        <w:rPr>
          <w:rFonts w:ascii="Times New Roman" w:hAnsi="Times New Roman"/>
          <w:sz w:val="28"/>
          <w:highlight w:val="none"/>
        </w:rPr>
        <w:t xml:space="preserve"> </w:t>
      </w:r>
      <w:r>
        <w:rPr>
          <w:rFonts w:ascii="Times New Roman" w:hAnsi="Times New Roman"/>
          <w:sz w:val="28"/>
          <w:highlight w:val="none"/>
        </w:rPr>
        <w:t xml:space="preserve">рекомендовать продукт к дальнейшему тиражированию (изданию);</w:t>
      </w:r>
      <w:r>
        <w:rPr>
          <w:rFonts w:ascii="Times New Roman" w:hAnsi="Times New Roman"/>
          <w:sz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2) з</w:t>
      </w:r>
      <w:r>
        <w:rPr>
          <w:rFonts w:ascii="Times New Roman" w:hAnsi="Times New Roman"/>
          <w:sz w:val="28"/>
          <w:highlight w:val="none"/>
        </w:rPr>
        <w:t xml:space="preserve">авершить деятельность региональной инновационной площадки по истечении срока реализации инновационного проекта и</w:t>
      </w:r>
      <w:r>
        <w:rPr>
          <w:rFonts w:ascii="Times New Roman" w:hAnsi="Times New Roman"/>
          <w:sz w:val="28"/>
          <w:highlight w:val="none"/>
        </w:rPr>
        <w:t xml:space="preserve"> </w:t>
      </w:r>
      <w:r>
        <w:rPr>
          <w:rFonts w:ascii="Times New Roman" w:hAnsi="Times New Roman"/>
          <w:sz w:val="28"/>
          <w:highlight w:val="none"/>
        </w:rPr>
        <w:t xml:space="preserve">н</w:t>
      </w:r>
      <w:r>
        <w:rPr>
          <w:rFonts w:ascii="Times New Roman" w:hAnsi="Times New Roman"/>
          <w:sz w:val="28"/>
          <w:highlight w:val="none"/>
        </w:rPr>
        <w:t xml:space="preserve">е</w:t>
      </w:r>
      <w:r>
        <w:rPr>
          <w:rFonts w:ascii="Times New Roman" w:hAnsi="Times New Roman"/>
          <w:sz w:val="28"/>
          <w:highlight w:val="none"/>
        </w:rPr>
        <w:t xml:space="preserve"> </w:t>
      </w:r>
      <w:r>
        <w:rPr>
          <w:rFonts w:ascii="Times New Roman" w:hAnsi="Times New Roman"/>
          <w:sz w:val="28"/>
          <w:highlight w:val="none"/>
        </w:rPr>
        <w:t xml:space="preserve">рекомендовать продукт к дальнейшему тиражированию (изданию)</w:t>
      </w:r>
      <w:r>
        <w:rPr>
          <w:rFonts w:ascii="Times New Roman" w:hAnsi="Times New Roman"/>
          <w:sz w:val="28"/>
          <w:highlight w:val="non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none"/>
        </w:rPr>
        <w:t xml:space="preserve">49. Протокол заседания координационного совета, на </w:t>
      </w:r>
      <w:r>
        <w:rPr>
          <w:rFonts w:ascii="Times New Roman" w:hAnsi="Times New Roman"/>
          <w:sz w:val="28"/>
        </w:rPr>
        <w:t xml:space="preserve">котором было принято одно из решений, указанных в части 48 настоящего Порядка, подписывается председателем координационного совета в течение 2 рабочих дней со дня принятия решения.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50. Региональный оператор в течение 2 рабочих дней со дня получения подписанного протокола размещает его на своем официальном сайте в информационно-телекоммуникационной сети «Интернет».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51. Министерство в срок до 30 ноября издает приказ о деятельности региональной инновационной площадки.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52. Региональный оператор ежегодно размещает приказы Министерства, указ</w:t>
      </w:r>
      <w:r>
        <w:rPr>
          <w:rFonts w:ascii="Times New Roman" w:hAnsi="Times New Roman"/>
          <w:sz w:val="28"/>
        </w:rPr>
        <w:t xml:space="preserve">анные в частях 27, 42 и 51 настоящего Порядка, на сайте исполнительных органов Камчатского края в информационно-телекоммуникационной сети «Интернет» на странице Министерства и на своем официальном сайте в информационно-телекоммуникационной сети «Интернет».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81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81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1 к Порядку признания организаций, осуществляющих образовательную деятельность, иных действующих в сфере образования организаций, а также их объединений региональными инновационными площадками Камчатского края</w:t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0" w:lineRule="auto"/>
        <w:tabs>
          <w:tab w:val="left" w:pos="6855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52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Критерии оценки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52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 xml:space="preserve"> заявок образовательных организаций, претендующих на присвоение статуса региональной инновационной площадки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957"/>
        <w:tblW w:w="9781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1"/>
        <w:gridCol w:w="1406"/>
        <w:gridCol w:w="4541"/>
      </w:tblGrid>
      <w:tr>
        <w:tblPrEx/>
        <w:trPr>
          <w:trHeight w:val="6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№</w:t>
            </w: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Наименование показателя</w:t>
            </w: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Количество баллов</w:t>
            </w: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Комментарии</w:t>
            </w: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</w:tr>
    </w:tbl>
    <w:p>
      <w:pPr>
        <w:jc w:val="center"/>
        <w:spacing w:after="0" w:line="252" w:lineRule="auto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</w:p>
    <w:tbl>
      <w:tblPr>
        <w:tblStyle w:val="957"/>
        <w:tblW w:w="9781" w:type="dxa"/>
        <w:tblLayout w:type="fixed"/>
        <w:tblLook w:val="04A0" w:firstRow="1" w:lastRow="0" w:firstColumn="1" w:lastColumn="0" w:noHBand="0" w:noVBand="1"/>
      </w:tblPr>
      <w:tblGrid>
        <w:gridCol w:w="704"/>
        <w:gridCol w:w="3130"/>
        <w:gridCol w:w="1406"/>
        <w:gridCol w:w="4541"/>
      </w:tblGrid>
      <w:tr>
        <w:tblPrEx/>
        <w:trPr>
          <w:trHeight w:val="347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3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4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>
          <w:trHeight w:val="41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1. Методология инновационного проекта (программы) - максимально 28 баллов</w:t>
            </w:r>
            <w:r>
              <w:rPr>
                <w:rFonts w:ascii="Times New Roman" w:hAnsi="Times New Roman"/>
                <w:b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1.1.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Цель (-и) инновационного проекта (программы)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pStyle w:val="95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0 - 2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цель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четко сформулирована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цель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отсутствует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1.2.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Задачи инновационного проекта (программы)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0 - 2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задачи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определены в полной мере/соответствуют цели (-ям)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задачи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не определены / не соответствуют цели (-ям)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1.3.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Инновационная значимость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(инновационный потенциал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0 - 4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4 – проект (программа) обладает инновационным потенциалом, имеет конкурентоспособные преимущества, в проекте обоснованно новаторство идеи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инновационный потенциал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и его конкурентоспособные преимущества обоснованы не в полном объеме, новаторство идеи подтверждено частично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проект (программа) не обладает инновационным потенциалом и конкурентоспособным преимуществом, отсутствует новаторство идеи проекта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1.4.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Инновационный проект (программа) соответствует возрастным и психофизиологическим особенностям обучающихся и включает заботу о здоровье человека (физическом, психическом, нравственном)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0 - 2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инновационный проект (программа) соответствует возрастным и психофизиологическим особенностям обучающихся и включает заботу о здоровье человека (физическом, психическом, нравственном)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инновационный проект(программа) не соответствует возрастным и психофизиологическим особенностям обучающихся и не включает заботу о здоровье </w:t>
            </w:r>
            <w:r>
              <w:rPr>
                <w:rFonts w:ascii="Times New Roman" w:hAnsi="Times New Roman"/>
                <w:szCs w:val="22"/>
              </w:rPr>
              <w:t xml:space="preserve">человека (физическом, психическом, нравственном)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1.5.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Практическая значимость (реализуемость)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(реальность достижения целей и результатов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>
              <w:rPr>
                <w:rFonts w:ascii="Times New Roman" w:hAnsi="Times New Roman"/>
                <w:szCs w:val="22"/>
              </w:rPr>
              <w:t xml:space="preserve"> и прочее)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0 - 4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4 – цели и результаты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представляются достижимыми на основании перечня задач и информации о ресурсном обеспечении программы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цели и результаты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представляются достижимыми с учетом привлечения дополнительных ресурсов для его реализации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достижение целей и результатов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представляется не реалистичным на основании перечня задач и информации о ресурсном обеспечении программы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1.6.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Корреляция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с национальными целями и стратегическим задачами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0 - 10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10 – инновационный проект (программа) полностью соответствует национальным целям и стратегическим задачам, предусмотренными указами Президента Российской Федерации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5 – инновационный проект (программа) частично соответствует национальным целям и стратегическим задачам, предусмотренными указами Президента Российской Федерации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инновационный проект (программа) не коррелирует с национальными целями и стратегическими задачами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1.7.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Наличие исходных теоретических положений, на которых строится </w:t>
            </w:r>
            <w:r>
              <w:rPr>
                <w:rFonts w:ascii="Times New Roman" w:hAnsi="Times New Roman"/>
                <w:szCs w:val="22"/>
              </w:rPr>
              <w:t xml:space="preserve">инновационный проект (программа)</w:t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0 - 2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исходные теоретические положения представлены полно и развернуто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 – исходные теоретические положения представлены частично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не представлены исходные теоретические положения 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1.8.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Качество представленной заявки (орфографичес</w:t>
            </w:r>
            <w:r>
              <w:rPr>
                <w:rFonts w:ascii="Times New Roman" w:hAnsi="Times New Roman"/>
                <w:szCs w:val="22"/>
              </w:rPr>
              <w:t xml:space="preserve">кая и пунктуационная грамотность, стилистическая культура, четкость, логичность изложения всех пунктов заявки, доступность к восприятию ее содержания, соответствие Федеральному закону от 01.06.2005 г. № 53-ФЗ «О государственном языке Российской Федерации»)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0 - 2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заявка по </w:t>
            </w:r>
            <w:r>
              <w:rPr>
                <w:rFonts w:ascii="Times New Roman" w:hAnsi="Times New Roman"/>
                <w:szCs w:val="22"/>
              </w:rPr>
              <w:t xml:space="preserve">инновационному проекту (программе)</w:t>
            </w:r>
            <w:r>
              <w:rPr>
                <w:rFonts w:ascii="Times New Roman" w:hAnsi="Times New Roman"/>
                <w:szCs w:val="22"/>
              </w:rPr>
              <w:t xml:space="preserve"> представлена без орфографических, пунктуационных и </w:t>
            </w:r>
            <w:r>
              <w:rPr>
                <w:rFonts w:ascii="Times New Roman" w:hAnsi="Times New Roman"/>
                <w:szCs w:val="22"/>
              </w:rPr>
              <w:t xml:space="preserve">стилистических ошибок, заявка составлена четко и лаконично; содержание представленной информации доступно и понятно; соответствует Федеральному закону от 01.06.2005г. № 53-ФЗ «О государственном языке Российской Федерации», противоречий в заявке не выявлено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в заявке по </w:t>
            </w:r>
            <w:r>
              <w:rPr>
                <w:rFonts w:ascii="Times New Roman" w:hAnsi="Times New Roman"/>
                <w:szCs w:val="22"/>
              </w:rPr>
              <w:t xml:space="preserve">инновационному проекту (программе) </w:t>
            </w:r>
            <w:r/>
            <w:r>
              <w:rPr>
                <w:rFonts w:ascii="Times New Roman" w:hAnsi="Times New Roman"/>
                <w:szCs w:val="22"/>
              </w:rPr>
              <w:t xml:space="preserve">имеется значительное количество орфографических, пунктуационных и стили</w:t>
            </w:r>
            <w:r>
              <w:rPr>
                <w:rFonts w:ascii="Times New Roman" w:hAnsi="Times New Roman"/>
                <w:szCs w:val="22"/>
              </w:rPr>
              <w:t xml:space="preserve">стических ошибок; формулировки, используемые в заявке, размыты; содержание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>
              <w:rPr>
                <w:rFonts w:ascii="Times New Roman" w:hAnsi="Times New Roman"/>
                <w:szCs w:val="22"/>
              </w:rPr>
              <w:t xml:space="preserve"> не доступно для восприятия, присутствуют значительные противоречия; не соответствует Федеральному закону от 01.06.2005 № 53-ФЗ «О государственном языке Российской Федерации»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>
          <w:trHeight w:val="421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1" w:type="dxa"/>
            <w:textDirection w:val="lrTb"/>
            <w:noWrap w:val="false"/>
          </w:tcPr>
          <w:p>
            <w:pPr>
              <w:pStyle w:val="959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2. Содержание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>
              <w:rPr>
                <w:sz w:val="22"/>
                <w:szCs w:val="22"/>
              </w:rPr>
              <w:t xml:space="preserve"> – максимально 32 балла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2.1.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Достижение обучающимися общеобразовательных организаций планируемых </w:t>
            </w:r>
            <w:r>
              <w:rPr>
                <w:rFonts w:ascii="Times New Roman" w:hAnsi="Times New Roman"/>
                <w:szCs w:val="22"/>
              </w:rPr>
              <w:t xml:space="preserve">предметных результатов освоения </w:t>
            </w:r>
            <w:r>
              <w:rPr>
                <w:rFonts w:ascii="Times New Roman" w:hAnsi="Times New Roman"/>
                <w:szCs w:val="22"/>
              </w:rPr>
              <w:t xml:space="preserve">образовательной программы</w:t>
            </w:r>
            <w:r>
              <w:rPr>
                <w:rFonts w:ascii="Times New Roman" w:hAnsi="Times New Roman"/>
                <w:szCs w:val="22"/>
                <w:highlight w:val="green"/>
              </w:rPr>
            </w:r>
            <w:r>
              <w:rPr>
                <w:rFonts w:ascii="Times New Roman" w:hAnsi="Times New Roman"/>
                <w:szCs w:val="22"/>
              </w:rPr>
              <w:t xml:space="preserve"> в соответствии с ФГОС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0 - 3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3 – планируемые предметные результаты освоения достигнуты полностью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 – планируемые предметные результаты освоения достигнуты частично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планируемые предметные результаты освоения не достигнуты 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2.2.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Наличие последовательных этапов календарного плана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0 - 2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в календарном плане четко определены этапы реализации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в календарном плане не представлены последовательные этапы реализации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2.3.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Наличие в программе реализации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последовательного календарного плана мероприятий 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0 - 2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мероприятия в календарном плане представлены с указанием на необходимые условия, а также средства, формы и методы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 – в календарном плане представлены мероприятия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по месяцам, но без указания на необходимые условия, а также средства, формы и методы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календарный план не предусматривает детализацию по отдельным мероприятиям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по месяцам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2.4.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Описание методов деятельности, используемых в ходе реализации мероприятий </w:t>
            </w:r>
            <w:r>
              <w:rPr>
                <w:rFonts w:ascii="Times New Roman" w:hAnsi="Times New Roman"/>
                <w:szCs w:val="22"/>
              </w:rPr>
              <w:t xml:space="preserve">инновационного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0 - 2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методы деятельности, используемые в ходе реализации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указаны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методы деятельности, используемые в ходе реализации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не указаны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2.5.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Необходимые условия организации мероприятий </w:t>
            </w:r>
            <w:r>
              <w:rPr>
                <w:rFonts w:ascii="Times New Roman" w:hAnsi="Times New Roman"/>
                <w:szCs w:val="22"/>
              </w:rPr>
              <w:t xml:space="preserve">инновационного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0 - 3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3 – описание условий организации программных мероприятий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представлено подробно / условия организации программных мероприятий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соответствуют прогнозируемым результатам и используемым методам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 – описание условий организации программных мероприятий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не коррелирует с прогнозируемыми результатами и используемыми методами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информация об условиях организации программных мероприятий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отсутствует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2.6.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Ресурсное обеспечение (технологическое, организационное, финансовое, материально-техническое, кадровое и так далее.)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0 - 2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в инновационном проекте (программе) представлена информация о ресурсном обеспечении проекта полностью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 – в инновационном проекте (программе) представлена информация о ресурсном обеспечении проекта частично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в </w:t>
            </w:r>
            <w:r>
              <w:rPr>
                <w:rFonts w:ascii="Times New Roman" w:hAnsi="Times New Roman"/>
                <w:szCs w:val="22"/>
              </w:rPr>
              <w:t xml:space="preserve">инновационном проекте (программе)</w:t>
            </w:r>
            <w:r/>
            <w:r>
              <w:rPr>
                <w:rFonts w:ascii="Times New Roman" w:hAnsi="Times New Roman"/>
                <w:szCs w:val="22"/>
              </w:rPr>
              <w:t xml:space="preserve"> не представлена информация о ресурсном обеспечении проекта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2.7.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Возможные риски при реализации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0 - 2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в </w:t>
            </w:r>
            <w:r>
              <w:rPr>
                <w:rFonts w:ascii="Times New Roman" w:hAnsi="Times New Roman"/>
                <w:szCs w:val="22"/>
              </w:rPr>
              <w:t xml:space="preserve">инновационном проекте (программе)</w:t>
            </w:r>
            <w:r/>
            <w:r>
              <w:rPr>
                <w:rFonts w:ascii="Times New Roman" w:hAnsi="Times New Roman"/>
                <w:szCs w:val="22"/>
              </w:rPr>
              <w:t xml:space="preserve"> приведены возможные риски при реализации инновационного проекта (программы)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в </w:t>
            </w:r>
            <w:r>
              <w:rPr>
                <w:rFonts w:ascii="Times New Roman" w:hAnsi="Times New Roman"/>
                <w:szCs w:val="22"/>
              </w:rPr>
              <w:t xml:space="preserve">инновационном проекте (программе)</w:t>
            </w:r>
            <w:r/>
            <w:r>
              <w:rPr>
                <w:rFonts w:ascii="Times New Roman" w:hAnsi="Times New Roman"/>
                <w:szCs w:val="22"/>
              </w:rPr>
              <w:t xml:space="preserve"> не приведены возможные риски при реализации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  <w:highlight w:val="none"/>
              </w:rPr>
            </w:pPr>
            <w:r>
              <w:rPr>
                <w:rFonts w:ascii="Times New Roman" w:hAnsi="Times New Roman"/>
                <w:szCs w:val="22"/>
                <w:highlight w:val="none"/>
              </w:rPr>
              <w:t xml:space="preserve">2.8.</w:t>
            </w:r>
            <w:r>
              <w:rPr>
                <w:rFonts w:ascii="Times New Roman" w:hAnsi="Times New Roman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  <w:highlight w:val="none"/>
              </w:rPr>
            </w:pPr>
            <w:r>
              <w:rPr>
                <w:rFonts w:ascii="Times New Roman" w:hAnsi="Times New Roman"/>
                <w:szCs w:val="22"/>
                <w:highlight w:val="none"/>
              </w:rPr>
              <w:t xml:space="preserve">Соответствие содержания </w:t>
            </w:r>
            <w:r>
              <w:rPr>
                <w:rFonts w:ascii="Times New Roman" w:hAnsi="Times New Roman"/>
                <w:szCs w:val="22"/>
                <w:highlight w:val="none"/>
              </w:rPr>
              <w:t xml:space="preserve">инновационного проекта (программы)</w:t>
            </w:r>
            <w:r>
              <w:rPr>
                <w:highlight w:val="none"/>
              </w:rPr>
            </w:r>
            <w:r>
              <w:rPr>
                <w:rFonts w:ascii="Times New Roman" w:hAnsi="Times New Roman"/>
                <w:szCs w:val="22"/>
                <w:highlight w:val="none"/>
              </w:rPr>
              <w:t xml:space="preserve"> приоритетным направлениям деятельности </w:t>
            </w:r>
            <w:r>
              <w:rPr>
                <w:rFonts w:ascii="Times New Roman" w:hAnsi="Times New Roman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  <w:highlight w:val="none"/>
              </w:rPr>
            </w:pPr>
            <w:r>
              <w:rPr>
                <w:rFonts w:ascii="Times New Roman" w:hAnsi="Times New Roman"/>
                <w:szCs w:val="22"/>
                <w:highlight w:val="none"/>
              </w:rPr>
              <w:t xml:space="preserve">0 - 10</w:t>
            </w:r>
            <w:r>
              <w:rPr>
                <w:rFonts w:ascii="Times New Roman" w:hAnsi="Times New Roman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  <w:highlight w:val="none"/>
              </w:rPr>
            </w:pPr>
            <w:r>
              <w:rPr>
                <w:rFonts w:ascii="Times New Roman" w:hAnsi="Times New Roman"/>
                <w:szCs w:val="22"/>
                <w:highlight w:val="none"/>
              </w:rPr>
              <w:t xml:space="preserve">10 – содержание </w:t>
            </w:r>
            <w:r>
              <w:rPr>
                <w:rFonts w:ascii="Times New Roman" w:hAnsi="Times New Roman"/>
                <w:szCs w:val="22"/>
                <w:highlight w:val="none"/>
              </w:rPr>
              <w:t xml:space="preserve">инновационного проекта (программы)</w:t>
            </w:r>
            <w:r>
              <w:rPr>
                <w:highlight w:val="none"/>
              </w:rPr>
            </w:r>
            <w:r>
              <w:rPr>
                <w:rFonts w:ascii="Times New Roman" w:hAnsi="Times New Roman"/>
                <w:szCs w:val="22"/>
                <w:highlight w:val="none"/>
              </w:rPr>
              <w:t xml:space="preserve"> полностью соответствует одному из рекомендуемых направлений</w:t>
            </w:r>
            <w:r>
              <w:rPr>
                <w:rFonts w:ascii="Times New Roman" w:hAnsi="Times New Roman"/>
                <w:szCs w:val="22"/>
                <w:highlight w:val="none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  <w:highlight w:val="none"/>
              </w:rPr>
            </w:pPr>
            <w:r>
              <w:rPr>
                <w:rFonts w:ascii="Times New Roman" w:hAnsi="Times New Roman"/>
                <w:szCs w:val="22"/>
                <w:highlight w:val="none"/>
              </w:rPr>
              <w:t xml:space="preserve">5 – содержание </w:t>
            </w:r>
            <w:r>
              <w:rPr>
                <w:rFonts w:ascii="Times New Roman" w:hAnsi="Times New Roman"/>
                <w:szCs w:val="22"/>
                <w:highlight w:val="none"/>
              </w:rPr>
              <w:t xml:space="preserve">инновационного проекта (программы)</w:t>
            </w:r>
            <w:r>
              <w:rPr>
                <w:highlight w:val="none"/>
              </w:rPr>
            </w:r>
            <w:r>
              <w:rPr>
                <w:rFonts w:ascii="Times New Roman" w:hAnsi="Times New Roman"/>
                <w:szCs w:val="22"/>
                <w:highlight w:val="none"/>
              </w:rPr>
              <w:t xml:space="preserve"> частично соответствует одному из рекомендуемых </w:t>
            </w:r>
            <w:r>
              <w:rPr>
                <w:rFonts w:ascii="Times New Roman" w:hAnsi="Times New Roman"/>
                <w:szCs w:val="22"/>
                <w:highlight w:val="none"/>
              </w:rPr>
              <w:t xml:space="preserve">направлений (цели и задачи </w:t>
            </w:r>
            <w:r>
              <w:rPr>
                <w:rFonts w:ascii="Times New Roman" w:hAnsi="Times New Roman"/>
                <w:szCs w:val="22"/>
                <w:highlight w:val="none"/>
              </w:rPr>
              <w:t xml:space="preserve">инновационного проекта (программы)</w:t>
            </w:r>
            <w:r>
              <w:rPr>
                <w:highlight w:val="none"/>
              </w:rPr>
            </w:r>
            <w:r>
              <w:rPr>
                <w:rFonts w:ascii="Times New Roman" w:hAnsi="Times New Roman"/>
                <w:szCs w:val="22"/>
                <w:highlight w:val="none"/>
              </w:rPr>
              <w:t xml:space="preserve"> соответствуют, а мероприятия, методы деятельности не соответствуют рекомендуемым направлениям)</w:t>
            </w:r>
            <w:r>
              <w:rPr>
                <w:rFonts w:ascii="Times New Roman" w:hAnsi="Times New Roman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2.9.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Определение организаций-соисполнителей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0 - 2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в </w:t>
            </w:r>
            <w:r>
              <w:rPr>
                <w:rFonts w:ascii="Times New Roman" w:hAnsi="Times New Roman"/>
                <w:szCs w:val="22"/>
              </w:rPr>
              <w:t xml:space="preserve">инновационном проекте (программе)</w:t>
            </w:r>
            <w:r/>
            <w:r>
              <w:rPr>
                <w:rFonts w:ascii="Times New Roman" w:hAnsi="Times New Roman"/>
                <w:szCs w:val="22"/>
              </w:rPr>
              <w:t xml:space="preserve"> определены организации-партнеры, привлекаемые для реализации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в </w:t>
            </w:r>
            <w:r>
              <w:rPr>
                <w:rFonts w:ascii="Times New Roman" w:hAnsi="Times New Roman"/>
                <w:szCs w:val="22"/>
              </w:rPr>
              <w:t xml:space="preserve">инновационном проекте (программе)</w:t>
            </w:r>
            <w:r/>
            <w:r>
              <w:rPr>
                <w:rFonts w:ascii="Times New Roman" w:hAnsi="Times New Roman"/>
                <w:szCs w:val="22"/>
              </w:rPr>
              <w:t xml:space="preserve"> не определены организации-партнеры, привлекаемые для реализации инновационного проекта (программы)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2.10.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Соответствие содержания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>
              <w:rPr>
                <w:rFonts w:ascii="Times New Roman" w:hAnsi="Times New Roman"/>
                <w:szCs w:val="22"/>
              </w:rPr>
              <w:t xml:space="preserve"> функциональному направлению деятельности организации-заявителя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pStyle w:val="959"/>
              <w:jc w:val="center"/>
              <w:rPr>
                <w:sz w:val="22"/>
                <w:szCs w:val="22"/>
              </w:rPr>
            </w:pPr>
            <w:r>
              <w:rPr>
                <w:szCs w:val="22"/>
              </w:rPr>
              <w:t xml:space="preserve">0 - 2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содержание </w:t>
            </w:r>
            <w:r>
              <w:rPr>
                <w:rFonts w:ascii="Times New Roman" w:hAnsi="Times New Roman"/>
                <w:szCs w:val="22"/>
              </w:rPr>
              <w:t xml:space="preserve">инновационном проекте (программе)</w:t>
            </w:r>
            <w:r/>
            <w:r>
              <w:rPr>
                <w:rFonts w:ascii="Times New Roman" w:hAnsi="Times New Roman"/>
                <w:szCs w:val="22"/>
              </w:rPr>
              <w:t xml:space="preserve"> соответствует функциональному направлению деятельности организации-заявителя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содержание </w:t>
            </w:r>
            <w:r>
              <w:rPr>
                <w:rFonts w:ascii="Times New Roman" w:hAnsi="Times New Roman"/>
                <w:szCs w:val="22"/>
              </w:rPr>
              <w:t xml:space="preserve">инновационном проекте (программе)</w:t>
            </w:r>
            <w:r/>
            <w:r>
              <w:rPr>
                <w:rFonts w:ascii="Times New Roman" w:hAnsi="Times New Roman"/>
                <w:szCs w:val="22"/>
              </w:rPr>
              <w:t xml:space="preserve"> не соответствует функциональному направлению деятельности организации-заявителя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2.11.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Наличие опыта успешно реализованных </w:t>
            </w:r>
            <w:r>
              <w:rPr>
                <w:rFonts w:ascii="Times New Roman" w:hAnsi="Times New Roman"/>
                <w:szCs w:val="22"/>
              </w:rPr>
              <w:t xml:space="preserve">инновационных проектов (программ)</w:t>
            </w:r>
            <w:r>
              <w:rPr>
                <w:rFonts w:ascii="Times New Roman" w:hAnsi="Times New Roman"/>
                <w:szCs w:val="22"/>
              </w:rPr>
              <w:t xml:space="preserve"> организации-заявителя, включая опыт участия в федеральных, целевых, государственных, региональных и международных программах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0 - 2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у организации-заявителя имеется опыт успешно реализованных </w:t>
            </w:r>
            <w:r>
              <w:rPr>
                <w:rFonts w:ascii="Times New Roman" w:hAnsi="Times New Roman"/>
                <w:szCs w:val="22"/>
              </w:rPr>
              <w:t xml:space="preserve">инновационных проектов (программ)</w:t>
            </w:r>
            <w:r>
              <w:rPr>
                <w:rFonts w:ascii="Times New Roman" w:hAnsi="Times New Roman"/>
                <w:szCs w:val="22"/>
              </w:rPr>
              <w:t xml:space="preserve">, включая опыт участия в федеральных, целевых, государственных, региональных и международных программах</w:t>
            </w: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у организации-заявителя нет опыта успешно реализованных </w:t>
            </w:r>
            <w:r>
              <w:rPr>
                <w:rFonts w:ascii="Times New Roman" w:hAnsi="Times New Roman"/>
                <w:szCs w:val="22"/>
              </w:rPr>
              <w:t xml:space="preserve">инновационных проектов (программ)</w:t>
            </w: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>
          <w:trHeight w:val="306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3. Результаты проекта - максимально 19 баллов</w:t>
            </w:r>
            <w:r>
              <w:rPr>
                <w:rFonts w:ascii="Times New Roman" w:hAnsi="Times New Roman"/>
                <w:b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3.1.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Прогнозируемые результаты по каждому этапу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0 - 2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информация о прогнозируемых результатах представлена подробно и соотносится с обозначенными задачами инновационного проекта (программы)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 – информация о прогнозируемых результатах представлена частично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прогнозируемые результаты отсутствуют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3.2.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Средства мониторинга, контроля и обеспечения достоверности результатов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0 - 2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средства контроля и обеспечения достоверности результатов предусмотрены инновационным проектом (программой) </w:t>
            </w:r>
            <w:r>
              <w:rPr>
                <w:rFonts w:ascii="Times New Roman" w:hAnsi="Times New Roman"/>
                <w:szCs w:val="22"/>
              </w:rPr>
              <w:t xml:space="preserve">и позволят провести мониторинг качества реализации проекта (программы)</w:t>
            </w: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</w:t>
            </w:r>
            <w:r>
              <w:rPr>
                <w:rFonts w:ascii="Times New Roman" w:hAnsi="Times New Roman"/>
                <w:szCs w:val="22"/>
              </w:rPr>
              <w:t xml:space="preserve">– средства контроля и обеспечения достоверности результатов не предусмотрены проектом (программой) / предложенные механизмы внутренней оценки не позволят провести мониторинг качества реализации инновационного проекта (программы), необходимо будет применять дополнительные инструменты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>
          <w:trHeight w:val="68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3.3.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Востребованность и обоснованность результатов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0 - 3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3 – представлена информация о востребованности и обоснованности результатов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(результаты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соотносятся с целями и задачами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, алгоритм достижен</w:t>
            </w:r>
            <w:r>
              <w:rPr>
                <w:rFonts w:ascii="Times New Roman" w:hAnsi="Times New Roman"/>
                <w:szCs w:val="22"/>
              </w:rPr>
              <w:t xml:space="preserve">ия основных результатов инновационного проекта (программы) обоснован; результаты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актуальны для развития системы образования в Российской Федерации обладают адресной направленностью и востребованностью целевой аудитории на муниципальном, региональном, федеральном </w:t>
            </w:r>
            <w:r>
              <w:rPr>
                <w:rFonts w:ascii="Times New Roman" w:hAnsi="Times New Roman"/>
                <w:szCs w:val="22"/>
              </w:rPr>
              <w:t xml:space="preserve">уровнях; применимы в субъектах Российской Федерации с дальнейшим вовлечением в деятельность по реализации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значительного числа участников)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 – частично представлена информация о востребованности и обоснованности результатов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отсутствует информация о востребованности и обоснованности результатов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3.4.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Возможность масштабирования и тиражирования результатов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(сети и партнеры)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0 - 10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10 – представлены предложения по организации ц</w:t>
            </w:r>
            <w:r>
              <w:rPr>
                <w:rFonts w:ascii="Times New Roman" w:hAnsi="Times New Roman"/>
                <w:szCs w:val="22"/>
              </w:rPr>
              <w:t xml:space="preserve">икла мероприятий (мастер классов, стажировочных площадок, семинаров и т.д.), направленных на представление позитивного опыта и результатов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педагогическому сообществу с целью возможного масштабирования и тиражирования результатов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5 – представлены предложения по организации единичных мероприятий, направленных на представление позитивного опыта и результатов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педагогическому сообществу с целью возможного масштабирования и тиражирования результатов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предложения по распространению и внедрению результатов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 не представлены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3.5.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Планируемая апробация и (или) внедрение результатов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, полученных после его (ее) реализации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0 - 2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 – полностью представлена апробация и (или) внедрение результатов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, полученных после его (ее) реализации</w:t>
            </w:r>
            <w:r>
              <w:rPr>
                <w:rFonts w:ascii="Times New Roman" w:hAnsi="Times New Roman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 – отсутствует апробация и (или) внедрение результатов </w:t>
            </w:r>
            <w:r>
              <w:rPr>
                <w:rFonts w:ascii="Times New Roman" w:hAnsi="Times New Roman"/>
                <w:szCs w:val="22"/>
              </w:rPr>
              <w:t xml:space="preserve">инновационного проекта (программы)</w:t>
            </w:r>
            <w:r/>
            <w:r>
              <w:rPr>
                <w:rFonts w:ascii="Times New Roman" w:hAnsi="Times New Roman"/>
                <w:szCs w:val="22"/>
              </w:rPr>
              <w:t xml:space="preserve">, полученных после его (ее) реализации</w:t>
            </w:r>
            <w:r>
              <w:rPr>
                <w:rFonts w:ascii="Times New Roman" w:hAnsi="Times New Roman"/>
                <w:szCs w:val="22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Итоговые диапазоны оценки заявок образовательных организаций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на присвоение статуса региональной инновационной площадки</w:t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55–79 баллов с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sz w:val="28"/>
        </w:rPr>
        <w:t xml:space="preserve">оответствует высокой значимости инновационного проекта (программы): инновационный проект (программа) проработан; содержит цели, задачи и предмет инновационного проекта (программы), обоснование его значимости для развития системы образования; имеет календарный план </w:t>
      </w:r>
      <w:r>
        <w:rPr>
          <w:rFonts w:ascii="Times New Roman" w:hAnsi="Times New Roman"/>
          <w:sz w:val="28"/>
        </w:rPr>
        <w:t xml:space="preserve">и четкие сроки реализации инновационного проекта (программы); содержит прогнозируемые результаты, необходимые условия организации работ, средства контроля и обеспечения достоверности результатов, перечень научных и (или) учебно-методических разработок по теме инновационн</w:t>
      </w:r>
      <w:r>
        <w:rPr>
          <w:rFonts w:ascii="Times New Roman" w:hAnsi="Times New Roman"/>
          <w:sz w:val="28"/>
        </w:rPr>
        <w:t xml:space="preserve">ого проекта (программы); а так же предложения по распространению и внедрению результатов инновационного проекта (программы), обоснование устойчивости результатов инновационного проекта (программы) после окончания его реализации, включая механизмы его (ее) </w:t>
      </w:r>
      <w:r>
        <w:rPr>
          <w:rFonts w:ascii="Times New Roman" w:hAnsi="Times New Roman"/>
          <w:sz w:val="28"/>
        </w:rPr>
        <w:t xml:space="preserve">ресурсного обеспечения; обладает значительным практическим и инновационным потенциалом.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Инновационный проект (программа) скоррелирован с национальными целями и стратегическими задачами, в соответствии с нормативно-правовыми актами стратегического планирования и рекомендован для присвоения организации-заявителю статуса региональной инновационной площадки. 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54 и менее баллов с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sz w:val="28"/>
        </w:rPr>
        <w:t xml:space="preserve">оответствует низкой значимости инновационного проекта (программы): реализация инновационного проекта (программы) невозможна</w:t>
      </w:r>
      <w:r>
        <w:rPr>
          <w:rFonts w:ascii="Times New Roman" w:hAnsi="Times New Roman"/>
          <w:sz w:val="28"/>
        </w:rPr>
        <w:t xml:space="preserve"> или нецелесообразна. Имеет низкую степень проработанности, не обладает значительным практическим и инновационным потенциалом, рекомендуемым к распространению и реализации инновационного проекта (программы) на региональном уровне. Инновационный проект (программа) может быть отклонен.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</w:p>
    <w:p>
      <w:pPr>
        <w:ind w:left="481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2 к Порядку признания организаций, осуществляющих образовательную деятельность, иных действующих в сфере образования организаций, а также их объединений региональными инновационными площадками Камчатского края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Критерии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оценки отчетов региональных инновационных площадок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957"/>
        <w:tblW w:w="0" w:type="auto"/>
        <w:tblLook w:val="04A0" w:firstRow="1" w:lastRow="0" w:firstColumn="1" w:lastColumn="0" w:noHBand="0" w:noVBand="1"/>
      </w:tblPr>
      <w:tblGrid>
        <w:gridCol w:w="566"/>
        <w:gridCol w:w="2383"/>
        <w:gridCol w:w="5551"/>
        <w:gridCol w:w="1127"/>
      </w:tblGrid>
      <w:tr>
        <w:tblPrEx/>
        <w:trPr>
          <w:trHeight w:val="237"/>
        </w:trPr>
        <w:tc>
          <w:tcPr>
            <w:tcW w:w="566" w:type="dxa"/>
            <w:textDirection w:val="lrTb"/>
            <w:noWrap w:val="false"/>
          </w:tcPr>
          <w:p>
            <w:pPr>
              <w:pStyle w:val="960"/>
              <w:ind w:left="140"/>
              <w:jc w:val="left"/>
              <w:spacing w:before="0" w:after="0" w:line="220" w:lineRule="exact"/>
              <w:rPr>
                <w:sz w:val="22"/>
                <w:szCs w:val="22"/>
              </w:rPr>
            </w:pPr>
            <w:r>
              <w:rPr>
                <w:rStyle w:val="962"/>
              </w:rPr>
              <w:t xml:space="preserve">№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383" w:type="dxa"/>
            <w:textDirection w:val="lrTb"/>
            <w:noWrap w:val="false"/>
          </w:tcPr>
          <w:p>
            <w:pPr>
              <w:pStyle w:val="960"/>
              <w:jc w:val="center"/>
              <w:spacing w:before="0" w:after="120" w:line="220" w:lineRule="exact"/>
              <w:rPr>
                <w:sz w:val="22"/>
                <w:szCs w:val="22"/>
              </w:rPr>
            </w:pPr>
            <w:r>
              <w:rPr>
                <w:rStyle w:val="962"/>
              </w:rPr>
              <w:t xml:space="preserve">Показатель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jc w:val="center"/>
              <w:spacing w:before="0" w:after="0" w:line="220" w:lineRule="exact"/>
              <w:rPr>
                <w:sz w:val="22"/>
                <w:szCs w:val="22"/>
              </w:rPr>
            </w:pPr>
            <w:r>
              <w:rPr>
                <w:rStyle w:val="962"/>
              </w:rPr>
              <w:t xml:space="preserve">Критерии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960"/>
              <w:jc w:val="center"/>
              <w:spacing w:before="0" w:after="0" w:line="220" w:lineRule="exact"/>
              <w:rPr>
                <w:sz w:val="22"/>
                <w:szCs w:val="22"/>
              </w:rPr>
            </w:pPr>
            <w:r>
              <w:rPr>
                <w:rStyle w:val="962"/>
              </w:rPr>
              <w:t xml:space="preserve">Баллы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jc w:val="center"/>
        <w:spacing w:after="0" w:line="252" w:lineRule="auto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</w:p>
    <w:tbl>
      <w:tblPr>
        <w:tblStyle w:val="957"/>
        <w:tblW w:w="0" w:type="auto"/>
        <w:tblLook w:val="04A0" w:firstRow="1" w:lastRow="0" w:firstColumn="1" w:lastColumn="0" w:noHBand="0" w:noVBand="1"/>
      </w:tblPr>
      <w:tblGrid>
        <w:gridCol w:w="566"/>
        <w:gridCol w:w="2383"/>
        <w:gridCol w:w="5551"/>
        <w:gridCol w:w="1127"/>
      </w:tblGrid>
      <w:tr>
        <w:tblPrEx/>
        <w:trPr>
          <w:trHeight w:val="221"/>
          <w:tblHeader/>
        </w:trPr>
        <w:tc>
          <w:tcPr>
            <w:tcW w:w="566" w:type="dxa"/>
            <w:vMerge w:val="restart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restart"/>
            <w:textDirection w:val="lrTb"/>
            <w:noWrap w:val="false"/>
          </w:tcPr>
          <w:p>
            <w:pPr>
              <w:jc w:val="center"/>
              <w:spacing w:line="252" w:lineRule="auto"/>
              <w:rPr>
                <w:rStyle w:val="962"/>
              </w:rPr>
            </w:pPr>
            <w:r>
              <w:rPr>
                <w:rStyle w:val="962"/>
              </w:rPr>
              <w:t xml:space="preserve">2</w:t>
            </w:r>
            <w:r>
              <w:rPr>
                <w:rStyle w:val="962"/>
              </w:rPr>
            </w:r>
          </w:p>
        </w:tc>
        <w:tc>
          <w:tcPr>
            <w:tcW w:w="5551" w:type="dxa"/>
            <w:vMerge w:val="restart"/>
            <w:textDirection w:val="lrTb"/>
            <w:noWrap w:val="false"/>
          </w:tcPr>
          <w:p>
            <w:pPr>
              <w:pStyle w:val="960"/>
              <w:jc w:val="center"/>
              <w:spacing w:before="0" w:after="0" w:line="274" w:lineRule="exact"/>
              <w:rPr>
                <w:rStyle w:val="962"/>
              </w:rPr>
            </w:pPr>
            <w:r>
              <w:rPr>
                <w:rStyle w:val="962"/>
              </w:rPr>
              <w:t xml:space="preserve">3</w:t>
            </w:r>
            <w:r>
              <w:rPr>
                <w:rStyle w:val="962"/>
              </w:rPr>
            </w:r>
          </w:p>
        </w:tc>
        <w:tc>
          <w:tcPr>
            <w:tcW w:w="1127" w:type="dxa"/>
            <w:vMerge w:val="restart"/>
            <w:textDirection w:val="lrTb"/>
            <w:noWrap w:val="false"/>
          </w:tcPr>
          <w:p>
            <w:pPr>
              <w:pStyle w:val="960"/>
              <w:jc w:val="center"/>
              <w:spacing w:before="0" w:after="0" w:line="220" w:lineRule="exact"/>
              <w:rPr>
                <w:rStyle w:val="962"/>
              </w:rPr>
            </w:pPr>
            <w:r>
              <w:rPr>
                <w:rStyle w:val="962"/>
              </w:rPr>
              <w:t xml:space="preserve">4</w:t>
            </w:r>
            <w:r>
              <w:rPr>
                <w:rStyle w:val="962"/>
              </w:rPr>
            </w:r>
          </w:p>
        </w:tc>
      </w:tr>
      <w:tr>
        <w:tblPrEx/>
        <w:trPr>
          <w:trHeight w:val="2551"/>
        </w:trPr>
        <w:tc>
          <w:tcPr>
            <w:tcW w:w="566" w:type="dxa"/>
            <w:vMerge w:val="restart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restart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Style w:val="962"/>
              </w:rPr>
              <w:t xml:space="preserve">Актуальность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4" w:lineRule="exact"/>
              <w:rPr>
                <w:sz w:val="22"/>
                <w:szCs w:val="22"/>
              </w:rPr>
            </w:pPr>
            <w:r>
              <w:rPr>
                <w:rStyle w:val="962"/>
              </w:rPr>
              <w:t xml:space="preserve">Проблематика инновационного проекта (программы) соответствует приоритетам образовательной политики: приоритетным целям государственной политики Российской Федерации в </w:t>
            </w:r>
            <w:r>
              <w:rPr>
                <w:rStyle w:val="962"/>
              </w:rPr>
              <w:t xml:space="preserve">сфере образования (Нацпроекты, программа развития образования Российской Федерации), актуальной стратегии </w:t>
            </w:r>
            <w:r>
              <w:rPr>
                <w:rStyle w:val="962"/>
                <w:sz w:val="22"/>
                <w:szCs w:val="22"/>
              </w:rPr>
              <w:t xml:space="preserve">(Программе) развития образования в Камчатском крае),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приоритетными направлениями деятельности региональных инновационных площадок</w:t>
            </w:r>
            <w:r>
              <w:rPr>
                <w:rStyle w:val="962"/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960"/>
              <w:jc w:val="center"/>
              <w:spacing w:before="0" w:after="0" w:line="220" w:lineRule="exact"/>
            </w:pPr>
            <w:r>
              <w:rPr>
                <w:rStyle w:val="962"/>
              </w:rPr>
              <w:t xml:space="preserve">2</w:t>
            </w:r>
            <w:r/>
          </w:p>
        </w:tc>
      </w:tr>
      <w:tr>
        <w:tblPrEx/>
        <w:trPr>
          <w:trHeight w:val="329"/>
        </w:trPr>
        <w:tc>
          <w:tcPr>
            <w:tcW w:w="566" w:type="dxa"/>
            <w:vMerge w:val="continue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20" w:lineRule="exact"/>
              <w:rPr>
                <w:sz w:val="22"/>
                <w:szCs w:val="22"/>
              </w:rPr>
            </w:pPr>
            <w:r>
              <w:rPr>
                <w:rStyle w:val="962"/>
              </w:rPr>
              <w:t xml:space="preserve">Инновационный проект (программа) потерял актуальность</w:t>
            </w:r>
            <w:r>
              <w:rPr>
                <w:sz w:val="22"/>
                <w:szCs w:val="22"/>
              </w:rPr>
            </w:r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960"/>
              <w:jc w:val="center"/>
              <w:spacing w:before="0" w:after="0" w:line="220" w:lineRule="exact"/>
            </w:pPr>
            <w:r>
              <w:rPr>
                <w:rStyle w:val="962"/>
              </w:rPr>
              <w:t xml:space="preserve">0</w:t>
            </w:r>
            <w:r/>
          </w:p>
        </w:tc>
      </w:tr>
      <w:tr>
        <w:tblPrEx/>
        <w:trPr>
          <w:trHeight w:val="1270"/>
        </w:trPr>
        <w:tc>
          <w:tcPr>
            <w:tcW w:w="566" w:type="dxa"/>
            <w:vMerge w:val="restart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2. 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restart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Style w:val="962"/>
              </w:rPr>
              <w:t xml:space="preserve">Уровень достижения запланированных целевых показателей за отчетный период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4" w:lineRule="exact"/>
            </w:pPr>
            <w:r>
              <w:rPr>
                <w:rStyle w:val="962"/>
              </w:rPr>
              <w:t xml:space="preserve">Все показатели достигнуты на заявленном в инновационном проекте (программе) уровне. Перевыполнение, в случае его наличия, зафиксировано в допустимых пределах и не указывает на возможные ошибки планирования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960"/>
              <w:jc w:val="center"/>
              <w:spacing w:before="0" w:after="0" w:line="220" w:lineRule="exact"/>
            </w:pPr>
            <w:r>
              <w:rPr>
                <w:rStyle w:val="962"/>
              </w:rPr>
              <w:t xml:space="preserve">2</w:t>
            </w:r>
            <w:r/>
          </w:p>
        </w:tc>
      </w:tr>
      <w:tr>
        <w:tblPrEx/>
        <w:trPr>
          <w:trHeight w:val="1260"/>
        </w:trPr>
        <w:tc>
          <w:tcPr>
            <w:tcW w:w="566" w:type="dxa"/>
            <w:vMerge w:val="continue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4" w:lineRule="exact"/>
            </w:pPr>
            <w:r>
              <w:rPr>
                <w:rStyle w:val="962"/>
              </w:rPr>
              <w:t xml:space="preserve">Показатели достигнуты на заявленном в </w:t>
            </w:r>
            <w:r>
              <w:rPr>
                <w:rStyle w:val="962"/>
              </w:rPr>
              <w:t xml:space="preserve">инновационном проекте (программе)</w:t>
            </w:r>
            <w:r/>
            <w:r>
              <w:rPr>
                <w:rStyle w:val="962"/>
              </w:rPr>
              <w:t xml:space="preserve"> уровне частично. Указаны объективные причины невыполнения/перевыполнения, представлен анализ ошибок планирования при их наличии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960"/>
              <w:jc w:val="center"/>
              <w:spacing w:before="0" w:after="0" w:line="220" w:lineRule="exact"/>
            </w:pPr>
            <w:r>
              <w:rPr>
                <w:rStyle w:val="962"/>
              </w:rPr>
              <w:t xml:space="preserve">1</w:t>
            </w:r>
            <w:r/>
          </w:p>
        </w:tc>
      </w:tr>
      <w:tr>
        <w:tblPrEx/>
        <w:trPr>
          <w:trHeight w:val="838"/>
        </w:trPr>
        <w:tc>
          <w:tcPr>
            <w:tcW w:w="566" w:type="dxa"/>
            <w:vMerge w:val="continue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4" w:lineRule="exact"/>
            </w:pPr>
            <w:r>
              <w:rPr>
                <w:rStyle w:val="962"/>
              </w:rPr>
              <w:t xml:space="preserve">Не все показатели достигнуты на заявленном уровне; причины недостижения/перевыполнения не объективны, либо не указаны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pStyle w:val="960"/>
              <w:jc w:val="center"/>
              <w:spacing w:before="0" w:after="0" w:line="220" w:lineRule="exact"/>
              <w:rPr>
                <w:rStyle w:val="962"/>
              </w:rPr>
            </w:pPr>
            <w:r>
              <w:rPr>
                <w:rStyle w:val="962"/>
              </w:rPr>
              <w:t xml:space="preserve">0</w:t>
            </w:r>
            <w:r>
              <w:rPr>
                <w:rStyle w:val="962"/>
              </w:rPr>
            </w:r>
          </w:p>
          <w:p>
            <w:pPr>
              <w:pStyle w:val="960"/>
              <w:jc w:val="center"/>
              <w:spacing w:before="0" w:after="0" w:line="22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1546"/>
        </w:trPr>
        <w:tc>
          <w:tcPr>
            <w:tcW w:w="566" w:type="dxa"/>
            <w:vMerge w:val="restart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3.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restart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Style w:val="962"/>
              </w:rPr>
              <w:t xml:space="preserve">Достижение результатов </w:t>
            </w:r>
            <w:r>
              <w:rPr>
                <w:rStyle w:val="962"/>
              </w:rPr>
              <w:t xml:space="preserve">инновационном проекте (программе)</w:t>
            </w:r>
            <w:r/>
            <w:r>
              <w:rPr>
                <w:rStyle w:val="962"/>
              </w:rPr>
              <w:t xml:space="preserve">, заявленных на конец отчетного периода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4" w:lineRule="exact"/>
            </w:pPr>
            <w:r>
              <w:rPr>
                <w:rStyle w:val="962"/>
              </w:rPr>
              <w:t xml:space="preserve">Достижение результата зафиксировано документально, подтверждающие документы/ссылки представлены в полном объеме, их содержание корректно, достоверно, соответствуют своему назначению. Все представленные материалы доступны к просмотру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W w:w="566" w:type="dxa"/>
            <w:vMerge w:val="continue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continue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4" w:lineRule="exact"/>
              <w:rPr>
                <w:sz w:val="22"/>
                <w:szCs w:val="22"/>
              </w:rPr>
            </w:pPr>
            <w:r>
              <w:rPr>
                <w:rStyle w:val="962"/>
              </w:rPr>
              <w:t xml:space="preserve">Результаты достигнуты с нарушением срок</w:t>
            </w:r>
            <w:r>
              <w:rPr>
                <w:rStyle w:val="962"/>
                <w:highlight w:val="none"/>
              </w:rPr>
              <w:t xml:space="preserve">ов, </w:t>
            </w:r>
            <w:r>
              <w:rPr>
                <w:rStyle w:val="962"/>
                <w:highlight w:val="none"/>
              </w:rPr>
              <w:t xml:space="preserve">от одной до трех</w:t>
            </w:r>
            <w:r>
              <w:rPr>
                <w:rStyle w:val="962"/>
                <w:highlight w:val="none"/>
              </w:rPr>
              <w:t xml:space="preserve"> </w:t>
            </w:r>
            <w:r>
              <w:rPr>
                <w:rStyle w:val="962"/>
              </w:rPr>
              <w:t xml:space="preserve">из</w:t>
            </w:r>
            <w:r>
              <w:rPr>
                <w:rStyle w:val="962"/>
              </w:rPr>
              <w:t xml:space="preserve"> представленных подтверждающих документов/ссылок имеют некорректное содержание, информация представлена в недостаточном объеме, документы не взаимосвязаны с описываемыми в отчете показателями/мероприятиями. Все представленные материалы доступны к просмотру</w:t>
            </w:r>
            <w:r>
              <w:rPr>
                <w:sz w:val="22"/>
                <w:szCs w:val="22"/>
              </w:rPr>
            </w:r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W w:w="566" w:type="dxa"/>
            <w:vMerge w:val="continue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continue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b/>
                <w:szCs w:val="22"/>
              </w:rPr>
            </w:pPr>
            <w:r>
              <w:rPr>
                <w:rStyle w:val="962"/>
              </w:rPr>
              <w:t xml:space="preserve">Результат не достигнут либо представлены документы, не позволяющие сделать вывод о достижении </w:t>
            </w:r>
            <w:r>
              <w:rPr>
                <w:rStyle w:val="962"/>
              </w:rPr>
              <w:t xml:space="preserve">заявленных результатов: четыре и более представленных подтвер</w:t>
            </w:r>
            <w:r>
              <w:rPr>
                <w:rStyle w:val="962"/>
              </w:rPr>
              <w:t xml:space="preserve">ждающих документов/ссылок имеют некорректное содержание, документы не взаимосвязаны с описываемыми в отчете показателями/ результатами/мероприятиями, и (или) не все материалы доступны к просмотру (неактивные, некорректные ссылки, поврежденные файлы и т.п.)</w:t>
            </w:r>
            <w:r>
              <w:rPr>
                <w:rFonts w:ascii="Times New Roman" w:hAnsi="Times New Roman"/>
                <w:b/>
                <w:szCs w:val="22"/>
              </w:rPr>
            </w:r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W w:w="566" w:type="dxa"/>
            <w:vMerge w:val="restart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4.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restart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Style w:val="962"/>
              </w:rPr>
              <w:t xml:space="preserve">Динамика качества образовательных результатов обучающихся региональной инновационной площадки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83" w:lineRule="exact"/>
            </w:pPr>
            <w:r>
              <w:rPr>
                <w:rStyle w:val="962"/>
              </w:rPr>
              <w:t xml:space="preserve">Наличие устойчивой положительной динамики (не менее 1 %)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W w:w="566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4" w:lineRule="exact"/>
            </w:pPr>
            <w:r>
              <w:rPr>
                <w:rStyle w:val="962"/>
              </w:rPr>
              <w:t xml:space="preserve">Динамика незначительна, или неустойчива (в течение менее половины срока реализации проекта), или отсутствует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>
          <w:trHeight w:val="283"/>
        </w:trPr>
        <w:tc>
          <w:tcPr>
            <w:tcW w:w="566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20" w:lineRule="exact"/>
            </w:pPr>
            <w:r>
              <w:rPr>
                <w:rStyle w:val="962"/>
              </w:rPr>
              <w:t xml:space="preserve">Динамика отрицательная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W w:w="566" w:type="dxa"/>
            <w:vMerge w:val="restart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  <w:highlight w:val="none"/>
              </w:rPr>
            </w:pPr>
            <w:r>
              <w:rPr>
                <w:rFonts w:ascii="Times New Roman" w:hAnsi="Times New Roman"/>
                <w:szCs w:val="22"/>
                <w:highlight w:val="none"/>
              </w:rPr>
              <w:t xml:space="preserve">5.</w:t>
            </w:r>
            <w:r>
              <w:rPr>
                <w:rFonts w:ascii="Times New Roman" w:hAnsi="Times New Roman"/>
                <w:szCs w:val="22"/>
                <w:highlight w:val="none"/>
              </w:rPr>
            </w:r>
          </w:p>
        </w:tc>
        <w:tc>
          <w:tcPr>
            <w:tcW w:w="2383" w:type="dxa"/>
            <w:vMerge w:val="restart"/>
            <w:textDirection w:val="lrTb"/>
            <w:noWrap w:val="false"/>
          </w:tcPr>
          <w:p>
            <w:pPr>
              <w:pStyle w:val="960"/>
              <w:jc w:val="left"/>
              <w:spacing w:before="0" w:after="0" w:line="274" w:lineRule="exact"/>
              <w:rPr>
                <w:highlight w:val="none"/>
              </w:rPr>
            </w:pPr>
            <w:r>
              <w:rPr>
                <w:rStyle w:val="962"/>
                <w:highlight w:val="none"/>
              </w:rPr>
              <w:t xml:space="preserve">Инновационность</w:t>
            </w:r>
            <w:r>
              <w:rPr>
                <w:highlight w:val="none"/>
              </w:rPr>
            </w:r>
          </w:p>
          <w:p>
            <w:pPr>
              <w:pStyle w:val="960"/>
              <w:jc w:val="left"/>
              <w:spacing w:before="0" w:after="0" w:line="274" w:lineRule="exact"/>
              <w:rPr>
                <w:highlight w:val="none"/>
              </w:rPr>
            </w:pPr>
            <w:r>
              <w:rPr>
                <w:rStyle w:val="962"/>
                <w:highlight w:val="none"/>
              </w:rPr>
              <w:t xml:space="preserve">проектных</w:t>
            </w:r>
            <w:r>
              <w:rPr>
                <w:highlight w:val="none"/>
              </w:rPr>
            </w:r>
          </w:p>
          <w:p>
            <w:pPr>
              <w:pStyle w:val="960"/>
              <w:jc w:val="left"/>
              <w:spacing w:before="0" w:after="0" w:line="274" w:lineRule="exact"/>
              <w:rPr>
                <w:sz w:val="22"/>
                <w:szCs w:val="22"/>
                <w:highlight w:val="none"/>
              </w:rPr>
            </w:pPr>
            <w:r>
              <w:rPr>
                <w:rStyle w:val="962"/>
                <w:highlight w:val="none"/>
              </w:rPr>
              <w:t xml:space="preserve">решений</w:t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8" w:lineRule="exact"/>
            </w:pPr>
            <w:r>
              <w:rPr>
                <w:rStyle w:val="962"/>
              </w:rPr>
              <w:t xml:space="preserve">Проектные решения инновационного проекта (программы) уникальны и востребованы в системе образования региона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>
          <w:trHeight w:val="1419"/>
        </w:trPr>
        <w:tc>
          <w:tcPr>
            <w:tcW w:w="566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4" w:lineRule="exact"/>
            </w:pPr>
            <w:r>
              <w:rPr>
                <w:rStyle w:val="962"/>
              </w:rPr>
              <w:t xml:space="preserve">Аналоги проектных решений были представлены и внедрены в педагогическую практику за время реализации </w:t>
            </w:r>
            <w:r>
              <w:rPr>
                <w:rStyle w:val="962"/>
              </w:rPr>
              <w:t xml:space="preserve">инновационного проекта (программы)</w:t>
            </w:r>
            <w:r>
              <w:rPr>
                <w:rStyle w:val="962"/>
              </w:rPr>
              <w:t xml:space="preserve">, но представленные в проекте решения имеют региональную специфику, в связи с чем востребованы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>
          <w:trHeight w:val="603"/>
        </w:trPr>
        <w:tc>
          <w:tcPr>
            <w:tcW w:w="566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8" w:lineRule="exact"/>
            </w:pPr>
            <w:r>
              <w:rPr>
                <w:rStyle w:val="962"/>
              </w:rPr>
              <w:t xml:space="preserve">Проектные решения утратили инновационный характер/не востребованы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W w:w="566" w:type="dxa"/>
            <w:vMerge w:val="restart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6. 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restart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Style w:val="962"/>
              </w:rPr>
              <w:t xml:space="preserve">Устойчивость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4" w:lineRule="exact"/>
            </w:pPr>
            <w:r>
              <w:rPr>
                <w:rStyle w:val="962"/>
              </w:rPr>
              <w:t xml:space="preserve">Отсутствие непредусмотренных препятствий для реализации инновационного проекта (программы) или разработка алгоритма эффективного преодоления при их возникновении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W w:w="566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4" w:lineRule="exact"/>
            </w:pPr>
            <w:r>
              <w:rPr>
                <w:rStyle w:val="962"/>
              </w:rPr>
              <w:t xml:space="preserve">Наличие препятствий/внешних эффектов, негативные последствия которых удалось преодолеть частично (что ставит под вопрос возможность тиражирования)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W w:w="566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4" w:lineRule="exact"/>
            </w:pPr>
            <w:r>
              <w:rPr>
                <w:rStyle w:val="962"/>
              </w:rPr>
              <w:t xml:space="preserve">Наличие не имеющих решения препятствий при реализации инновационного проекта (программы), повышающих риск его невыполнения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>
          <w:trHeight w:val="563"/>
        </w:trPr>
        <w:tc>
          <w:tcPr>
            <w:tcW w:w="566" w:type="dxa"/>
            <w:vMerge w:val="restart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7. 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restart"/>
            <w:textDirection w:val="lrTb"/>
            <w:noWrap w:val="false"/>
          </w:tcPr>
          <w:p>
            <w:pPr>
              <w:pStyle w:val="960"/>
              <w:jc w:val="left"/>
              <w:spacing w:before="0" w:after="0" w:line="274" w:lineRule="exact"/>
            </w:pPr>
            <w:r>
              <w:rPr>
                <w:rStyle w:val="962"/>
              </w:rPr>
              <w:t xml:space="preserve">Внедренческий потенциал (практическая</w:t>
            </w:r>
            <w:r/>
          </w:p>
          <w:p>
            <w:pPr>
              <w:pStyle w:val="960"/>
              <w:jc w:val="left"/>
              <w:spacing w:before="0" w:after="0" w:line="274" w:lineRule="exact"/>
            </w:pPr>
            <w:r>
              <w:rPr>
                <w:rStyle w:val="962"/>
              </w:rPr>
              <w:t xml:space="preserve">значимость)</w:t>
            </w:r>
            <w:r/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83" w:lineRule="exact"/>
            </w:pPr>
            <w:r>
              <w:rPr>
                <w:rStyle w:val="962"/>
              </w:rPr>
              <w:t xml:space="preserve">На один и более значимый продукт получено положительное экспертное заключение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>
          <w:trHeight w:val="1407"/>
        </w:trPr>
        <w:tc>
          <w:tcPr>
            <w:tcW w:w="566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4" w:lineRule="exact"/>
            </w:pPr>
            <w:r>
              <w:rPr>
                <w:rStyle w:val="962"/>
              </w:rPr>
              <w:t xml:space="preserve">Предоставленные проекты продуктов разработаны в соответствии с календарным планом</w:t>
            </w:r>
            <w:r>
              <w:rPr>
                <w:rStyle w:val="962"/>
              </w:rPr>
              <w:t xml:space="preserve"> и имеют системный характер, обеспечивающий предполагаемое последующее внедрение продукта в практику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>
          <w:trHeight w:val="633"/>
        </w:trPr>
        <w:tc>
          <w:tcPr>
            <w:tcW w:w="566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4" w:lineRule="exact"/>
            </w:pPr>
            <w:r>
              <w:rPr>
                <w:rStyle w:val="962"/>
              </w:rPr>
              <w:t xml:space="preserve">Продукты не представлены, в том числе, в формате «проекта», и не описаны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W w:w="566" w:type="dxa"/>
            <w:vMerge w:val="restart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8.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restart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Style w:val="962"/>
              </w:rPr>
              <w:t xml:space="preserve">Характер сетевого взаимодействия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4" w:lineRule="exact"/>
            </w:pPr>
            <w:r>
              <w:rPr>
                <w:rStyle w:val="962"/>
              </w:rPr>
              <w:t xml:space="preserve">Сетевое взаимодействие является элементом инновационного процесса, включает как создание партнерской сети, так и реализацию образовательных программ в сетевой форме. Представлены перспективы расширения сети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>
          <w:trHeight w:val="415"/>
        </w:trPr>
        <w:tc>
          <w:tcPr>
            <w:tcW w:w="566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pStyle w:val="960"/>
              <w:spacing w:before="0" w:after="0" w:line="274" w:lineRule="exact"/>
            </w:pPr>
            <w:r>
              <w:rPr>
                <w:rStyle w:val="962"/>
              </w:rPr>
              <w:t xml:space="preserve">Механизмы сетевого взаимодействия используются для функционирования партнерской сети, разработаны механизмы взаимодействия, повышающие эффективность проекта </w:t>
            </w:r>
            <w:r/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</w:t>
            </w:r>
            <w:r>
              <w:rPr>
                <w:rFonts w:ascii="Times New Roman" w:hAnsi="Times New Roman"/>
                <w:szCs w:val="22"/>
              </w:rPr>
            </w:r>
          </w:p>
        </w:tc>
      </w:tr>
      <w:tr>
        <w:tblPrEx/>
        <w:trPr/>
        <w:tc>
          <w:tcPr>
            <w:tcW w:w="566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2383" w:type="dxa"/>
            <w:vMerge w:val="continue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5551" w:type="dxa"/>
            <w:textDirection w:val="lrTb"/>
            <w:noWrap w:val="false"/>
          </w:tcPr>
          <w:p>
            <w:pPr>
              <w:jc w:val="both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Мероприятия по организации сетевого взаимодействия не оказывают существенного влияния на эффективность проекта, либо документы и материалы не предоставлены.</w:t>
            </w:r>
            <w:r>
              <w:rPr>
                <w:rFonts w:ascii="Times New Roman" w:hAnsi="Times New Roman"/>
                <w:szCs w:val="22"/>
              </w:rPr>
            </w:r>
          </w:p>
        </w:tc>
        <w:tc>
          <w:tcPr>
            <w:tcW w:w="1127" w:type="dxa"/>
            <w:textDirection w:val="lrTb"/>
            <w:noWrap w:val="false"/>
          </w:tcPr>
          <w:p>
            <w:pPr>
              <w:jc w:val="center"/>
              <w:spacing w:line="252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0</w:t>
            </w:r>
            <w:r>
              <w:rPr>
                <w:rFonts w:ascii="Times New Roman" w:hAnsi="Times New Roman"/>
                <w:szCs w:val="22"/>
              </w:rPr>
            </w:r>
          </w:p>
        </w:tc>
      </w:tr>
    </w:tbl>
    <w:p>
      <w:pPr>
        <w:ind w:right="301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301"/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Итоговые диапазоны оценки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right="301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right="301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16–10 баллов – п</w:t>
      </w:r>
      <w:r>
        <w:rPr>
          <w:rFonts w:ascii="Times New Roman" w:hAnsi="Times New Roman"/>
          <w:sz w:val="28"/>
          <w:szCs w:val="28"/>
        </w:rPr>
        <w:t xml:space="preserve">родолжить инновационную деятельность региональной инновационной площадки в текущем формате.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301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9 баллов и менее </w:t>
      </w:r>
      <w:r>
        <w:rPr>
          <w:rFonts w:ascii="Times New Roman" w:hAnsi="Times New Roman"/>
          <w:sz w:val="28"/>
          <w:szCs w:val="28"/>
        </w:rPr>
        <w:t xml:space="preserve">– р</w:t>
      </w:r>
      <w:r/>
      <w:r>
        <w:rPr>
          <w:rFonts w:ascii="Times New Roman" w:hAnsi="Times New Roman"/>
          <w:sz w:val="28"/>
          <w:szCs w:val="28"/>
        </w:rPr>
        <w:t xml:space="preserve">екомендовать завершить инновационную деятельность региональной инновационной площадки досрочно.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right="301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«особых отметках» указывается наличие «0» баллов за 1, 5, 7 показатели (показатели «вето»). При получении как минимум 2-х показателей «вето» независимо от общего количества баллов рекомендуется досрочное завершение деятельности.</w:t>
      </w:r>
      <w:r>
        <w:rPr>
          <w:rFonts w:ascii="Times New Roman" w:hAnsi="Times New Roman"/>
          <w:sz w:val="28"/>
          <w:szCs w:val="28"/>
        </w:rPr>
      </w:r>
    </w:p>
    <w:p>
      <w:pPr>
        <w:ind w:right="301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</w:p>
    <w:p>
      <w:pPr>
        <w:ind w:left="481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3 к Порядку признания организаций, осуществляющих образовательную деятельность, иных действующих в сфере образования организаций, а также их объединений региональными инновационными площадками Камчатского края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52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Критерии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оценки продуктов региональных инновационных площадок</w:t>
      </w:r>
      <w:r>
        <w:rPr>
          <w:rFonts w:ascii="Times New Roman" w:hAnsi="Times New Roman"/>
          <w:sz w:val="28"/>
          <w:szCs w:val="28"/>
        </w:rPr>
      </w:r>
    </w:p>
    <w:p>
      <w:pPr>
        <w:ind w:right="300"/>
        <w:jc w:val="both"/>
        <w:spacing w:after="0" w:line="274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10065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6379"/>
        <w:gridCol w:w="992"/>
      </w:tblGrid>
      <w:tr>
        <w:tblPrEx/>
        <w:trPr>
          <w:trHeight w:val="3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Критерии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Баллы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right="300"/>
        <w:jc w:val="both"/>
        <w:spacing w:after="0" w:line="240" w:lineRule="auto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</w:p>
    <w:tbl>
      <w:tblPr>
        <w:tblW w:w="10065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6379"/>
        <w:gridCol w:w="992"/>
      </w:tblGrid>
      <w:tr>
        <w:tblPrEx/>
        <w:trPr>
          <w:trHeight w:val="364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1.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Актуальность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10 б.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Соответствует </w:t>
            </w:r>
            <w:r>
              <w:rPr>
                <w:rStyle w:val="962"/>
                <w:sz w:val="24"/>
                <w:szCs w:val="24"/>
                <w:highlight w:val="none"/>
              </w:rPr>
              <w:t xml:space="preserve">приоритетам образовательной политики: приоритетным целям государственной политики Российской Федерации в </w:t>
            </w:r>
            <w:r>
              <w:rPr>
                <w:rStyle w:val="962"/>
                <w:sz w:val="24"/>
                <w:szCs w:val="24"/>
                <w:highlight w:val="none"/>
              </w:rPr>
              <w:t xml:space="preserve">сфере образования (Нацпроекты, программа развития образования Российской Федерации), актуальной стратегии (Программе) развития образования в Камчатском крае), приоритетным направлениям инновационной деятельности образовательных организаций Камчатского края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Направленность целей, задач, содержания продукта на решение задач развития системы образования (баллы не суммируются):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регионального уровня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муниципального уровня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институционального уровня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Направлен на решение задач конкретной образовательной организации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Инновационность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б.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Представленный продукт (баллы не суммируются):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предлагает новый подход к организации образовательного процесса, содержит принципиально новые идеи, формы, методы, технологии работы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представлен ранее существовавший и использовавшийся продукт с усо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вершенствованиями, содержащий один или несколько принципиально новых системных элементов, отличающих его от известных методов, технологий, программ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представлен известный и достаточно широко используемый продукт (не является инновационным)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3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26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Продукт имеет детальное описание универсального алгоритма действия, гарантирующего решение проблемы в соответствии с действующей нормативной базой в деятельности образовательной организ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ации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определенного типа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87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26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textDirection w:val="lrTb"/>
            <w:noWrap w:val="false"/>
          </w:tcPr>
          <w:p>
            <w:pPr>
              <w:jc w:val="both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Продукт уникален - является авторской разработкой, подтвержденной документально (защищенный научной идеей, патентом, экспертной оценкой)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3.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Практическая значимость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10 б.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Востребованность и значимость продукта для других организаций и (или) их групп/сетей (баллы не суммируются):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на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региональном уровне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на муниципальном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на уровне организации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3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26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Результатом применения продукта является повышение качества образовательных результатов обучаю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щихся, результатов воспитательной деятельности, повышения профессиональной компетентности педагогов, совершенствование программно-методического обеспечения образовательного процесса, нормативно-правового обеспечения деятельности образовательной организации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39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26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Продукт: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м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ожет быть использован для массового применения в других образовательных организациях, образовательных процессах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т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ребует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доработки/адаптации в деятельности других образовательных организаций</w:t>
            </w:r>
            <w:r>
              <w:rPr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darkMagenta"/>
              </w:rPr>
            </w:pPr>
            <w:r>
              <w:rPr>
                <w:rFonts w:ascii="Times New Roman" w:hAnsi="Times New Roman"/>
                <w:sz w:val="24"/>
                <w:szCs w:val="24"/>
                <w:highlight w:val="darkMagenta"/>
              </w:rPr>
            </w:r>
            <w:r>
              <w:rPr>
                <w:rFonts w:ascii="Times New Roman" w:hAnsi="Times New Roman"/>
                <w:sz w:val="24"/>
                <w:szCs w:val="24"/>
                <w:highlight w:val="darkMagent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darkMagent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  <w:highlight w:val="darkMagenta"/>
              </w:rPr>
            </w:r>
            <w:r>
              <w:rPr>
                <w:rFonts w:ascii="Times New Roman" w:hAnsi="Times New Roman"/>
                <w:sz w:val="24"/>
                <w:szCs w:val="24"/>
                <w:highlight w:val="darkMagent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darkMagenta"/>
              </w:rPr>
            </w:pPr>
            <w:r>
              <w:rPr>
                <w:rFonts w:ascii="Times New Roman" w:hAnsi="Times New Roman"/>
                <w:sz w:val="24"/>
                <w:szCs w:val="24"/>
                <w:highlight w:val="darkMagenta"/>
              </w:rPr>
            </w:r>
            <w:r>
              <w:rPr>
                <w:rFonts w:ascii="Times New Roman" w:hAnsi="Times New Roman"/>
                <w:sz w:val="24"/>
                <w:szCs w:val="24"/>
                <w:highlight w:val="darkMagent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darkMagenta"/>
              </w:rPr>
            </w:pPr>
            <w:r>
              <w:rPr>
                <w:rFonts w:ascii="Times New Roman" w:hAnsi="Times New Roman"/>
                <w:sz w:val="24"/>
                <w:szCs w:val="24"/>
                <w:highlight w:val="darkMagenta"/>
              </w:rPr>
            </w:r>
            <w:r>
              <w:rPr>
                <w:rFonts w:ascii="Times New Roman" w:hAnsi="Times New Roman"/>
                <w:sz w:val="24"/>
                <w:szCs w:val="24"/>
                <w:highlight w:val="darkMagent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darkMagent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highlight w:val="darkMagenta"/>
              </w:rPr>
            </w:r>
            <w:r>
              <w:rPr>
                <w:rFonts w:ascii="Times New Roman" w:hAnsi="Times New Roman"/>
                <w:sz w:val="24"/>
                <w:szCs w:val="24"/>
                <w:highlight w:val="darkMagenta"/>
              </w:rPr>
            </w:r>
            <w:r>
              <w:rPr>
                <w:rFonts w:ascii="Times New Roman" w:hAnsi="Times New Roman"/>
                <w:sz w:val="24"/>
                <w:szCs w:val="24"/>
                <w:highlight w:val="darkMagenta"/>
              </w:rPr>
            </w:r>
            <w:r>
              <w:rPr>
                <w:rFonts w:ascii="Times New Roman" w:hAnsi="Times New Roman"/>
                <w:sz w:val="24"/>
                <w:szCs w:val="24"/>
                <w:highlight w:val="darkMagenta"/>
              </w:rPr>
            </w:r>
            <w:r>
              <w:rPr>
                <w:rFonts w:ascii="Times New Roman" w:hAnsi="Times New Roman"/>
                <w:sz w:val="24"/>
                <w:szCs w:val="24"/>
                <w:highlight w:val="darkMagenta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Полнота структуры и содержания продукта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б.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Продукт содержит д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етальное описание организации работы по использованию продукта (методы, формы, технологии, учебные материалы, распределение роли и ответственности участников)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Продукт имеет четкую, логическую структуру,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цели и задачи не противоречат друг другу, соответствуют содержанию и имеющимся ресурсам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Продукт соответствует действующим нормативно-правовым актам, стандартам, требованиям к продуктам подобного вида, другим регламентирующим документам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9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Оформление продукта соответствует следующим требованиям: краткость и емкость изложения, однозначность определения понятий, четкость формулировок, достоверность, структурированность материала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Итоговые диапазоны оценки Продукта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88" w:lineRule="atLeast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/>
          <w:sz w:val="28"/>
          <w:szCs w:val="28"/>
        </w:rPr>
        <w:t xml:space="preserve">34 – 40 баллов – продукт </w:t>
      </w:r>
      <w:r>
        <w:rPr>
          <w:rFonts w:ascii="Times New Roman" w:hAnsi="Times New Roman"/>
          <w:sz w:val="28"/>
        </w:rPr>
        <w:t xml:space="preserve">рекомендован к дальнейшему </w:t>
      </w:r>
      <w:r>
        <w:rPr>
          <w:rFonts w:ascii="Times New Roman" w:hAnsi="Times New Roman"/>
          <w:sz w:val="28"/>
          <w:highlight w:val="none"/>
        </w:rPr>
        <w:t xml:space="preserve">тиражированию (изданию)</w:t>
      </w:r>
      <w:r/>
      <w:r>
        <w:rPr>
          <w:rFonts w:ascii="Times New Roman" w:hAnsi="Times New Roman"/>
          <w:sz w:val="28"/>
          <w:highlight w:val="none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/>
          <w:sz w:val="28"/>
          <w:szCs w:val="28"/>
        </w:rPr>
        <w:t xml:space="preserve">33 балла и менее – п</w:t>
      </w:r>
      <w:r>
        <w:rPr>
          <w:rFonts w:ascii="Times New Roman" w:hAnsi="Times New Roman"/>
          <w:sz w:val="28"/>
        </w:rPr>
        <w:t xml:space="preserve">родукт не рекомендован к дальнейшему </w:t>
      </w:r>
      <w:r>
        <w:rPr>
          <w:rFonts w:ascii="Times New Roman" w:hAnsi="Times New Roman"/>
          <w:sz w:val="28"/>
          <w:highlight w:val="none"/>
        </w:rPr>
        <w:t xml:space="preserve">тиражированию (изданию)</w:t>
      </w:r>
      <w:r/>
      <w:r>
        <w:rPr>
          <w:rFonts w:ascii="Times New Roman" w:hAnsi="Times New Roman"/>
          <w:sz w:val="28"/>
          <w:highlight w:val="none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  <w:font w:name="XO Thames">
    <w:panose1 w:val="02000603000000000000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  <w:lang w:val="en-US"/>
      </w:rPr>
      <w:fldChar w:fldCharType="begin"/>
    </w:r>
    <w:r>
      <w:rPr>
        <w:rFonts w:ascii="Times New Roman" w:hAnsi="Times New Roman"/>
        <w:sz w:val="28"/>
        <w:lang w:val="en-US"/>
      </w:rPr>
      <w:instrText xml:space="preserve">PAGE </w:instrText>
    </w:r>
    <w:r>
      <w:rPr>
        <w:rFonts w:ascii="Times New Roman" w:hAnsi="Times New Roman"/>
        <w:sz w:val="28"/>
        <w:lang w:val="en-US"/>
      </w:rPr>
      <w:fldChar w:fldCharType="separate"/>
    </w:r>
    <w:r>
      <w:rPr>
        <w:rFonts w:ascii="Times New Roman" w:hAnsi="Times New Roman"/>
        <w:sz w:val="28"/>
        <w:lang w:val="en-US"/>
      </w:rPr>
      <w:t xml:space="preserve">10</w:t>
    </w:r>
    <w:r>
      <w:rPr>
        <w:rFonts w:ascii="Times New Roman" w:hAnsi="Times New Roman"/>
        <w:sz w:val="28"/>
        <w:lang w:val="en-US"/>
      </w:rPr>
      <w:fldChar w:fldCharType="end"/>
    </w:r>
    <w:r>
      <w:rPr>
        <w:rFonts w:ascii="Times New Roman" w:hAnsi="Times New Roman"/>
        <w:sz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4"/>
  </w:num>
  <w:num w:numId="3">
    <w:abstractNumId w:val="23"/>
  </w:num>
  <w:num w:numId="4">
    <w:abstractNumId w:val="18"/>
  </w:num>
  <w:num w:numId="5">
    <w:abstractNumId w:val="2"/>
  </w:num>
  <w:num w:numId="6">
    <w:abstractNumId w:val="12"/>
  </w:num>
  <w:num w:numId="7">
    <w:abstractNumId w:val="16"/>
  </w:num>
  <w:num w:numId="8">
    <w:abstractNumId w:val="21"/>
  </w:num>
  <w:num w:numId="9">
    <w:abstractNumId w:val="20"/>
  </w:num>
  <w:num w:numId="10">
    <w:abstractNumId w:val="13"/>
  </w:num>
  <w:num w:numId="11">
    <w:abstractNumId w:val="8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7"/>
  </w:num>
  <w:num w:numId="15">
    <w:abstractNumId w:val="9"/>
  </w:num>
  <w:num w:numId="16">
    <w:abstractNumId w:val="1"/>
  </w:num>
  <w:num w:numId="17">
    <w:abstractNumId w:val="5"/>
  </w:num>
  <w:num w:numId="18">
    <w:abstractNumId w:val="15"/>
  </w:num>
  <w:num w:numId="19">
    <w:abstractNumId w:val="0"/>
  </w:num>
  <w:num w:numId="20">
    <w:abstractNumId w:val="14"/>
  </w:num>
  <w:num w:numId="21">
    <w:abstractNumId w:val="19"/>
  </w:num>
  <w:num w:numId="22">
    <w:abstractNumId w:val="3"/>
  </w:num>
  <w:num w:numId="23">
    <w:abstractNumId w:val="6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zh-CN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6" w:default="1">
    <w:name w:val="Normal"/>
    <w:link w:val="911"/>
    <w:qFormat/>
  </w:style>
  <w:style w:type="paragraph" w:styleId="717">
    <w:name w:val="Heading 1"/>
    <w:next w:val="716"/>
    <w:link w:val="932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718">
    <w:name w:val="Heading 2"/>
    <w:next w:val="716"/>
    <w:link w:val="955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719">
    <w:name w:val="Heading 3"/>
    <w:next w:val="716"/>
    <w:link w:val="924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720">
    <w:name w:val="Heading 4"/>
    <w:next w:val="716"/>
    <w:link w:val="954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721">
    <w:name w:val="Heading 5"/>
    <w:next w:val="716"/>
    <w:link w:val="931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paragraph" w:styleId="722">
    <w:name w:val="Heading 6"/>
    <w:link w:val="76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Cs w:val="22"/>
    </w:rPr>
  </w:style>
  <w:style w:type="paragraph" w:styleId="723">
    <w:name w:val="Heading 7"/>
    <w:link w:val="76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Cs w:val="22"/>
    </w:rPr>
  </w:style>
  <w:style w:type="paragraph" w:styleId="724">
    <w:name w:val="Heading 8"/>
    <w:link w:val="76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Cs w:val="22"/>
    </w:rPr>
  </w:style>
  <w:style w:type="paragraph" w:styleId="725">
    <w:name w:val="Heading 9"/>
    <w:link w:val="76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6" w:default="1">
    <w:name w:val="Default Paragraph Font"/>
    <w:uiPriority w:val="1"/>
    <w:semiHidden/>
    <w:unhideWhenUsed/>
  </w:style>
  <w:style w:type="table" w:styleId="72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8" w:default="1">
    <w:name w:val="No List"/>
    <w:uiPriority w:val="99"/>
    <w:semiHidden/>
    <w:unhideWhenUsed/>
  </w:style>
  <w:style w:type="table" w:styleId="729">
    <w:name w:val="Plain Table 1"/>
    <w:basedOn w:val="72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0">
    <w:name w:val="Plain Table 2"/>
    <w:basedOn w:val="72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1">
    <w:name w:val="Plain Table 3"/>
    <w:basedOn w:val="7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7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7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72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5 Dark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9">
    <w:name w:val="Grid Table 6 Colorful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0">
    <w:name w:val="Grid Table 7 Colorful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1">
    <w:name w:val="List Table 1 Light"/>
    <w:basedOn w:val="7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2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43">
    <w:name w:val="List Table 3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5 Dark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46">
    <w:name w:val="List Table 6 Colorful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47">
    <w:name w:val="List Table 7 Colorful"/>
    <w:basedOn w:val="72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748" w:customStyle="1">
    <w:name w:val="Heading 6 Char"/>
    <w:basedOn w:val="72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49" w:customStyle="1">
    <w:name w:val="Heading 7 Char"/>
    <w:basedOn w:val="7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50" w:customStyle="1">
    <w:name w:val="Heading 8 Char"/>
    <w:basedOn w:val="72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51" w:customStyle="1">
    <w:name w:val="Heading 9 Char"/>
    <w:basedOn w:val="72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52" w:customStyle="1">
    <w:name w:val="Quote Char"/>
    <w:uiPriority w:val="29"/>
    <w:rPr>
      <w:i/>
    </w:rPr>
  </w:style>
  <w:style w:type="character" w:styleId="753" w:customStyle="1">
    <w:name w:val="Intense Quote Char"/>
    <w:uiPriority w:val="30"/>
    <w:rPr>
      <w:i/>
    </w:rPr>
  </w:style>
  <w:style w:type="character" w:styleId="754" w:customStyle="1">
    <w:name w:val="Caption Char"/>
    <w:basedOn w:val="726"/>
    <w:uiPriority w:val="35"/>
    <w:rPr>
      <w:b/>
      <w:bCs/>
      <w:color w:val="5b9bd5" w:themeColor="accent1"/>
      <w:sz w:val="18"/>
      <w:szCs w:val="18"/>
    </w:rPr>
  </w:style>
  <w:style w:type="character" w:styleId="755" w:customStyle="1">
    <w:name w:val="Footnote Text Char"/>
    <w:uiPriority w:val="99"/>
    <w:rPr>
      <w:sz w:val="18"/>
    </w:rPr>
  </w:style>
  <w:style w:type="character" w:styleId="756" w:customStyle="1">
    <w:name w:val="Endnote Text Char"/>
    <w:uiPriority w:val="99"/>
    <w:rPr>
      <w:sz w:val="20"/>
    </w:rPr>
  </w:style>
  <w:style w:type="character" w:styleId="757" w:customStyle="1">
    <w:name w:val="Heading 1 Char"/>
    <w:basedOn w:val="72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58" w:customStyle="1">
    <w:name w:val="Heading 2 Char"/>
    <w:basedOn w:val="726"/>
    <w:uiPriority w:val="9"/>
    <w:rPr>
      <w:rFonts w:ascii="Liberation Sans" w:hAnsi="Liberation Sans" w:eastAsia="Liberation Sans" w:cs="Liberation Sans"/>
      <w:sz w:val="34"/>
    </w:rPr>
  </w:style>
  <w:style w:type="character" w:styleId="759" w:customStyle="1">
    <w:name w:val="Heading 3 Char"/>
    <w:basedOn w:val="726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60" w:customStyle="1">
    <w:name w:val="Heading 4 Char"/>
    <w:basedOn w:val="72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61" w:customStyle="1">
    <w:name w:val="Heading 5 Char"/>
    <w:basedOn w:val="72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62" w:customStyle="1">
    <w:name w:val="Заголовок 6 Знак"/>
    <w:basedOn w:val="726"/>
    <w:link w:val="72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63" w:customStyle="1">
    <w:name w:val="Заголовок 7 Знак"/>
    <w:basedOn w:val="726"/>
    <w:link w:val="72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64" w:customStyle="1">
    <w:name w:val="Заголовок 8 Знак"/>
    <w:basedOn w:val="726"/>
    <w:link w:val="72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65" w:customStyle="1">
    <w:name w:val="Заголовок 9 Знак"/>
    <w:basedOn w:val="726"/>
    <w:link w:val="72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66">
    <w:name w:val="List Paragraph"/>
    <w:uiPriority w:val="34"/>
    <w:qFormat/>
    <w:pPr>
      <w:contextualSpacing/>
      <w:ind w:left="720"/>
    </w:pPr>
  </w:style>
  <w:style w:type="paragraph" w:styleId="767">
    <w:name w:val="No Spacing"/>
    <w:uiPriority w:val="1"/>
    <w:qFormat/>
    <w:pPr>
      <w:spacing w:after="0" w:line="240" w:lineRule="auto"/>
    </w:pPr>
  </w:style>
  <w:style w:type="character" w:styleId="768" w:customStyle="1">
    <w:name w:val="Title Char"/>
    <w:basedOn w:val="726"/>
    <w:uiPriority w:val="10"/>
    <w:rPr>
      <w:sz w:val="48"/>
      <w:szCs w:val="48"/>
    </w:rPr>
  </w:style>
  <w:style w:type="character" w:styleId="769" w:customStyle="1">
    <w:name w:val="Subtitle Char"/>
    <w:basedOn w:val="726"/>
    <w:uiPriority w:val="11"/>
    <w:rPr>
      <w:sz w:val="24"/>
      <w:szCs w:val="24"/>
    </w:rPr>
  </w:style>
  <w:style w:type="paragraph" w:styleId="770">
    <w:name w:val="Quote"/>
    <w:link w:val="771"/>
    <w:uiPriority w:val="29"/>
    <w:qFormat/>
    <w:pPr>
      <w:ind w:left="720" w:right="720"/>
    </w:pPr>
    <w:rPr>
      <w:i/>
    </w:rPr>
  </w:style>
  <w:style w:type="character" w:styleId="771" w:customStyle="1">
    <w:name w:val="Цитата 2 Знак"/>
    <w:link w:val="770"/>
    <w:uiPriority w:val="29"/>
    <w:rPr>
      <w:i/>
    </w:rPr>
  </w:style>
  <w:style w:type="paragraph" w:styleId="772">
    <w:name w:val="Intense Quote"/>
    <w:link w:val="77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3" w:customStyle="1">
    <w:name w:val="Выделенная цитата Знак"/>
    <w:link w:val="772"/>
    <w:uiPriority w:val="30"/>
    <w:rPr>
      <w:i/>
    </w:rPr>
  </w:style>
  <w:style w:type="character" w:styleId="774" w:customStyle="1">
    <w:name w:val="Header Char"/>
    <w:basedOn w:val="726"/>
    <w:uiPriority w:val="99"/>
  </w:style>
  <w:style w:type="character" w:styleId="775" w:customStyle="1">
    <w:name w:val="Footer Char"/>
    <w:basedOn w:val="726"/>
    <w:uiPriority w:val="99"/>
  </w:style>
  <w:style w:type="paragraph" w:styleId="776">
    <w:name w:val="Caption"/>
    <w:link w:val="77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77" w:customStyle="1">
    <w:name w:val="Название объекта Знак"/>
    <w:basedOn w:val="726"/>
    <w:link w:val="776"/>
    <w:uiPriority w:val="35"/>
    <w:rPr>
      <w:b/>
      <w:bCs/>
      <w:color w:val="5b9bd5" w:themeColor="accent1"/>
      <w:sz w:val="18"/>
      <w:szCs w:val="18"/>
    </w:rPr>
  </w:style>
  <w:style w:type="table" w:styleId="778" w:customStyle="1">
    <w:name w:val="Table Grid Light"/>
    <w:basedOn w:val="72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9" w:customStyle="1">
    <w:name w:val="Таблица простая 11"/>
    <w:basedOn w:val="72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0" w:customStyle="1">
    <w:name w:val="Таблица простая 21"/>
    <w:basedOn w:val="72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1" w:customStyle="1">
    <w:name w:val="Таблица простая 31"/>
    <w:basedOn w:val="7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2" w:customStyle="1">
    <w:name w:val="Таблица простая 41"/>
    <w:basedOn w:val="7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Таблица простая 51"/>
    <w:basedOn w:val="7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4" w:customStyle="1">
    <w:name w:val="Таблица-сетка 1 светлая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2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3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Grid Table 1 Light - Accent 4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Grid Table 1 Light - Accent 5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Grid Table 1 Light - Accent 6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Таблица-сетка 2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2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3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4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2 - Accent 5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6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Таблица-сетка 3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2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3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4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3 - Accent 5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6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Таблица-сетка 41"/>
    <w:basedOn w:val="72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6" w:customStyle="1">
    <w:name w:val="Grid Table 4 - Accent 1"/>
    <w:basedOn w:val="72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07" w:customStyle="1">
    <w:name w:val="Grid Table 4 - Accent 2"/>
    <w:basedOn w:val="72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8" w:customStyle="1">
    <w:name w:val="Grid Table 4 - Accent 3"/>
    <w:basedOn w:val="72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9" w:customStyle="1">
    <w:name w:val="Grid Table 4 - Accent 4"/>
    <w:basedOn w:val="72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10" w:customStyle="1">
    <w:name w:val="Grid Table 4 - Accent 5"/>
    <w:basedOn w:val="72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11" w:customStyle="1">
    <w:name w:val="Grid Table 4 - Accent 6"/>
    <w:basedOn w:val="72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12" w:customStyle="1">
    <w:name w:val="Таблица-сетка 5 темная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- Accent 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 - Accent 2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3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- Accent 4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7" w:customStyle="1">
    <w:name w:val="Grid Table 5 Dark - Accent 5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 - Accent 6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9" w:customStyle="1">
    <w:name w:val="Таблица-сетка 6 цветная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0" w:customStyle="1">
    <w:name w:val="Grid Table 6 Colorful - Accent 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21" w:customStyle="1">
    <w:name w:val="Grid Table 6 Colorful - Accent 2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22" w:customStyle="1">
    <w:name w:val="Grid Table 6 Colorful - Accent 3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23" w:customStyle="1">
    <w:name w:val="Grid Table 6 Colorful - Accent 4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24" w:customStyle="1">
    <w:name w:val="Grid Table 6 Colorful - Accent 5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5" w:customStyle="1">
    <w:name w:val="Grid Table 6 Colorful - Accent 6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6" w:customStyle="1">
    <w:name w:val="Таблица-сетка 7 цветная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Grid Table 7 Colorful - Accent 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Grid Table 7 Colorful - Accent 2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Grid Table 7 Colorful - Accent 3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Grid Table 7 Colorful - Accent 4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Grid Table 7 Colorful - Accent 5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Grid Table 7 Colorful - Accent 6"/>
    <w:basedOn w:val="7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Список-таблица 1 светлая1"/>
    <w:basedOn w:val="7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1"/>
    <w:basedOn w:val="7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2"/>
    <w:basedOn w:val="7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3"/>
    <w:basedOn w:val="7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4"/>
    <w:basedOn w:val="7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1 Light - Accent 5"/>
    <w:basedOn w:val="7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6"/>
    <w:basedOn w:val="7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Список-таблица 2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2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3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44" w:customStyle="1">
    <w:name w:val="List Table 2 - Accent 4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5" w:customStyle="1">
    <w:name w:val="List Table 2 - Accent 5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46" w:customStyle="1">
    <w:name w:val="List Table 2 - Accent 6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7" w:customStyle="1">
    <w:name w:val="Список-таблица 3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2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3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3 - Accent 4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3 - Accent 5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3 - Accent 6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Список-таблица 4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2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3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4 - Accent 4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4 - Accent 5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4 - Accent 6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Список-таблица 5 темная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62" w:customStyle="1">
    <w:name w:val="List Table 5 Dark - Accent 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63" w:customStyle="1">
    <w:name w:val="List Table 5 Dark - Accent 2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64" w:customStyle="1">
    <w:name w:val="List Table 5 Dark - Accent 3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65" w:customStyle="1">
    <w:name w:val="List Table 5 Dark - Accent 4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66" w:customStyle="1">
    <w:name w:val="List Table 5 Dark - Accent 5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67" w:customStyle="1">
    <w:name w:val="List Table 5 Dark - Accent 6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68" w:customStyle="1">
    <w:name w:val="Список-таблица 6 цветная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9" w:customStyle="1">
    <w:name w:val="List Table 6 Colorful - Accent 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70" w:customStyle="1">
    <w:name w:val="List Table 6 Colorful - Accent 2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71" w:customStyle="1">
    <w:name w:val="List Table 6 Colorful - Accent 3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72" w:customStyle="1">
    <w:name w:val="List Table 6 Colorful - Accent 4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73" w:customStyle="1">
    <w:name w:val="List Table 6 Colorful - Accent 5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74" w:customStyle="1">
    <w:name w:val="List Table 6 Colorful - Accent 6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5" w:customStyle="1">
    <w:name w:val="Список-таблица 7 цветная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6" w:customStyle="1">
    <w:name w:val="List Table 7 Colorful - Accent 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7" w:customStyle="1">
    <w:name w:val="List Table 7 Colorful - Accent 2"/>
    <w:basedOn w:val="72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8" w:customStyle="1">
    <w:name w:val="List Table 7 Colorful - Accent 3"/>
    <w:basedOn w:val="72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9" w:customStyle="1">
    <w:name w:val="List Table 7 Colorful - Accent 4"/>
    <w:basedOn w:val="72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0" w:customStyle="1">
    <w:name w:val="List Table 7 Colorful - Accent 5"/>
    <w:basedOn w:val="72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1" w:customStyle="1">
    <w:name w:val="List Table 7 Colorful - Accent 6"/>
    <w:basedOn w:val="72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2" w:customStyle="1">
    <w:name w:val="Lined - Accent"/>
    <w:basedOn w:val="727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3" w:customStyle="1">
    <w:name w:val="Lined - Accent 1"/>
    <w:basedOn w:val="727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4" w:customStyle="1">
    <w:name w:val="Lined - Accent 2"/>
    <w:basedOn w:val="727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5" w:customStyle="1">
    <w:name w:val="Lined - Accent 3"/>
    <w:basedOn w:val="727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6" w:customStyle="1">
    <w:name w:val="Lined - Accent 4"/>
    <w:basedOn w:val="727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7" w:customStyle="1">
    <w:name w:val="Lined - Accent 5"/>
    <w:basedOn w:val="727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8" w:customStyle="1">
    <w:name w:val="Lined - Accent 6"/>
    <w:basedOn w:val="727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9" w:customStyle="1">
    <w:name w:val="Bordered &amp; Lined - Accent"/>
    <w:basedOn w:val="727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0" w:customStyle="1">
    <w:name w:val="Bordered &amp; Lined - Accent 1"/>
    <w:basedOn w:val="727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1" w:customStyle="1">
    <w:name w:val="Bordered &amp; Lined - Accent 2"/>
    <w:basedOn w:val="727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2" w:customStyle="1">
    <w:name w:val="Bordered &amp; Lined - Accent 3"/>
    <w:basedOn w:val="727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3" w:customStyle="1">
    <w:name w:val="Bordered &amp; Lined - Accent 4"/>
    <w:basedOn w:val="727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4" w:customStyle="1">
    <w:name w:val="Bordered &amp; Lined - Accent 5"/>
    <w:basedOn w:val="727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5" w:customStyle="1">
    <w:name w:val="Bordered &amp; Lined - Accent 6"/>
    <w:basedOn w:val="727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6" w:customStyle="1">
    <w:name w:val="Bordered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7" w:customStyle="1">
    <w:name w:val="Bordered - Accent 1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8" w:customStyle="1">
    <w:name w:val="Bordered - Accent 2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9" w:customStyle="1">
    <w:name w:val="Bordered - Accent 3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00" w:customStyle="1">
    <w:name w:val="Bordered - Accent 4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01" w:customStyle="1">
    <w:name w:val="Bordered - Accent 5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02" w:customStyle="1">
    <w:name w:val="Bordered - Accent 6"/>
    <w:basedOn w:val="7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03">
    <w:name w:val="footnote text"/>
    <w:link w:val="904"/>
    <w:uiPriority w:val="99"/>
    <w:semiHidden/>
    <w:unhideWhenUsed/>
    <w:pPr>
      <w:spacing w:after="40" w:line="240" w:lineRule="auto"/>
    </w:pPr>
    <w:rPr>
      <w:sz w:val="18"/>
    </w:rPr>
  </w:style>
  <w:style w:type="character" w:styleId="904" w:customStyle="1">
    <w:name w:val="Текст сноски Знак"/>
    <w:link w:val="903"/>
    <w:uiPriority w:val="99"/>
    <w:rPr>
      <w:sz w:val="18"/>
    </w:rPr>
  </w:style>
  <w:style w:type="character" w:styleId="905">
    <w:name w:val="footnote reference"/>
    <w:basedOn w:val="726"/>
    <w:uiPriority w:val="99"/>
    <w:unhideWhenUsed/>
    <w:rPr>
      <w:vertAlign w:val="superscript"/>
    </w:rPr>
  </w:style>
  <w:style w:type="paragraph" w:styleId="906">
    <w:name w:val="endnote text"/>
    <w:link w:val="907"/>
    <w:uiPriority w:val="99"/>
    <w:semiHidden/>
    <w:unhideWhenUsed/>
    <w:pPr>
      <w:spacing w:after="0" w:line="240" w:lineRule="auto"/>
    </w:pPr>
    <w:rPr>
      <w:sz w:val="20"/>
    </w:rPr>
  </w:style>
  <w:style w:type="character" w:styleId="907" w:customStyle="1">
    <w:name w:val="Текст концевой сноски Знак"/>
    <w:link w:val="906"/>
    <w:uiPriority w:val="99"/>
    <w:rPr>
      <w:sz w:val="20"/>
    </w:rPr>
  </w:style>
  <w:style w:type="character" w:styleId="908">
    <w:name w:val="endnote reference"/>
    <w:basedOn w:val="726"/>
    <w:uiPriority w:val="99"/>
    <w:semiHidden/>
    <w:unhideWhenUsed/>
    <w:rPr>
      <w:vertAlign w:val="superscript"/>
    </w:rPr>
  </w:style>
  <w:style w:type="paragraph" w:styleId="909">
    <w:name w:val="TOC Heading"/>
    <w:uiPriority w:val="39"/>
    <w:unhideWhenUsed/>
  </w:style>
  <w:style w:type="paragraph" w:styleId="910">
    <w:name w:val="table of figures"/>
    <w:uiPriority w:val="99"/>
    <w:unhideWhenUsed/>
    <w:pPr>
      <w:spacing w:after="0"/>
    </w:pPr>
  </w:style>
  <w:style w:type="character" w:styleId="911" w:customStyle="1">
    <w:name w:val="Обычный1"/>
  </w:style>
  <w:style w:type="paragraph" w:styleId="912">
    <w:name w:val="toc 2"/>
    <w:next w:val="716"/>
    <w:link w:val="913"/>
    <w:uiPriority w:val="39"/>
    <w:pPr>
      <w:ind w:left="200"/>
    </w:pPr>
    <w:rPr>
      <w:rFonts w:ascii="XO Thames" w:hAnsi="XO Thames"/>
      <w:sz w:val="28"/>
    </w:rPr>
  </w:style>
  <w:style w:type="character" w:styleId="913" w:customStyle="1">
    <w:name w:val="Оглавление 2 Знак"/>
    <w:link w:val="912"/>
    <w:rPr>
      <w:rFonts w:ascii="XO Thames" w:hAnsi="XO Thames"/>
      <w:sz w:val="28"/>
    </w:rPr>
  </w:style>
  <w:style w:type="paragraph" w:styleId="914">
    <w:name w:val="toc 4"/>
    <w:next w:val="716"/>
    <w:link w:val="915"/>
    <w:uiPriority w:val="39"/>
    <w:pPr>
      <w:ind w:left="600"/>
    </w:pPr>
    <w:rPr>
      <w:rFonts w:ascii="XO Thames" w:hAnsi="XO Thames"/>
      <w:sz w:val="28"/>
    </w:rPr>
  </w:style>
  <w:style w:type="character" w:styleId="915" w:customStyle="1">
    <w:name w:val="Оглавление 4 Знак"/>
    <w:link w:val="914"/>
    <w:rPr>
      <w:rFonts w:ascii="XO Thames" w:hAnsi="XO Thames"/>
      <w:sz w:val="28"/>
    </w:rPr>
  </w:style>
  <w:style w:type="paragraph" w:styleId="916">
    <w:name w:val="toc 6"/>
    <w:next w:val="716"/>
    <w:link w:val="917"/>
    <w:uiPriority w:val="39"/>
    <w:pPr>
      <w:ind w:left="1000"/>
    </w:pPr>
    <w:rPr>
      <w:rFonts w:ascii="XO Thames" w:hAnsi="XO Thames"/>
      <w:sz w:val="28"/>
    </w:rPr>
  </w:style>
  <w:style w:type="character" w:styleId="917" w:customStyle="1">
    <w:name w:val="Оглавление 6 Знак"/>
    <w:link w:val="916"/>
    <w:rPr>
      <w:rFonts w:ascii="XO Thames" w:hAnsi="XO Thames"/>
      <w:sz w:val="28"/>
    </w:rPr>
  </w:style>
  <w:style w:type="paragraph" w:styleId="918">
    <w:name w:val="toc 7"/>
    <w:next w:val="716"/>
    <w:link w:val="919"/>
    <w:uiPriority w:val="39"/>
    <w:pPr>
      <w:ind w:left="1200"/>
    </w:pPr>
    <w:rPr>
      <w:rFonts w:ascii="XO Thames" w:hAnsi="XO Thames"/>
      <w:sz w:val="28"/>
    </w:rPr>
  </w:style>
  <w:style w:type="character" w:styleId="919" w:customStyle="1">
    <w:name w:val="Оглавление 7 Знак"/>
    <w:link w:val="918"/>
    <w:rPr>
      <w:rFonts w:ascii="XO Thames" w:hAnsi="XO Thames"/>
      <w:sz w:val="28"/>
    </w:rPr>
  </w:style>
  <w:style w:type="paragraph" w:styleId="920">
    <w:name w:val="Plain Text"/>
    <w:basedOn w:val="716"/>
    <w:link w:val="921"/>
    <w:pPr>
      <w:spacing w:after="0" w:line="240" w:lineRule="auto"/>
    </w:pPr>
    <w:rPr>
      <w:rFonts w:ascii="Calibri" w:hAnsi="Calibri"/>
    </w:rPr>
  </w:style>
  <w:style w:type="character" w:styleId="921" w:customStyle="1">
    <w:name w:val="Текст Знак"/>
    <w:basedOn w:val="911"/>
    <w:link w:val="920"/>
    <w:rPr>
      <w:rFonts w:ascii="Calibri" w:hAnsi="Calibri"/>
    </w:rPr>
  </w:style>
  <w:style w:type="paragraph" w:styleId="922" w:customStyle="1">
    <w:name w:val="Endnote"/>
    <w:link w:val="923"/>
    <w:pPr>
      <w:ind w:firstLine="851"/>
      <w:jc w:val="both"/>
    </w:pPr>
    <w:rPr>
      <w:rFonts w:ascii="XO Thames" w:hAnsi="XO Thames"/>
    </w:rPr>
  </w:style>
  <w:style w:type="character" w:styleId="923" w:customStyle="1">
    <w:name w:val="Endnote"/>
    <w:link w:val="922"/>
    <w:rPr>
      <w:rFonts w:ascii="XO Thames" w:hAnsi="XO Thames"/>
      <w:sz w:val="22"/>
    </w:rPr>
  </w:style>
  <w:style w:type="character" w:styleId="924" w:customStyle="1">
    <w:name w:val="Заголовок 3 Знак"/>
    <w:link w:val="719"/>
    <w:rPr>
      <w:rFonts w:ascii="XO Thames" w:hAnsi="XO Thames"/>
      <w:b/>
      <w:sz w:val="26"/>
    </w:rPr>
  </w:style>
  <w:style w:type="paragraph" w:styleId="925">
    <w:name w:val="Footer"/>
    <w:basedOn w:val="716"/>
    <w:link w:val="926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926" w:customStyle="1">
    <w:name w:val="Нижний колонтитул Знак"/>
    <w:basedOn w:val="911"/>
    <w:link w:val="925"/>
    <w:rPr>
      <w:rFonts w:ascii="Times New Roman" w:hAnsi="Times New Roman"/>
      <w:sz w:val="28"/>
    </w:rPr>
  </w:style>
  <w:style w:type="paragraph" w:styleId="927">
    <w:name w:val="Balloon Text"/>
    <w:basedOn w:val="716"/>
    <w:link w:val="928"/>
    <w:pPr>
      <w:spacing w:after="0" w:line="240" w:lineRule="auto"/>
    </w:pPr>
    <w:rPr>
      <w:rFonts w:ascii="Segoe UI" w:hAnsi="Segoe UI"/>
      <w:sz w:val="18"/>
    </w:rPr>
  </w:style>
  <w:style w:type="character" w:styleId="928" w:customStyle="1">
    <w:name w:val="Текст выноски Знак"/>
    <w:basedOn w:val="911"/>
    <w:link w:val="927"/>
    <w:rPr>
      <w:rFonts w:ascii="Segoe UI" w:hAnsi="Segoe UI"/>
      <w:sz w:val="18"/>
    </w:rPr>
  </w:style>
  <w:style w:type="paragraph" w:styleId="929">
    <w:name w:val="toc 3"/>
    <w:next w:val="716"/>
    <w:link w:val="930"/>
    <w:uiPriority w:val="39"/>
    <w:pPr>
      <w:ind w:left="400"/>
    </w:pPr>
    <w:rPr>
      <w:rFonts w:ascii="XO Thames" w:hAnsi="XO Thames"/>
      <w:sz w:val="28"/>
    </w:rPr>
  </w:style>
  <w:style w:type="character" w:styleId="930" w:customStyle="1">
    <w:name w:val="Оглавление 3 Знак"/>
    <w:link w:val="929"/>
    <w:rPr>
      <w:rFonts w:ascii="XO Thames" w:hAnsi="XO Thames"/>
      <w:sz w:val="28"/>
    </w:rPr>
  </w:style>
  <w:style w:type="character" w:styleId="931" w:customStyle="1">
    <w:name w:val="Заголовок 5 Знак"/>
    <w:link w:val="721"/>
    <w:rPr>
      <w:rFonts w:ascii="XO Thames" w:hAnsi="XO Thames"/>
      <w:b/>
      <w:sz w:val="22"/>
    </w:rPr>
  </w:style>
  <w:style w:type="character" w:styleId="932" w:customStyle="1">
    <w:name w:val="Заголовок 1 Знак"/>
    <w:link w:val="717"/>
    <w:rPr>
      <w:rFonts w:ascii="XO Thames" w:hAnsi="XO Thames"/>
      <w:b/>
      <w:sz w:val="32"/>
    </w:rPr>
  </w:style>
  <w:style w:type="paragraph" w:styleId="933" w:customStyle="1">
    <w:name w:val="Гиперссылка1"/>
    <w:basedOn w:val="947"/>
    <w:link w:val="934"/>
    <w:rPr>
      <w:color w:val="0563c1" w:themeColor="hyperlink"/>
      <w:u w:val="single"/>
    </w:rPr>
  </w:style>
  <w:style w:type="character" w:styleId="934">
    <w:name w:val="Hyperlink"/>
    <w:basedOn w:val="726"/>
    <w:link w:val="933"/>
    <w:rPr>
      <w:color w:val="0563c1" w:themeColor="hyperlink"/>
      <w:u w:val="single"/>
    </w:rPr>
  </w:style>
  <w:style w:type="paragraph" w:styleId="935" w:customStyle="1">
    <w:name w:val="Footnote"/>
    <w:link w:val="936"/>
    <w:pPr>
      <w:ind w:firstLine="851"/>
      <w:jc w:val="both"/>
    </w:pPr>
    <w:rPr>
      <w:rFonts w:ascii="XO Thames" w:hAnsi="XO Thames"/>
    </w:rPr>
  </w:style>
  <w:style w:type="character" w:styleId="936" w:customStyle="1">
    <w:name w:val="Footnote"/>
    <w:link w:val="935"/>
    <w:rPr>
      <w:rFonts w:ascii="XO Thames" w:hAnsi="XO Thames"/>
      <w:sz w:val="22"/>
    </w:rPr>
  </w:style>
  <w:style w:type="paragraph" w:styleId="937">
    <w:name w:val="toc 1"/>
    <w:next w:val="716"/>
    <w:link w:val="938"/>
    <w:uiPriority w:val="39"/>
    <w:rPr>
      <w:rFonts w:ascii="XO Thames" w:hAnsi="XO Thames"/>
      <w:b/>
      <w:sz w:val="28"/>
    </w:rPr>
  </w:style>
  <w:style w:type="character" w:styleId="938" w:customStyle="1">
    <w:name w:val="Оглавление 1 Знак"/>
    <w:link w:val="937"/>
    <w:rPr>
      <w:rFonts w:ascii="XO Thames" w:hAnsi="XO Thames"/>
      <w:b/>
      <w:sz w:val="28"/>
    </w:rPr>
  </w:style>
  <w:style w:type="paragraph" w:styleId="939" w:customStyle="1">
    <w:name w:val="Header and Footer"/>
    <w:link w:val="940"/>
    <w:pPr>
      <w:jc w:val="both"/>
      <w:spacing w:line="240" w:lineRule="auto"/>
    </w:pPr>
    <w:rPr>
      <w:rFonts w:ascii="XO Thames" w:hAnsi="XO Thames"/>
      <w:sz w:val="28"/>
    </w:rPr>
  </w:style>
  <w:style w:type="character" w:styleId="940" w:customStyle="1">
    <w:name w:val="Header and Footer"/>
    <w:link w:val="939"/>
    <w:rPr>
      <w:rFonts w:ascii="XO Thames" w:hAnsi="XO Thames"/>
      <w:sz w:val="28"/>
    </w:rPr>
  </w:style>
  <w:style w:type="paragraph" w:styleId="941">
    <w:name w:val="toc 9"/>
    <w:next w:val="716"/>
    <w:link w:val="942"/>
    <w:uiPriority w:val="39"/>
    <w:pPr>
      <w:ind w:left="1600"/>
    </w:pPr>
    <w:rPr>
      <w:rFonts w:ascii="XO Thames" w:hAnsi="XO Thames"/>
      <w:sz w:val="28"/>
    </w:rPr>
  </w:style>
  <w:style w:type="character" w:styleId="942" w:customStyle="1">
    <w:name w:val="Оглавление 9 Знак"/>
    <w:link w:val="941"/>
    <w:rPr>
      <w:rFonts w:ascii="XO Thames" w:hAnsi="XO Thames"/>
      <w:sz w:val="28"/>
    </w:rPr>
  </w:style>
  <w:style w:type="paragraph" w:styleId="943">
    <w:name w:val="toc 8"/>
    <w:next w:val="716"/>
    <w:link w:val="944"/>
    <w:uiPriority w:val="39"/>
    <w:pPr>
      <w:ind w:left="1400"/>
    </w:pPr>
    <w:rPr>
      <w:rFonts w:ascii="XO Thames" w:hAnsi="XO Thames"/>
      <w:sz w:val="28"/>
    </w:rPr>
  </w:style>
  <w:style w:type="character" w:styleId="944" w:customStyle="1">
    <w:name w:val="Оглавление 8 Знак"/>
    <w:link w:val="943"/>
    <w:rPr>
      <w:rFonts w:ascii="XO Thames" w:hAnsi="XO Thames"/>
      <w:sz w:val="28"/>
    </w:rPr>
  </w:style>
  <w:style w:type="paragraph" w:styleId="945">
    <w:name w:val="Header"/>
    <w:basedOn w:val="716"/>
    <w:link w:val="946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46" w:customStyle="1">
    <w:name w:val="Верхний колонтитул Знак"/>
    <w:basedOn w:val="911"/>
    <w:link w:val="945"/>
  </w:style>
  <w:style w:type="paragraph" w:styleId="947" w:customStyle="1">
    <w:name w:val="Основной шрифт абзаца1"/>
  </w:style>
  <w:style w:type="paragraph" w:styleId="948">
    <w:name w:val="toc 5"/>
    <w:next w:val="716"/>
    <w:link w:val="949"/>
    <w:uiPriority w:val="39"/>
    <w:pPr>
      <w:ind w:left="800"/>
    </w:pPr>
    <w:rPr>
      <w:rFonts w:ascii="XO Thames" w:hAnsi="XO Thames"/>
      <w:sz w:val="28"/>
    </w:rPr>
  </w:style>
  <w:style w:type="character" w:styleId="949" w:customStyle="1">
    <w:name w:val="Оглавление 5 Знак"/>
    <w:link w:val="948"/>
    <w:rPr>
      <w:rFonts w:ascii="XO Thames" w:hAnsi="XO Thames"/>
      <w:sz w:val="28"/>
    </w:rPr>
  </w:style>
  <w:style w:type="paragraph" w:styleId="950">
    <w:name w:val="Subtitle"/>
    <w:next w:val="716"/>
    <w:link w:val="951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51" w:customStyle="1">
    <w:name w:val="Подзаголовок Знак"/>
    <w:link w:val="950"/>
    <w:rPr>
      <w:rFonts w:ascii="XO Thames" w:hAnsi="XO Thames"/>
      <w:i/>
      <w:sz w:val="24"/>
    </w:rPr>
  </w:style>
  <w:style w:type="paragraph" w:styleId="952">
    <w:name w:val="Title"/>
    <w:next w:val="716"/>
    <w:link w:val="953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53" w:customStyle="1">
    <w:name w:val="Заголовок Знак"/>
    <w:link w:val="952"/>
    <w:rPr>
      <w:rFonts w:ascii="XO Thames" w:hAnsi="XO Thames"/>
      <w:b/>
      <w:caps/>
      <w:sz w:val="40"/>
    </w:rPr>
  </w:style>
  <w:style w:type="character" w:styleId="954" w:customStyle="1">
    <w:name w:val="Заголовок 4 Знак"/>
    <w:link w:val="720"/>
    <w:rPr>
      <w:rFonts w:ascii="XO Thames" w:hAnsi="XO Thames"/>
      <w:b/>
      <w:sz w:val="24"/>
    </w:rPr>
  </w:style>
  <w:style w:type="character" w:styleId="955" w:customStyle="1">
    <w:name w:val="Заголовок 2 Знак"/>
    <w:link w:val="718"/>
    <w:rPr>
      <w:rFonts w:ascii="XO Thames" w:hAnsi="XO Thames"/>
      <w:b/>
      <w:sz w:val="28"/>
    </w:rPr>
  </w:style>
  <w:style w:type="table" w:styleId="956" w:customStyle="1">
    <w:name w:val="Сетка таблицы1"/>
    <w:basedOn w:val="727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57">
    <w:name w:val="Table Grid"/>
    <w:basedOn w:val="727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58" w:customStyle="1">
    <w:name w:val="Сетка таблицы2"/>
    <w:basedOn w:val="727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9" w:customStyle="1">
    <w:name w:val="Default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/>
      <w:sz w:val="24"/>
      <w:lang w:eastAsia="ru-RU"/>
    </w:rPr>
  </w:style>
  <w:style w:type="paragraph" w:styleId="960" w:customStyle="1">
    <w:name w:val="Основной текст2"/>
    <w:link w:val="961"/>
    <w:pPr>
      <w:jc w:val="both"/>
      <w:spacing w:before="600" w:after="420" w:line="0" w:lineRule="atLeas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/>
      <w:sz w:val="27"/>
      <w:lang w:eastAsia="ru-RU"/>
    </w:rPr>
  </w:style>
  <w:style w:type="character" w:styleId="961" w:customStyle="1">
    <w:name w:val="Основной текст_"/>
    <w:basedOn w:val="726"/>
    <w:link w:val="960"/>
    <w:rPr>
      <w:rFonts w:ascii="Times New Roman" w:hAnsi="Times New Roman"/>
      <w:sz w:val="27"/>
      <w:lang w:eastAsia="ru-RU"/>
    </w:rPr>
  </w:style>
  <w:style w:type="character" w:styleId="962" w:customStyle="1">
    <w:name w:val="Основной текст + 11 pt"/>
    <w:basedOn w:val="961"/>
    <w:rPr>
      <w:rFonts w:ascii="Times New Roman" w:hAnsi="Times New Roman"/>
      <w:color w:val="000000"/>
      <w:spacing w:val="0"/>
      <w:position w:val="0"/>
      <w:sz w:val="22"/>
      <w:szCs w:val="22"/>
      <w:lang w:val="ru-RU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Лиханова</dc:creator>
  <cp:lastModifiedBy>chernoval</cp:lastModifiedBy>
  <cp:revision>3</cp:revision>
  <dcterms:created xsi:type="dcterms:W3CDTF">2026-09-16T23:04:00Z</dcterms:created>
  <dcterms:modified xsi:type="dcterms:W3CDTF">2026-09-21T01:53:36Z</dcterms:modified>
</cp:coreProperties>
</file>