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contextualSpacing w:val="false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l="0" t="0" r="0" b="0"/>
            <wp:wrapTight wrapText="bothSides">
              <wp:wrapPolygon edited="0">
                <wp:start x="-160" y="0"/>
                <wp:lineTo x="-160" y="20759"/>
                <wp:lineTo x="20808" y="20759"/>
                <wp:lineTo x="20808" y="0"/>
                <wp:lineTo x="-160" y="0"/>
              </wp:wrapPolygon>
            </wp:wrapTight>
            <wp:docPr id="1" name="Рисунок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 w:before="0" w:after="0"/>
        <w:contextualSpacing w:val="false"/>
        <w:jc w:val="center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sz w:val="32"/>
          <w:szCs w:val="32"/>
          <w:lang w:eastAsia="ru-RU"/>
        </w:rPr>
      </w:r>
    </w:p>
    <w:p>
      <w:pPr>
        <w:pStyle w:val="Normal"/>
        <w:spacing w:lineRule="auto" w:line="240" w:before="0" w:after="0"/>
        <w:contextualSpacing w:val="false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  <w:lang w:eastAsia="ru-RU"/>
        </w:rPr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  <w:lang w:eastAsia="ru-RU"/>
        </w:rPr>
      </w:r>
    </w:p>
    <w:p>
      <w:pPr>
        <w:pStyle w:val="Normal"/>
        <w:spacing w:lineRule="auto" w:line="240" w:before="0" w:after="0"/>
        <w:contextualSpacing w:val="false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МИНИСТЕРСТВО</w:t>
      </w:r>
    </w:p>
    <w:p>
      <w:pPr>
        <w:pStyle w:val="Normal"/>
        <w:spacing w:lineRule="auto" w:line="240" w:before="0" w:after="0"/>
        <w:contextualSpacing w:val="false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СОЦИАЛЬНОГО БЛАГОПОЛУЧИЯ </w:t>
      </w:r>
    </w:p>
    <w:p>
      <w:pPr>
        <w:pStyle w:val="Normal"/>
        <w:spacing w:lineRule="auto" w:line="240" w:before="0" w:after="0"/>
        <w:contextualSpacing w:val="false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И СЕМЕЙНОЙ ПОЛИТИКИ КАМЧАТСКОГО КРАЯ</w:t>
      </w:r>
    </w:p>
    <w:p>
      <w:pPr>
        <w:pStyle w:val="Normal"/>
        <w:spacing w:lineRule="auto" w:line="240" w:before="0" w:after="0"/>
        <w:contextualSpacing w:val="false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contextualSpacing w:val="false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ПРИКАЗ</w:t>
      </w:r>
    </w:p>
    <w:p>
      <w:pPr>
        <w:pStyle w:val="Normal"/>
        <w:spacing w:lineRule="auto" w:line="240" w:before="0" w:after="0"/>
        <w:contextualSpacing w:val="false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 w:val="false"/>
        <w:jc w:val="center"/>
        <w:rPr>
          <w:rFonts w:ascii="Times New Roman" w:hAnsi="Times New Roman" w:eastAsia="Times New Roman" w:cs="Times New Roman"/>
          <w:sz w:val="20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8"/>
          <w:lang w:eastAsia="ru-RU"/>
        </w:rPr>
      </w:r>
    </w:p>
    <w:tbl>
      <w:tblPr>
        <w:tblW w:w="425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4253"/>
      </w:tblGrid>
      <w:tr>
        <w:trPr>
          <w:trHeight w:val="427" w:hRule="atLeast"/>
        </w:trPr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142" w:left="142"/>
              <w:contextualSpacing w:val="false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>
        <w:trPr>
          <w:trHeight w:val="247" w:hRule="atLeast"/>
        </w:trPr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val="80" w:hRule="atLeast"/>
        </w:trPr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spacing w:lineRule="auto" w:line="240" w:before="0" w:after="0"/>
        <w:ind w:firstLine="709"/>
        <w:contextualSpacing w:val="false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tbl>
      <w:tblPr>
        <w:tblStyle w:val="a3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39"/>
      </w:tblGrid>
      <w:tr>
        <w:trPr/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30"/>
              <w:contextualSpacing w:val="false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8"/>
                <w:szCs w:val="28"/>
                <w:lang w:val="ru-RU" w:eastAsia="ru-RU" w:bidi="ar-SA"/>
              </w:rPr>
              <w:t>Об утверждении тарифов на социальные услуги, предоставляемые поставщиками социальных услуг в Камчатском крае в стационарной форме социального обслуживания, на 202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8"/>
                <w:szCs w:val="28"/>
                <w:lang w:val="ru-RU" w:eastAsia="ru-RU" w:bidi="ar-SA"/>
              </w:rPr>
              <w:t>7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8"/>
                <w:szCs w:val="28"/>
                <w:lang w:val="ru-RU" w:eastAsia="ru-RU" w:bidi="ar-SA"/>
              </w:rPr>
              <w:t xml:space="preserve"> год</w:t>
            </w:r>
          </w:p>
        </w:tc>
      </w:tr>
    </w:tbl>
    <w:p>
      <w:pPr>
        <w:pStyle w:val="Normal"/>
        <w:spacing w:lineRule="auto" w:line="240" w:before="0" w:after="0"/>
        <w:ind w:firstLine="709"/>
        <w:contextualSpacing w:val="false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 w:val="false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 w:val="false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соответствии с частью 3 Порядка утверждения тарифов на социальные услуги в Камчатском крае, утвержденного постановлением Правительства Камчатского края от 12.12.2014 № 517-П,</w:t>
      </w:r>
    </w:p>
    <w:p>
      <w:pPr>
        <w:pStyle w:val="Normal"/>
        <w:spacing w:lineRule="auto" w:line="240" w:before="0" w:after="0"/>
        <w:ind w:firstLine="709"/>
        <w:contextualSpacing w:val="false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 w:val="false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ПРИКАЗЫВАЮ:</w:t>
      </w:r>
    </w:p>
    <w:p>
      <w:pPr>
        <w:pStyle w:val="Normal"/>
        <w:spacing w:lineRule="auto" w:line="240" w:before="0" w:after="0"/>
        <w:ind w:firstLine="709"/>
        <w:contextualSpacing w:val="false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contextualSpacing w:val="false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1. Утвердить тарифы на социальные услуги, предоставляемые поставщиками социальных услуг в Камчатском крае в стационарной форме социального обслуживания, на 202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7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 год, согласно приложению к настоящему приказу</w:t>
      </w:r>
      <w:r>
        <w:rPr>
          <w:rFonts w:eastAsia="Times New Roman" w:cs="Times New Roman" w:ascii="Times New Roman" w:hAnsi="Times New Roman"/>
          <w:bCs/>
          <w:sz w:val="28"/>
          <w:szCs w:val="28"/>
          <w:shd w:fill="auto" w:val="clear"/>
          <w:lang w:eastAsia="ru-RU"/>
        </w:rPr>
        <w:t>.</w:t>
      </w:r>
    </w:p>
    <w:p>
      <w:pPr>
        <w:pStyle w:val="Normal"/>
        <w:spacing w:lineRule="auto" w:line="240" w:before="0" w:after="0"/>
        <w:ind w:firstLine="709"/>
        <w:contextualSpacing w:val="false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shd w:fill="auto" w:val="clear"/>
          <w:lang w:eastAsia="ru-RU"/>
        </w:rPr>
        <w:t>2. Установить, что для получателей социальных услуг, признанных нуждающимися в социальном обслуживании, применяется пониженный тариф на социальные услуги, предоставляемые поставщиками социальных услуг в стационарной форме социального обслуживания в объемах, предусмотренных индивидуальными программами предоставления социальных услуг, в размере 15 процентов от утвержденных тарифов.</w:t>
      </w:r>
    </w:p>
    <w:p>
      <w:pPr>
        <w:pStyle w:val="Normal"/>
        <w:spacing w:lineRule="auto" w:line="240" w:before="0" w:after="0"/>
        <w:ind w:firstLine="709"/>
        <w:contextualSpacing w:val="false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3. Настоящий приказ вступает в силу с 1 января 202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7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 года.</w:t>
      </w:r>
    </w:p>
    <w:p>
      <w:pPr>
        <w:pStyle w:val="Normal"/>
        <w:spacing w:lineRule="auto" w:line="240" w:before="0" w:after="0"/>
        <w:ind w:firstLine="709"/>
        <w:contextualSpacing w:val="false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contextualSpacing w:val="false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contextualSpacing w:val="false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tbl>
      <w:tblPr>
        <w:tblW w:w="964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3465"/>
        <w:gridCol w:w="3897"/>
        <w:gridCol w:w="2283"/>
      </w:tblGrid>
      <w:tr>
        <w:trPr>
          <w:trHeight w:val="1185" w:hRule="atLeast"/>
        </w:trPr>
        <w:tc>
          <w:tcPr>
            <w:tcW w:w="346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right="27"/>
              <w:contextualSpacing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Министр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30" w:right="27"/>
              <w:contextualSpacing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89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1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1"/>
          </w:p>
        </w:tc>
        <w:tc>
          <w:tcPr>
            <w:tcW w:w="2283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right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А.С. Фёдорова</w:t>
            </w:r>
          </w:p>
        </w:tc>
      </w:tr>
    </w:tbl>
    <w:p>
      <w:pPr>
        <w:pStyle w:val="Normal"/>
        <w:rPr>
          <w:sz w:val="12"/>
          <w:szCs w:val="12"/>
        </w:rPr>
      </w:pPr>
      <w:r>
        <w:rPr>
          <w:sz w:val="12"/>
          <w:szCs w:val="12"/>
        </w:rPr>
      </w:r>
      <w:r>
        <w:br w:type="page"/>
      </w:r>
    </w:p>
    <w:p>
      <w:pPr>
        <w:pStyle w:val="Normal"/>
        <w:widowControl w:val="false"/>
        <w:bidi w:val="0"/>
        <w:spacing w:lineRule="auto" w:line="240" w:before="0" w:after="0"/>
        <w:ind w:hanging="0" w:left="5046" w:right="0"/>
        <w:contextualSpacing w:val="false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к приказу</w:t>
      </w:r>
    </w:p>
    <w:p>
      <w:pPr>
        <w:pStyle w:val="Normal"/>
        <w:widowControl w:val="false"/>
        <w:bidi w:val="0"/>
        <w:spacing w:lineRule="auto" w:line="240" w:before="0" w:after="0"/>
        <w:ind w:hanging="0" w:left="5046" w:right="0"/>
        <w:contextualSpacing w:val="false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Министерства </w:t>
      </w:r>
      <w:r>
        <w:rPr>
          <w:rFonts w:cs="Times New Roman" w:ascii="Times New Roman" w:hAnsi="Times New Roman"/>
          <w:sz w:val="28"/>
          <w:szCs w:val="28"/>
        </w:rPr>
        <w:t>социального благополучия и семейной политики Камчатского края</w:t>
      </w:r>
    </w:p>
    <w:tbl>
      <w:tblPr>
        <w:tblStyle w:val="a3"/>
        <w:tblW w:w="4470" w:type="dxa"/>
        <w:jc w:val="left"/>
        <w:tblInd w:w="50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5"/>
        <w:gridCol w:w="1787"/>
        <w:gridCol w:w="487"/>
        <w:gridCol w:w="1700"/>
      </w:tblGrid>
      <w:tr>
        <w:trPr/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60"/>
              <w:ind w:hanging="0" w:left="-65"/>
              <w:contextualSpacing w:val="false"/>
              <w:jc w:val="righ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от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60"/>
              <w:contextualSpacing w:val="false"/>
              <w:jc w:val="right"/>
              <w:rPr>
                <w:rFonts w:eastAsia="Calibri" w:cs=""/>
                <w:kern w:val="0"/>
                <w:lang w:eastAsia="en-US" w:bidi="ar-SA"/>
              </w:rPr>
            </w:pPr>
            <w:r>
              <w:rPr>
                <w:rFonts w:eastAsia="Calibri" w:cs="" w:ascii="Times New Roman" w:hAnsi="Times New Roman"/>
                <w:color w:themeColor="background1" w:val="FFFFFF"/>
                <w:kern w:val="0"/>
                <w:sz w:val="28"/>
                <w:szCs w:val="28"/>
                <w:lang w:val="ru-RU" w:eastAsia="en-US" w:bidi="ar-SA"/>
              </w:rPr>
              <w:t>[</w:t>
            </w:r>
            <w:r>
              <w:rPr>
                <w:rFonts w:eastAsia="Calibri" w:cs="" w:ascii="Times New Roman" w:hAnsi="Times New Roman"/>
                <w:color w:themeColor="background1" w:val="FFFFFF"/>
                <w:kern w:val="0"/>
                <w:sz w:val="28"/>
                <w:szCs w:val="28"/>
                <w:lang w:val="en-US" w:eastAsia="en-US" w:bidi="ar-SA"/>
              </w:rPr>
              <w:t>R</w:t>
            </w:r>
            <w:r>
              <w:rPr>
                <w:rFonts w:eastAsia="Calibri" w:cs="" w:ascii="Times New Roman" w:hAnsi="Times New Roman"/>
                <w:color w:themeColor="background1" w:val="FFFFFF"/>
                <w:kern w:val="0"/>
                <w:sz w:val="16"/>
                <w:szCs w:val="28"/>
                <w:lang w:val="en-US" w:eastAsia="en-US" w:bidi="ar-SA"/>
              </w:rPr>
              <w:t>EGDATESTAMP</w:t>
            </w:r>
            <w:r>
              <w:rPr>
                <w:rFonts w:eastAsia="Calibri" w:cs="" w:ascii="Times New Roman" w:hAnsi="Times New Roman"/>
                <w:color w:themeColor="background1" w:val="FFFFFF"/>
                <w:kern w:val="0"/>
                <w:sz w:val="16"/>
                <w:szCs w:val="28"/>
                <w:lang w:val="ru-RU" w:eastAsia="en-US" w:bidi="ar-SA"/>
              </w:rPr>
              <w:t>]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60"/>
              <w:contextualSpacing w:val="false"/>
              <w:jc w:val="righ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№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60"/>
              <w:contextualSpacing w:val="false"/>
              <w:jc w:val="righ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themeColor="background1" w:val="FFFFFF"/>
                <w:kern w:val="0"/>
                <w:sz w:val="28"/>
                <w:szCs w:val="28"/>
                <w:lang w:val="ru-RU" w:eastAsia="en-US" w:bidi="ar-SA"/>
              </w:rPr>
              <w:t>[R</w:t>
            </w:r>
            <w:r>
              <w:rPr>
                <w:rFonts w:eastAsia="Calibri" w:cs="" w:ascii="Times New Roman" w:hAnsi="Times New Roman"/>
                <w:color w:themeColor="background1" w:val="FFFFFF"/>
                <w:kern w:val="0"/>
                <w:sz w:val="16"/>
                <w:szCs w:val="28"/>
                <w:lang w:val="ru-RU" w:eastAsia="en-US" w:bidi="ar-SA"/>
              </w:rPr>
              <w:t>EGNUMSTAMP]</w:t>
            </w:r>
          </w:p>
        </w:tc>
      </w:tr>
    </w:tbl>
    <w:p>
      <w:pPr>
        <w:pStyle w:val="Normal"/>
        <w:spacing w:lineRule="auto" w:line="240" w:before="0" w:after="15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/>
      </w:pPr>
      <w:r>
        <w:rPr>
          <w:rFonts w:ascii="Times New Roman" w:hAnsi="Times New Roman"/>
          <w:sz w:val="28"/>
          <w:szCs w:val="28"/>
        </w:rPr>
        <w:t>Тарифы</w:t>
      </w:r>
    </w:p>
    <w:p>
      <w:pPr>
        <w:pStyle w:val="Normal"/>
        <w:spacing w:lineRule="auto" w:line="240" w:before="0" w:after="0"/>
        <w:contextualSpacing/>
        <w:jc w:val="center"/>
        <w:rPr/>
      </w:pPr>
      <w:r>
        <w:rPr>
          <w:rFonts w:ascii="Times New Roman" w:hAnsi="Times New Roman"/>
          <w:sz w:val="28"/>
          <w:szCs w:val="28"/>
        </w:rPr>
        <w:t>на социальные услуги, предоставляемые поставщиками социальных услуг в Камчатском крае в стационарной форме социального обслуживания,</w:t>
      </w:r>
    </w:p>
    <w:p>
      <w:pPr>
        <w:pStyle w:val="Normal"/>
        <w:spacing w:lineRule="auto" w:line="240" w:before="0" w:after="0"/>
        <w:contextualSpacing/>
        <w:jc w:val="center"/>
        <w:rPr/>
      </w:pPr>
      <w:r>
        <w:rPr>
          <w:rFonts w:ascii="Times New Roman" w:hAnsi="Times New Roman"/>
          <w:sz w:val="28"/>
          <w:szCs w:val="28"/>
        </w:rPr>
        <w:t>на 202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634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988"/>
        <w:gridCol w:w="6662"/>
        <w:gridCol w:w="1984"/>
      </w:tblGrid>
      <w:tr>
        <w:trPr>
          <w:trHeight w:val="164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социальной услуги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Тариф на единицу услуги,</w:t>
            </w:r>
          </w:p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руб.</w:t>
            </w:r>
          </w:p>
        </w:tc>
      </w:tr>
    </w:tbl>
    <w:p>
      <w:pPr>
        <w:pStyle w:val="ConsPlusNormal"/>
        <w:spacing w:lineRule="atLeast" w:line="0" w:before="0" w:after="0"/>
        <w:contextualSpacing/>
        <w:jc w:val="center"/>
        <w:rPr>
          <w:rFonts w:ascii="Times New Roman" w:hAnsi="Times New Roman" w:cs="Times New Roman"/>
          <w:sz w:val="2"/>
          <w:szCs w:val="2"/>
        </w:rPr>
      </w:pPr>
      <w:r>
        <w:rPr>
          <w:rFonts w:cs="Times New Roman" w:ascii="Times New Roman" w:hAnsi="Times New Roman"/>
          <w:sz w:val="2"/>
          <w:szCs w:val="2"/>
        </w:rPr>
      </w:r>
    </w:p>
    <w:tbl>
      <w:tblPr>
        <w:tblW w:w="9634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988"/>
        <w:gridCol w:w="6662"/>
        <w:gridCol w:w="1984"/>
      </w:tblGrid>
      <w:tr>
        <w:trPr>
          <w:tblHeader w:val="true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199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Социально-бытовые услуги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trHeight w:val="419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Обеспечение площадью жилых помещений в соответствии с утвержденными нормативами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140,64</w:t>
            </w:r>
          </w:p>
        </w:tc>
      </w:tr>
      <w:tr>
        <w:trPr>
          <w:trHeight w:val="501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Предоставление помещений для отправления религиозных обрядов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176,48</w:t>
            </w:r>
          </w:p>
        </w:tc>
      </w:tr>
      <w:tr>
        <w:trPr>
          <w:trHeight w:val="423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Обеспечение мягким инвентарем (одеждой, обувью, нательным бельем и постельными принадлежностями) в соответствии с утвержденными нормативами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398,82</w:t>
            </w:r>
          </w:p>
        </w:tc>
      </w:tr>
      <w:tr>
        <w:trPr>
          <w:trHeight w:val="381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Обеспечение питанием в соответствии с утвержденными нормативами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591,42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Помощь в приеме пищи (кормление)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1.5.1.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Подача пищи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469,70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1.5.2.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Подача пищи и кормление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1654,20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1.5.3.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Контроль за соблюдением питьевого режима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338,09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1.6.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1.6.1.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Уход за ротовой полостью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206,47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1.6.2.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Умывание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206,47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1.6.3.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Уход за волосами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102,10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1.6.4.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Стрижка ногтей на руках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272,28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1.6.5.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Стрижка ногтей на ногах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469,70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1.6.6.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Помощь при бритье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129,34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1.6.7.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Бритье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156,58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1.6.8.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Содействие при купании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469,70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1.6.9.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Полное купание в душе или ванной комнате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667,07</w:t>
            </w:r>
          </w:p>
        </w:tc>
      </w:tr>
      <w:tr>
        <w:trPr>
          <w:trHeight w:val="184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1.6.10.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Полное купание в постели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864,53</w:t>
            </w:r>
          </w:p>
        </w:tc>
      </w:tr>
      <w:tr>
        <w:trPr>
          <w:trHeight w:val="134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1.6.11.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Смена постельного белья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272,28</w:t>
            </w:r>
          </w:p>
        </w:tc>
      </w:tr>
      <w:tr>
        <w:trPr>
          <w:trHeight w:val="56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1.6.12.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Смена нательного белья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1.6.12.1.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Помощь в одевании и раздевании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206,47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1.6.12.2.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Смена нательного белья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206,47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1.6.13.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Оказание помощи в пользовании туалетом (судном, уткой)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667,12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1.6.14.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Смена абсорбирующего белья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667,12</w:t>
            </w:r>
          </w:p>
        </w:tc>
      </w:tr>
      <w:tr>
        <w:trPr>
          <w:trHeight w:val="445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1.7.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 досуга и отдыха, в том числе обеспечение книгами, журналами, газетами, настольными играми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1.7.1.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 и проведение культурно-развлекательной программы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278,98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1.7.2.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Предоставление печатных изданий, настольных игр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108,89</w:t>
            </w:r>
          </w:p>
        </w:tc>
      </w:tr>
      <w:tr>
        <w:trPr>
          <w:trHeight w:val="262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1.8.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278,98</w:t>
            </w:r>
          </w:p>
        </w:tc>
      </w:tr>
      <w:tr>
        <w:trPr>
          <w:trHeight w:val="499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1.9.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Оказание помощи в написании писем, обращений и оказание помощи в прочтении писем и документов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210,95</w:t>
            </w:r>
          </w:p>
        </w:tc>
      </w:tr>
      <w:tr>
        <w:trPr>
          <w:trHeight w:val="722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1.10.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Покупка за счет средств получателя социальных услуг продуктов питания, промышленных товаров, средств санитарии и гигиены, средств ухода, книг, газет, журналов, настольных игр и их доставка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156,58</w:t>
            </w:r>
          </w:p>
        </w:tc>
      </w:tr>
      <w:tr>
        <w:trPr>
          <w:trHeight w:val="260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1.11.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 перевозки и (или) сопровождение к месту лечения, получения консультации, обучения, проведения культурных мероприятии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2021,84</w:t>
            </w:r>
          </w:p>
        </w:tc>
      </w:tr>
      <w:tr>
        <w:trPr>
          <w:trHeight w:val="13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1.12.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Сопровождение во время прогулок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934,27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Социально медицинские услуги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Выполнение процедур, связанных с наблюдением за состоянием здоровья получателей социальных услуг (измерение температуры тела, артериального давления, контроль за приемом лекарств и др.)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Измерение температуры тела, измерение артериального давления, контроль за приемом лекарственных препаратов и др.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2.1.1.1.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Выполнение перевязок по назначению лечащего врача, в том числе наложение мазей, компрессов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206,47</w:t>
            </w:r>
          </w:p>
        </w:tc>
      </w:tr>
      <w:tr>
        <w:trPr>
          <w:trHeight w:val="455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2.1.1.2.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Измерение температуры тела, измерение артериального давления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206,47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2.1.1.3.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Контроль за приемом лекарственных средств, закапывание капель, проведение ингаляции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206,47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2.1.1.4.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внутримышечной или подкожной инъекции, проведение внутривенной инъекции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206,47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2.1.1.5.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обработки пролежней, опрелостей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469,93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2.1.1.6.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Выполнение очистительной клизмы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601,31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2.1.1.7.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Измерение уровня сахара глюкометром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206,47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Позиционирование в кровати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272,28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Усаживание на край кровати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140,67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2.1.4.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Помощь при пересаживании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206,47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2.1.5.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Пересаживание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206,47</w:t>
            </w:r>
          </w:p>
        </w:tc>
      </w:tr>
      <w:tr>
        <w:trPr>
          <w:trHeight w:val="393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Систематическое наблюдение за получателями социальных услуг в целях выявления отклонений в состоянии их здоровья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469,70</w:t>
            </w:r>
          </w:p>
        </w:tc>
      </w:tr>
      <w:tr>
        <w:trPr>
          <w:trHeight w:val="333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Оказание содействия в проведении оздоровительных мероприятий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trHeight w:val="415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2.3.1.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оздоровительных мероприятий для получателей с легкой и умеренной степенью когнитивной дисфункции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502,6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2.3.2.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Помощь при ходьбе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601,31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2.3.3.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оздоровительных мероприятий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469,70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864,52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занятий по адаптивной физкультуре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667,11</w:t>
            </w:r>
          </w:p>
        </w:tc>
      </w:tr>
      <w:tr>
        <w:trPr>
          <w:trHeight w:val="1110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2.6.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выявление отклонений в состоянии их здоровья)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601,31</w:t>
            </w:r>
          </w:p>
        </w:tc>
      </w:tr>
      <w:tr>
        <w:trPr>
          <w:trHeight w:val="349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2.7.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первичного медицинского осмотра и первичной санитарной обработки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2.7.1.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Прием получателя социальных услуг при поступлении в организацию социального обслуживания (или по возвращении получателя социальных услуг, отсутствовавшего в организации более 5 дней)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601,31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2.7.2.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первичной санитарной обработки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601,31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2.7.3.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Санитарная обработка одежды в дезкамере, дезинфекция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371,64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2.8.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Содействие в получении (приобретении) по назначению лечащего врача лекарственных препаратов, медицинских изделий, в том числе технических средств реабилитации и специализированных продуктов лечебного питания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2.8.1.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Содействие в получении (приобретении) по назначению лечащего врача лекарственных препаратов, медицинских изделий и специализированных продуктов лечебного питания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238,31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2.8.2.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Содействие в получении (приобретении) технических средств реабилитации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2.8.2.1.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Взаимодействие с Фондом социального страхования (ФСС) для оформления направления на получение либо изготовление технического средства реабилитации (TCP)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1650,07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2.8.2.2.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Взаимодействие с пунктом проката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864,53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2.9.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Содействие в направлении на санаторно-курортное лечение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3225,47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2.10.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Оказание доврачебной помощи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667,12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Социально-психологические услуги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Социально-психологическое консультирование (в том числе по вопросам внутрисемейных отношений)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335,91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Социально-психологический патронаж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596,94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Оказание консультационной психологической помощи анонимно (в том числе с использованием «телефона доверия»)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335,91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Психологическая диагностика и обследование личности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857,99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Психологические тренинги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596,94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Психологическая коррекция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3.6.1.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Психологическая коррекция (индивидуально либо в группе)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596,94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3.6.2.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Занятия в сенсорной комнате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466,42</w:t>
            </w:r>
          </w:p>
        </w:tc>
      </w:tr>
      <w:tr>
        <w:trPr>
          <w:trHeight w:val="285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3.7.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Содействие восстановлению утраченных контактов с семьей и внутри семьи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596,94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3.8.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бесед, направленных на формирование у получателя социальных услуг позитивного психологического состояния, поддержание активного образа жизни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335,91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Социально-педагогические услуги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trHeight w:val="738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Обучение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жизнедеятельности, в том числе за детьми-инвалидами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468,53</w:t>
            </w:r>
          </w:p>
        </w:tc>
      </w:tr>
      <w:tr>
        <w:trPr>
          <w:trHeight w:val="685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 и контроля, направленным на развитие личности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712,14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1038,11</w:t>
            </w:r>
          </w:p>
        </w:tc>
      </w:tr>
      <w:tr>
        <w:trPr>
          <w:trHeight w:val="304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Формирование позитивных интересов (в том числе в сфере досуга)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204,29</w:t>
            </w:r>
          </w:p>
        </w:tc>
      </w:tr>
      <w:tr>
        <w:trPr>
          <w:trHeight w:val="102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 досуга (праздники, экскурсии и другие культурные мероприятия)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4.5.1.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 мероприятия в форме кружка, занятия для развития мелкой моторики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474,14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4.5.2.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 культурного мероприятия, экскурсии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1701,18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4.6.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Социально-педагогический патронаж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747,44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4.7.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Социально-педагогическое консультирование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1069,25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Социально-трудовые услуги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мероприятий по использованию остаточных трудовых возможностей и обучению доступным профессиональным навыкам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601,31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Оказание помощи в трудоустройстве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2443,87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 помощи в получении образования, в том числе профессионального образования, инвалидами (детьми-инвалидами) в соответствии с их способностями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1252,71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Социально-правовые услуги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857,99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Оказание помощи в получении юридических услуг (в том числе бесплатно)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422,91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Оказание помощи в защите прав и законных интересов получателей социальных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422,91</w:t>
            </w:r>
          </w:p>
        </w:tc>
      </w:tr>
      <w:tr>
        <w:trPr>
          <w:trHeight w:val="469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Содействие в оформлении регистрации по месту пребывания (месту жительства)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1116,23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Содействие в получении государственных (муниципальных)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335,91</w:t>
            </w:r>
          </w:p>
        </w:tc>
      </w:tr>
      <w:tr>
        <w:trPr>
          <w:trHeight w:val="313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6.6.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Содействие в подготовке в органы опеки и попечительства документов, необходимых для усыновления, для устройства детей в семью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994,61</w:t>
            </w:r>
          </w:p>
        </w:tc>
      </w:tr>
      <w:tr>
        <w:trPr>
          <w:trHeight w:val="734" w:hRule="atLeast"/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–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469,70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1654,20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Обучение навыкам поведения в быту и общественных местах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660,47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Оказание помощи в обучении навыкам компьютерной грамотности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466,42</w:t>
            </w:r>
          </w:p>
        </w:tc>
      </w:tr>
      <w:tr>
        <w:trPr>
          <w:cantSplit w:val="true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Услуги по переводу на язык жестов при реализации индивидуальной программы реабилитации инвалидов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469,70</w:t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18" w:right="851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714010421"/>
    </w:sdtPr>
    <w:sdtContent>
      <w:p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cs="Times New Roman" w:ascii="Times New Roman" w:hAnsi="Times New Roman"/>
            <w:sz w:val="28"/>
            <w:szCs w:val="28"/>
          </w:rPr>
          <w:fldChar w:fldCharType="begin"/>
        </w:r>
        <w:r>
          <w:rPr>
            <w:sz w:val="28"/>
            <w:szCs w:val="28"/>
            <w:rFonts w:cs="Times New Roman" w:ascii="Times New Roman" w:hAnsi="Times New Roman"/>
          </w:rPr>
          <w:instrText xml:space="preserve"> PAGE </w:instrText>
        </w:r>
        <w:r>
          <w:rPr>
            <w:sz w:val="28"/>
            <w:szCs w:val="28"/>
            <w:rFonts w:cs="Times New Roman" w:ascii="Times New Roman" w:hAnsi="Times New Roman"/>
          </w:rPr>
          <w:fldChar w:fldCharType="separate"/>
        </w:r>
        <w:r>
          <w:rPr>
            <w:sz w:val="28"/>
            <w:szCs w:val="28"/>
            <w:rFonts w:cs="Times New Roman" w:ascii="Times New Roman" w:hAnsi="Times New Roman"/>
          </w:rPr>
          <w:t>7</w:t>
        </w:r>
        <w:r>
          <w:rPr>
            <w:sz w:val="28"/>
            <w:szCs w:val="28"/>
            <w:rFonts w:cs="Times New Roman" w:ascii="Times New Roman" w:hAnsi="Times New Roman"/>
          </w:rPr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33533"/>
    <w:pPr>
      <w:widowControl/>
      <w:suppressAutoHyphens w:val="true"/>
      <w:bidi w:val="0"/>
      <w:spacing w:lineRule="auto" w:line="240" w:before="0" w:after="0"/>
      <w:contextualSpacing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Знак"/>
    <w:basedOn w:val="DefaultParagraphFont"/>
    <w:link w:val="PlainText"/>
    <w:uiPriority w:val="99"/>
    <w:semiHidden/>
    <w:qFormat/>
    <w:rsid w:val="00e72da7"/>
    <w:rPr>
      <w:rFonts w:ascii="Calibri" w:hAnsi="Calibri" w:eastAsia="Calibri" w:cs="Times New Roman"/>
      <w:szCs w:val="21"/>
    </w:rPr>
  </w:style>
  <w:style w:type="character" w:styleId="Style15" w:customStyle="1">
    <w:name w:val="Нижний колонтитул Знак"/>
    <w:basedOn w:val="DefaultParagraphFont"/>
    <w:uiPriority w:val="99"/>
    <w:qFormat/>
    <w:rsid w:val="0095344d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9277f0"/>
    <w:rPr>
      <w:rFonts w:ascii="Segoe UI" w:hAnsi="Segoe UI" w:cs="Segoe UI"/>
      <w:sz w:val="18"/>
      <w:szCs w:val="18"/>
    </w:rPr>
  </w:style>
  <w:style w:type="character" w:styleId="Style17" w:customStyle="1">
    <w:name w:val="Верхний колонтитул Знак"/>
    <w:basedOn w:val="DefaultParagraphFont"/>
    <w:uiPriority w:val="99"/>
    <w:qFormat/>
    <w:rsid w:val="0031799b"/>
    <w:rPr/>
  </w:style>
  <w:style w:type="character" w:styleId="InternetLink">
    <w:name w:val="Internet Link"/>
    <w:basedOn w:val="DefaultParagraphFont"/>
    <w:uiPriority w:val="99"/>
    <w:unhideWhenUsed/>
    <w:qFormat/>
    <w:rsid w:val="00681bfe"/>
    <w:rPr>
      <w:color w:themeColor="hyperlink" w:val="0563C1"/>
      <w:u w:val="single"/>
    </w:rPr>
  </w:style>
  <w:style w:type="character" w:styleId="Style18">
    <w:name w:val="Символ нумераци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  <w:contextualSpacing w:val="false"/>
    </w:pPr>
    <w:rPr>
      <w:rFonts w:ascii="Times New Roman" w:hAnsi="Times New Roman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  <w:contextualSpacing w:val="false"/>
    </w:pPr>
    <w:rPr/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  <w:contextualSpacing w:val="false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Times New Roman" w:hAnsi="Times New Roman" w:cs="Arial"/>
    </w:rPr>
  </w:style>
  <w:style w:type="paragraph" w:styleId="Caption1">
    <w:name w:val="caption1"/>
    <w:basedOn w:val="Normal"/>
    <w:qFormat/>
    <w:pPr>
      <w:suppressLineNumbers/>
      <w:spacing w:before="120" w:after="120"/>
      <w:contextualSpacing w:val="false"/>
    </w:pPr>
    <w:rPr>
      <w:rFonts w:ascii="Times New Roman" w:hAnsi="Times New Roman" w:cs="Arial"/>
      <w:i/>
      <w:iCs/>
      <w:sz w:val="24"/>
      <w:szCs w:val="24"/>
    </w:rPr>
  </w:style>
  <w:style w:type="paragraph" w:styleId="PlainText">
    <w:name w:val="Plain Text"/>
    <w:basedOn w:val="Normal"/>
    <w:link w:val="Style14"/>
    <w:uiPriority w:val="99"/>
    <w:semiHidden/>
    <w:unhideWhenUsed/>
    <w:qFormat/>
    <w:rsid w:val="00e72da7"/>
    <w:pPr>
      <w:spacing w:lineRule="auto" w:line="240" w:before="0" w:after="0"/>
      <w:contextualSpacing w:val="false"/>
    </w:pPr>
    <w:rPr>
      <w:rFonts w:ascii="Calibri" w:hAnsi="Calibri" w:eastAsia="Calibri" w:cs="Times New Roman"/>
      <w:szCs w:val="21"/>
    </w:rPr>
  </w:style>
  <w:style w:type="paragraph" w:styleId="Style21">
    <w:name w:val="Колонтитул"/>
    <w:basedOn w:val="Normal"/>
    <w:qFormat/>
    <w:pPr/>
    <w:rPr/>
  </w:style>
  <w:style w:type="paragraph" w:styleId="Footer">
    <w:name w:val="Footer"/>
    <w:basedOn w:val="Normal"/>
    <w:link w:val="Style15"/>
    <w:uiPriority w:val="99"/>
    <w:rsid w:val="0095344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contextualSpacing w:val="false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9277f0"/>
    <w:pPr>
      <w:spacing w:lineRule="auto" w:line="240" w:before="0" w:after="0"/>
      <w:contextualSpacing w:val="false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Style17"/>
    <w:uiPriority w:val="99"/>
    <w:unhideWhenUsed/>
    <w:rsid w:val="0031799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contextualSpacing w:val="false"/>
    </w:pPr>
    <w:rPr/>
  </w:style>
  <w:style w:type="paragraph" w:styleId="Style22">
    <w:name w:val="Содержимое таблицы"/>
    <w:basedOn w:val="Normal"/>
    <w:qFormat/>
    <w:pPr>
      <w:widowControl w:val="false"/>
      <w:suppressLineNumbers/>
      <w:spacing w:before="0" w:after="0"/>
      <w:contextualSpacing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numbering" w:styleId="Style2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ab3ec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59"/>
    <w:rsid w:val="00033533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">
    <w:name w:val="Сетка таблицы2"/>
    <w:basedOn w:val="a1"/>
    <w:uiPriority w:val="59"/>
    <w:rsid w:val="00033533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C11D1-EF2C-4429-88B6-CC47C74EF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11963</TotalTime>
  <Application>LibreOffice/7.6.7.2$Linux_X86_64 LibreOffice_project/60$Build-2</Application>
  <AppVersion>15.0000</AppVersion>
  <Pages>7</Pages>
  <Words>1201</Words>
  <Characters>8875</Characters>
  <CharactersWithSpaces>9749</CharactersWithSpaces>
  <Paragraphs>347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Киселев Виктор Вадимович</dc:creator>
  <dc:description/>
  <dc:language>ru-RU</dc:language>
  <cp:lastModifiedBy/>
  <dcterms:modified xsi:type="dcterms:W3CDTF">2026-09-18T10:15:49Z</dcterms:modified>
  <cp:revision>129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