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75" y="0"/>
                    <wp:lineTo x="-75" y="20826"/>
                    <wp:lineTo x="20893" y="20826"/>
                    <wp:lineTo x="20893" y="0"/>
                    <wp:lineTo x="-75" y="0"/>
                  </wp:wrapPolygon>
                </wp:wrapTight>
                <wp:docPr id="2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4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346 0 -346 96417 96727 96417 96727 0 -346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85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855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85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85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85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85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855"/>
        <w:ind w:left="0" w:right="0" w:firstLine="709"/>
        <w:jc w:val="center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24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855"/>
              <w:ind w:left="142" w:right="0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855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  <w:szCs w:val="20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855"/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27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63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8" w:type="dxa"/>
            <w:textDirection w:val="lrTb"/>
            <w:noWrap/>
          </w:tcPr>
          <w:p>
            <w:pPr>
              <w:pStyle w:val="855"/>
              <w:ind w:left="0" w:right="0" w:firstLine="0"/>
              <w:jc w:val="center"/>
              <w:spacing w:before="0" w:after="0" w:line="240" w:lineRule="auto"/>
              <w:widowControl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8"/>
                <w:szCs w:val="20"/>
              </w:rPr>
              <w:t xml:space="preserve">О внесении изменений в приложение к постано</w:t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  <w:szCs w:val="20"/>
              </w:rPr>
              <w:t xml:space="preserve">влению Правительства Камчатского края от 11.11.2008 № 356-П «Об утверждении Примерного положения о системе оплаты труда работников государственных учреждений, подведомственных Агентству записи актов гражданского состояния и архивного дела Камчатского края»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numPr>
          <w:ilvl w:val="0"/>
          <w:numId w:val="1"/>
        </w:numPr>
        <w:ind w:left="0" w:right="0" w:firstLine="709"/>
        <w:jc w:val="both"/>
        <w:spacing w:before="0" w:after="0" w:line="271" w:lineRule="auto"/>
        <w:tabs>
          <w:tab w:val="clear" w:pos="708" w:leader="none"/>
          <w:tab w:val="left" w:pos="993" w:leader="none"/>
        </w:tabs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Внести в приложение к постановлению Правительства </w:t>
      </w:r>
      <w:r>
        <w:rPr>
          <w:rFonts w:ascii="Times New Roman" w:hAnsi="Times New Roman"/>
          <w:spacing w:val="-4"/>
          <w:sz w:val="28"/>
        </w:rPr>
        <w:t xml:space="preserve">Камчатского края от 11.11.2008 № 356-П «Об утверждении Примерного положения о системе оплаты труда работников государственных учреждений, подведомственных Агентству записи актов гражданского состояния и архивного дела Камчатского края» следующие изменения:</w:t>
      </w:r>
      <w:r>
        <w:rPr>
          <w:rFonts w:ascii="Times New Roman" w:hAnsi="Times New Roman"/>
          <w:spacing w:val="-4"/>
          <w:sz w:val="28"/>
        </w:rPr>
      </w:r>
      <w:r>
        <w:rPr>
          <w:rFonts w:ascii="Times New Roman" w:hAnsi="Times New Roman"/>
          <w:spacing w:val="-4"/>
          <w:sz w:val="28"/>
        </w:rPr>
      </w:r>
    </w:p>
    <w:p>
      <w:pPr>
        <w:pStyle w:val="855"/>
        <w:numPr>
          <w:ilvl w:val="0"/>
          <w:numId w:val="2"/>
        </w:numPr>
        <w:ind w:left="0" w:right="0" w:firstLine="709"/>
        <w:jc w:val="both"/>
        <w:spacing w:before="0" w:after="0" w:line="271" w:lineRule="auto"/>
        <w:tabs>
          <w:tab w:val="clear" w:pos="708" w:leader="none"/>
          <w:tab w:val="left" w:pos="993" w:leader="none"/>
        </w:tabs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</w:rPr>
        <w:t xml:space="preserve">часть 49 дополнить пунктом 5 следующего содержания:</w:t>
      </w:r>
      <w:r>
        <w:rPr>
          <w:rFonts w:ascii="Times New Roman" w:hAnsi="Times New Roman"/>
          <w:spacing w:val="-4"/>
          <w:sz w:val="28"/>
        </w:rPr>
      </w:r>
      <w:r>
        <w:rPr>
          <w:rFonts w:ascii="Times New Roman" w:hAnsi="Times New Roman"/>
          <w:spacing w:val="-4"/>
          <w:sz w:val="28"/>
          <w:szCs w:val="28"/>
        </w:rPr>
      </w:r>
    </w:p>
    <w:p>
      <w:pPr>
        <w:ind w:left="709" w:right="0" w:firstLine="0"/>
        <w:jc w:val="both"/>
        <w:spacing w:before="0" w:after="0" w:line="271" w:lineRule="auto"/>
        <w:tabs>
          <w:tab w:val="clear" w:pos="708" w:leader="none"/>
          <w:tab w:val="left" w:pos="993" w:leader="none"/>
        </w:tabs>
        <w:rPr>
          <w:rFonts w:ascii="Times New Roman" w:hAnsi="Times New Roman"/>
          <w:spacing w:val="-4"/>
          <w:sz w:val="28"/>
          <w:szCs w:val="28"/>
          <w:highlight w:val="none"/>
        </w:rPr>
      </w:pPr>
      <w:r>
        <w:rPr>
          <w:rFonts w:ascii="Times New Roman" w:hAnsi="Times New Roman"/>
          <w:spacing w:val="-4"/>
          <w:sz w:val="28"/>
          <w:highlight w:val="none"/>
        </w:rPr>
        <w:t xml:space="preserve">«5) выплаты за наставничество в сфере труда.»;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szCs w:val="28"/>
          <w:highlight w:val="none"/>
        </w:rPr>
      </w:r>
    </w:p>
    <w:p>
      <w:pPr>
        <w:ind w:left="709" w:right="0" w:firstLine="0"/>
        <w:jc w:val="both"/>
        <w:spacing w:before="0" w:after="0" w:line="271" w:lineRule="auto"/>
        <w:tabs>
          <w:tab w:val="clear" w:pos="708" w:leader="none"/>
          <w:tab w:val="left" w:pos="993" w:leader="none"/>
        </w:tabs>
        <w:rPr>
          <w:rFonts w:ascii="Times New Roman" w:hAnsi="Times New Roman"/>
          <w:spacing w:val="-4"/>
          <w:sz w:val="28"/>
          <w:szCs w:val="28"/>
          <w:highlight w:val="none"/>
        </w:rPr>
      </w:pPr>
      <w:r>
        <w:rPr>
          <w:rFonts w:ascii="Times New Roman" w:hAnsi="Times New Roman"/>
          <w:spacing w:val="-4"/>
          <w:sz w:val="28"/>
          <w:highlight w:val="none"/>
        </w:rPr>
        <w:t xml:space="preserve">2) дополнить частью 55</w:t>
      </w:r>
      <w:r>
        <w:rPr>
          <w:rFonts w:ascii="Times New Roman" w:hAnsi="Times New Roman"/>
          <w:spacing w:val="-4"/>
          <w:sz w:val="28"/>
          <w:highlight w:val="none"/>
          <w:vertAlign w:val="superscript"/>
        </w:rPr>
        <w:t xml:space="preserve">1</w:t>
      </w:r>
      <w:r>
        <w:rPr>
          <w:rFonts w:ascii="Times New Roman" w:hAnsi="Times New Roman"/>
          <w:spacing w:val="-4"/>
          <w:sz w:val="28"/>
          <w:highlight w:val="none"/>
        </w:rPr>
        <w:t xml:space="preserve"> следующего содержания: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1" w:lineRule="auto"/>
        <w:tabs>
          <w:tab w:val="left" w:pos="993" w:leader="none"/>
        </w:tabs>
      </w:pPr>
      <w:r>
        <w:rPr>
          <w:rFonts w:ascii="Times New Roman" w:hAnsi="Times New Roman"/>
          <w:spacing w:val="-4"/>
          <w:sz w:val="28"/>
          <w:highlight w:val="none"/>
        </w:rPr>
        <w:t xml:space="preserve">«55</w:t>
      </w:r>
      <w:r>
        <w:rPr>
          <w:rFonts w:ascii="Times New Roman" w:hAnsi="Times New Roman"/>
          <w:spacing w:val="-4"/>
          <w:sz w:val="28"/>
          <w:highlight w:val="none"/>
          <w:vertAlign w:val="superscript"/>
        </w:rPr>
        <w:t xml:space="preserve">1</w:t>
      </w:r>
      <w:r>
        <w:rPr>
          <w:rFonts w:ascii="Times New Roman" w:hAnsi="Times New Roman"/>
          <w:spacing w:val="-4"/>
          <w:sz w:val="28"/>
          <w:highlight w:val="none"/>
        </w:rPr>
        <w:t xml:space="preserve">. Выплаты стимулирующего характера за наставничество в сфере труда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устанавливаются при условии письменного согласия работника на</w:t>
      </w:r>
      <w:r>
        <w:rPr>
          <w:rFonts w:ascii="Times New Roman" w:hAnsi="Times New Roman"/>
          <w:spacing w:val="-4"/>
          <w:sz w:val="28"/>
          <w:highlight w:val="none"/>
        </w:rPr>
        <w:t xml:space="preserve">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осуществление наставничества и оформления поручения об осуществлении</w:t>
      </w:r>
      <w:r>
        <w:rPr>
          <w:rFonts w:ascii="Times New Roman" w:hAnsi="Times New Roman"/>
          <w:spacing w:val="-4"/>
          <w:sz w:val="28"/>
          <w:highlight w:val="none"/>
        </w:rPr>
        <w:t xml:space="preserve">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наставничества в трудовом договоре (дополнительном соглашении к трудовому</w:t>
      </w:r>
      <w:r>
        <w:rPr>
          <w:rFonts w:ascii="Times New Roman" w:hAnsi="Times New Roman"/>
          <w:spacing w:val="-4"/>
          <w:sz w:val="28"/>
          <w:highlight w:val="none"/>
        </w:rPr>
        <w:t xml:space="preserve">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договору) с указанием содержания, сроков, формы и объема выполнения работы</w:t>
      </w:r>
      <w:r>
        <w:rPr>
          <w:rFonts w:ascii="Times New Roman" w:hAnsi="Times New Roman"/>
          <w:spacing w:val="-4"/>
          <w:sz w:val="28"/>
          <w:highlight w:val="none"/>
        </w:rPr>
        <w:t xml:space="preserve">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по наставничеству.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</w:r>
    </w:p>
    <w:p>
      <w:pPr>
        <w:ind w:left="0" w:right="0" w:firstLine="709"/>
        <w:jc w:val="both"/>
        <w:spacing w:before="0" w:after="0" w:line="271" w:lineRule="auto"/>
        <w:tabs>
          <w:tab w:val="left" w:pos="993" w:leader="none"/>
        </w:tabs>
      </w:pPr>
      <w:r>
        <w:rPr>
          <w:rFonts w:ascii="Times New Roman" w:hAnsi="Times New Roman"/>
          <w:spacing w:val="-4"/>
          <w:sz w:val="28"/>
          <w:highlight w:val="none"/>
        </w:rPr>
        <w:t xml:space="preserve">Рекомендуемый размер выплат за наставничество в сфере труда не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более 20 процентов основного оклада (основного должностного оклада) за</w:t>
      </w:r>
      <w:r>
        <w:rPr>
          <w:rFonts w:ascii="Times New Roman" w:hAnsi="Times New Roman"/>
          <w:spacing w:val="-4"/>
          <w:sz w:val="28"/>
          <w:highlight w:val="none"/>
        </w:rPr>
        <w:t xml:space="preserve"> 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  <w:t xml:space="preserve">осуществление наставничества в отношении одного работника.».</w:t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highlight w:val="none"/>
        </w:rPr>
      </w:r>
      <w:r>
        <w:rPr>
          <w:rFonts w:ascii="Times New Roman" w:hAnsi="Times New Roman"/>
          <w:spacing w:val="-4"/>
          <w:sz w:val="28"/>
          <w:szCs w:val="28"/>
        </w:rPr>
      </w:r>
      <w:r>
        <w:rPr>
          <w:rFonts w:ascii="Times New Roman" w:hAnsi="Times New Roman"/>
          <w:spacing w:val="-4"/>
          <w:sz w:val="28"/>
          <w:highlight w:val="none"/>
        </w:rPr>
      </w:r>
    </w:p>
    <w:p>
      <w:pPr>
        <w:pStyle w:val="855"/>
        <w:numPr>
          <w:ilvl w:val="0"/>
          <w:numId w:val="1"/>
        </w:numPr>
        <w:contextualSpacing/>
        <w:ind w:left="0" w:right="0" w:firstLine="709"/>
        <w:jc w:val="both"/>
        <w:spacing w:before="0" w:after="0" w:line="271" w:lineRule="auto"/>
        <w:tabs>
          <w:tab w:val="clear" w:pos="708" w:leader="none"/>
          <w:tab w:val="left" w:pos="1134" w:leader="none"/>
        </w:tabs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pacing w:val="-4"/>
          <w:sz w:val="28"/>
        </w:rPr>
      </w:r>
      <w:r>
        <w:rPr>
          <w:rFonts w:ascii="Times New Roman" w:hAnsi="Times New Roman"/>
          <w:spacing w:val="-4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5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24"/>
        <w:tblW w:w="9638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76"/>
        <w:gridCol w:w="3546"/>
        <w:gridCol w:w="2568"/>
      </w:tblGrid>
      <w:tr>
        <w:tblPrEx/>
        <w:trPr>
          <w:trHeight w:val="1980"/>
        </w:trPr>
        <w:tc>
          <w:tcPr>
            <w:shd w:val="clear" w:color="auto" w:fill="auto"/>
            <w:tcW w:w="3576" w:type="dxa"/>
            <w:textDirection w:val="lrTb"/>
            <w:noWrap w:val="false"/>
          </w:tcPr>
          <w:p>
            <w:pPr>
              <w:pStyle w:val="855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Председатель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5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Правительства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5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5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3546" w:type="dxa"/>
            <w:textDirection w:val="lrTb"/>
            <w:noWrap w:val="false"/>
          </w:tcPr>
          <w:p>
            <w:pPr>
              <w:pStyle w:val="855"/>
              <w:ind w:left="3" w:right="0" w:hanging="3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ffffff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[горизонт</w:t>
            </w:r>
            <w:bookmarkStart w:id="2" w:name="_GoBack"/>
            <w:r/>
            <w:bookmarkEnd w:id="2"/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альный штамп подписи 1]</w:t>
            </w:r>
            <w:bookmarkEnd w:id="1"/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pStyle w:val="855"/>
              <w:ind w:left="142" w:right="0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68" w:type="dxa"/>
            <w:textDirection w:val="lrTb"/>
            <w:noWrap w:val="false"/>
          </w:tcPr>
          <w:p>
            <w:pPr>
              <w:pStyle w:val="855"/>
              <w:ind w:left="0" w:right="135" w:firstLine="0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855"/>
              <w:ind w:left="0" w:right="135" w:firstLine="0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855"/>
              <w:ind w:left="0" w:right="0" w:firstLine="0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Ю.С. Морозова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855"/>
        <w:ind w:left="0" w:right="0" w:firstLine="0"/>
        <w:jc w:val="left"/>
        <w:spacing w:before="0" w:after="160" w:line="264" w:lineRule="auto"/>
        <w:widowControl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417" w:header="709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Segoe UI">
    <w:panose1 w:val="020B0502040504020204"/>
  </w:font>
  <w:font w:name="Times New Roman">
    <w:panose1 w:val="02020603050405020304"/>
  </w:font>
  <w:font w:name="XO Thames">
    <w:panose1 w:val="02000603000000000000"/>
  </w:font>
  <w:font w:name="Calibri">
    <w:panose1 w:val="020F0502020204030204"/>
  </w:font>
  <w:font w:name="Arial">
    <w:panose1 w:val="020B0604020202020204"/>
  </w:font>
  <w:font w:name="Tahoma">
    <w:panose1 w:val="020B0604030504040204"/>
  </w:font>
  <w:font w:name="Lohit Devanagari">
    <w:panose1 w:val="02000603000000000000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spacing w:before="0" w:after="160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3215" cy="586083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flipH="0" flipV="0">
                        <a:off x="0" y="0"/>
                        <a:ext cx="143214" cy="586083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5"/>
                            <w:spacing w:before="0" w:after="160"/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1.28pt;height:46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855"/>
                      <w:spacing w:before="0" w:after="160"/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2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 w:val="false"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ahoma" w:cs="Lohit Devanagari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86"/>
    <w:link w:val="856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86"/>
    <w:link w:val="857"/>
    <w:uiPriority w:val="9"/>
    <w:rPr>
      <w:rFonts w:ascii="Arial" w:hAnsi="Arial" w:eastAsia="Arial" w:cs="Arial"/>
      <w:sz w:val="34"/>
    </w:rPr>
  </w:style>
  <w:style w:type="character" w:styleId="700">
    <w:name w:val="Heading 3 Char"/>
    <w:basedOn w:val="886"/>
    <w:link w:val="858"/>
    <w:uiPriority w:val="9"/>
    <w:rPr>
      <w:rFonts w:ascii="Arial" w:hAnsi="Arial" w:eastAsia="Arial" w:cs="Arial"/>
      <w:sz w:val="30"/>
      <w:szCs w:val="30"/>
    </w:rPr>
  </w:style>
  <w:style w:type="character" w:styleId="701">
    <w:name w:val="Heading 4 Char"/>
    <w:basedOn w:val="886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2">
    <w:name w:val="Heading 5 Char"/>
    <w:basedOn w:val="886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55"/>
    <w:next w:val="855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86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55"/>
    <w:next w:val="855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86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55"/>
    <w:next w:val="855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86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55"/>
    <w:next w:val="855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86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855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character" w:styleId="713">
    <w:name w:val="Title Char"/>
    <w:basedOn w:val="886"/>
    <w:link w:val="921"/>
    <w:uiPriority w:val="10"/>
    <w:rPr>
      <w:sz w:val="48"/>
      <w:szCs w:val="48"/>
    </w:rPr>
  </w:style>
  <w:style w:type="character" w:styleId="714">
    <w:name w:val="Subtitle Char"/>
    <w:basedOn w:val="886"/>
    <w:link w:val="920"/>
    <w:uiPriority w:val="11"/>
    <w:rPr>
      <w:sz w:val="24"/>
      <w:szCs w:val="24"/>
    </w:rPr>
  </w:style>
  <w:style w:type="paragraph" w:styleId="715">
    <w:name w:val="Quote"/>
    <w:basedOn w:val="855"/>
    <w:next w:val="855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55"/>
    <w:next w:val="855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86"/>
    <w:link w:val="905"/>
    <w:uiPriority w:val="99"/>
  </w:style>
  <w:style w:type="character" w:styleId="720">
    <w:name w:val="Footer Char"/>
    <w:basedOn w:val="886"/>
    <w:link w:val="910"/>
    <w:uiPriority w:val="99"/>
  </w:style>
  <w:style w:type="character" w:styleId="721">
    <w:name w:val="Caption Char"/>
    <w:basedOn w:val="886"/>
    <w:link w:val="895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9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9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9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9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1">
    <w:name w:val="List Table 7 Colorful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2">
    <w:name w:val="List Table 7 Colorful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3">
    <w:name w:val="List Table 7 Colorful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4">
    <w:name w:val="List Table 7 Colorful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5">
    <w:name w:val="List Table 7 Colorful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6">
    <w:name w:val="Lined - Accent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Lined - Accent 2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Lined - Accent 3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Lined - Accent 4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Lined - Accent 5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Lined - Accent 6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 &amp; Lined - Accent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Bordered &amp; Lined - Accent 2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Bordered &amp; Lined - Accent 3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Bordered &amp; Lined - Accent 4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Bordered &amp; Lined - Accent 5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Bordered &amp; Lined - Accent 6"/>
    <w:basedOn w:val="9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9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55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86"/>
    <w:uiPriority w:val="99"/>
    <w:unhideWhenUsed/>
    <w:rPr>
      <w:vertAlign w:val="superscript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86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uiPriority w:val="0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56">
    <w:name w:val="Heading 1"/>
    <w:next w:val="855"/>
    <w:uiPriority w:val="9"/>
    <w:qFormat/>
    <w:pPr>
      <w:ind w:left="0" w:right="0" w:firstLine="0"/>
      <w:jc w:val="both"/>
      <w:spacing w:before="120" w:after="120" w:line="264" w:lineRule="auto"/>
      <w:widowControl/>
      <w:outlineLvl w:val="0"/>
    </w:pPr>
    <w:rPr>
      <w:rFonts w:ascii="XO Thames" w:hAnsi="XO Thames" w:eastAsia="Tahoma" w:cs="Lohit Devanagari"/>
      <w:b/>
      <w:color w:val="000000"/>
      <w:spacing w:val="0"/>
      <w:sz w:val="32"/>
      <w:szCs w:val="20"/>
      <w:lang w:val="ru-RU" w:eastAsia="zh-CN" w:bidi="hi-IN"/>
    </w:rPr>
  </w:style>
  <w:style w:type="paragraph" w:styleId="857">
    <w:name w:val="Heading 2"/>
    <w:next w:val="855"/>
    <w:uiPriority w:val="9"/>
    <w:qFormat/>
    <w:pPr>
      <w:ind w:left="0" w:right="0" w:firstLine="0"/>
      <w:jc w:val="both"/>
      <w:spacing w:before="120" w:after="120" w:line="264" w:lineRule="auto"/>
      <w:widowControl/>
      <w:outlineLvl w:val="1"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858">
    <w:name w:val="Heading 3"/>
    <w:next w:val="855"/>
    <w:uiPriority w:val="9"/>
    <w:qFormat/>
    <w:pPr>
      <w:ind w:left="0" w:right="0" w:firstLine="0"/>
      <w:jc w:val="both"/>
      <w:spacing w:before="120" w:after="120" w:line="264" w:lineRule="auto"/>
      <w:widowControl/>
      <w:outlineLvl w:val="2"/>
    </w:pPr>
    <w:rPr>
      <w:rFonts w:ascii="XO Thames" w:hAnsi="XO Thames" w:eastAsia="Tahoma" w:cs="Lohit Devanagari"/>
      <w:b/>
      <w:color w:val="000000"/>
      <w:spacing w:val="0"/>
      <w:sz w:val="26"/>
      <w:szCs w:val="20"/>
      <w:lang w:val="ru-RU" w:eastAsia="zh-CN" w:bidi="hi-IN"/>
    </w:rPr>
  </w:style>
  <w:style w:type="paragraph" w:styleId="859">
    <w:name w:val="Heading 4"/>
    <w:next w:val="855"/>
    <w:uiPriority w:val="9"/>
    <w:qFormat/>
    <w:pPr>
      <w:ind w:left="0" w:right="0" w:firstLine="0"/>
      <w:jc w:val="both"/>
      <w:spacing w:before="120" w:after="120" w:line="264" w:lineRule="auto"/>
      <w:widowControl/>
      <w:outlineLvl w:val="3"/>
    </w:pPr>
    <w:rPr>
      <w:rFonts w:ascii="XO Thames" w:hAnsi="XO Thames" w:eastAsia="Tahoma" w:cs="Lohit Devanagari"/>
      <w:b/>
      <w:color w:val="000000"/>
      <w:spacing w:val="0"/>
      <w:sz w:val="24"/>
      <w:szCs w:val="20"/>
      <w:lang w:val="ru-RU" w:eastAsia="zh-CN" w:bidi="hi-IN"/>
    </w:rPr>
  </w:style>
  <w:style w:type="paragraph" w:styleId="860">
    <w:name w:val="Heading 5"/>
    <w:next w:val="855"/>
    <w:uiPriority w:val="9"/>
    <w:qFormat/>
    <w:pPr>
      <w:ind w:left="0" w:right="0" w:firstLine="0"/>
      <w:jc w:val="both"/>
      <w:spacing w:before="120" w:after="120" w:line="264" w:lineRule="auto"/>
      <w:widowControl/>
      <w:outlineLvl w:val="4"/>
    </w:pPr>
    <w:rPr>
      <w:rFonts w:ascii="XO Thames" w:hAnsi="XO Thames" w:eastAsia="Tahoma" w:cs="Lohit Devanagari"/>
      <w:b/>
      <w:color w:val="000000"/>
      <w:spacing w:val="0"/>
      <w:sz w:val="22"/>
      <w:szCs w:val="20"/>
      <w:lang w:val="ru-RU" w:eastAsia="zh-CN" w:bidi="hi-IN"/>
    </w:rPr>
  </w:style>
  <w:style w:type="character" w:styleId="861">
    <w:name w:val="Contents 2"/>
    <w:qFormat/>
    <w:rPr>
      <w:rFonts w:ascii="XO Thames" w:hAnsi="XO Thames"/>
      <w:sz w:val="28"/>
    </w:rPr>
  </w:style>
  <w:style w:type="character" w:styleId="862">
    <w:name w:val="Contents 4"/>
    <w:qFormat/>
    <w:rPr>
      <w:rFonts w:ascii="XO Thames" w:hAnsi="XO Thames"/>
      <w:sz w:val="28"/>
    </w:rPr>
  </w:style>
  <w:style w:type="character" w:styleId="863">
    <w:name w:val="Contents 6"/>
    <w:qFormat/>
    <w:rPr>
      <w:rFonts w:ascii="XO Thames" w:hAnsi="XO Thames"/>
      <w:sz w:val="28"/>
    </w:rPr>
  </w:style>
  <w:style w:type="character" w:styleId="864">
    <w:name w:val="Contents 7"/>
    <w:qFormat/>
    <w:rPr>
      <w:rFonts w:ascii="XO Thames" w:hAnsi="XO Thames"/>
      <w:sz w:val="28"/>
    </w:rPr>
  </w:style>
  <w:style w:type="character" w:styleId="865">
    <w:name w:val="Heading 31"/>
    <w:qFormat/>
    <w:rPr>
      <w:rFonts w:ascii="XO Thames" w:hAnsi="XO Thames"/>
      <w:b/>
      <w:sz w:val="26"/>
    </w:rPr>
  </w:style>
  <w:style w:type="character" w:styleId="866">
    <w:name w:val="Заголовок 4 Знак"/>
    <w:link w:val="901"/>
    <w:qFormat/>
    <w:rPr>
      <w:rFonts w:ascii="XO Thames" w:hAnsi="XO Thames"/>
      <w:b/>
      <w:sz w:val="24"/>
    </w:rPr>
  </w:style>
  <w:style w:type="character" w:styleId="867">
    <w:name w:val="Endnote"/>
    <w:link w:val="902"/>
    <w:qFormat/>
    <w:rPr>
      <w:rFonts w:ascii="XO Thames" w:hAnsi="XO Thames"/>
    </w:rPr>
  </w:style>
  <w:style w:type="character" w:styleId="868">
    <w:name w:val="Plain Text"/>
    <w:link w:val="903"/>
    <w:qFormat/>
    <w:rPr>
      <w:rFonts w:ascii="Calibri" w:hAnsi="Calibri"/>
    </w:rPr>
  </w:style>
  <w:style w:type="character" w:styleId="869">
    <w:name w:val="Header1"/>
    <w:qFormat/>
  </w:style>
  <w:style w:type="character" w:styleId="870">
    <w:name w:val="Contents 3"/>
    <w:qFormat/>
    <w:rPr>
      <w:rFonts w:ascii="XO Thames" w:hAnsi="XO Thames"/>
      <w:sz w:val="28"/>
    </w:rPr>
  </w:style>
  <w:style w:type="character" w:styleId="871">
    <w:name w:val="Основной шрифт абзаца1"/>
    <w:link w:val="907"/>
    <w:qFormat/>
  </w:style>
  <w:style w:type="character" w:styleId="872">
    <w:name w:val="Heading 51"/>
    <w:qFormat/>
    <w:rPr>
      <w:rFonts w:ascii="XO Thames" w:hAnsi="XO Thames"/>
      <w:b/>
    </w:rPr>
  </w:style>
  <w:style w:type="character" w:styleId="873">
    <w:name w:val="Heading 11"/>
    <w:qFormat/>
    <w:rPr>
      <w:rFonts w:ascii="XO Thames" w:hAnsi="XO Thames"/>
      <w:b/>
      <w:sz w:val="32"/>
    </w:rPr>
  </w:style>
  <w:style w:type="character" w:styleId="874">
    <w:name w:val="Hyperlink"/>
    <w:rPr>
      <w:color w:val="0000ff"/>
      <w:u w:val="single"/>
    </w:rPr>
  </w:style>
  <w:style w:type="character" w:styleId="875">
    <w:name w:val="Footnote"/>
    <w:link w:val="909"/>
    <w:qFormat/>
    <w:rPr>
      <w:rFonts w:ascii="XO Thames" w:hAnsi="XO Thames"/>
    </w:rPr>
  </w:style>
  <w:style w:type="character" w:styleId="876">
    <w:name w:val="Footer1"/>
    <w:qFormat/>
    <w:rPr>
      <w:rFonts w:ascii="Times New Roman" w:hAnsi="Times New Roman"/>
      <w:sz w:val="28"/>
    </w:rPr>
  </w:style>
  <w:style w:type="character" w:styleId="877">
    <w:name w:val="Contents 1"/>
    <w:qFormat/>
    <w:rPr>
      <w:rFonts w:ascii="XO Thames" w:hAnsi="XO Thames"/>
      <w:b/>
      <w:sz w:val="28"/>
    </w:rPr>
  </w:style>
  <w:style w:type="character" w:styleId="878">
    <w:name w:val="Гиперссылка2"/>
    <w:link w:val="912"/>
    <w:qFormat/>
    <w:rPr>
      <w:color w:val="0000ff"/>
      <w:u w:val="single"/>
    </w:rPr>
  </w:style>
  <w:style w:type="character" w:styleId="879">
    <w:name w:val="Header and Footer"/>
    <w:qFormat/>
    <w:rPr>
      <w:rFonts w:ascii="XO Thames" w:hAnsi="XO Thames"/>
      <w:sz w:val="20"/>
    </w:rPr>
  </w:style>
  <w:style w:type="character" w:styleId="880">
    <w:name w:val="Основной шрифт абзаца2"/>
    <w:link w:val="913"/>
    <w:qFormat/>
  </w:style>
  <w:style w:type="character" w:styleId="881">
    <w:name w:val="Contents 9"/>
    <w:qFormat/>
    <w:rPr>
      <w:rFonts w:ascii="XO Thames" w:hAnsi="XO Thames"/>
      <w:sz w:val="28"/>
    </w:rPr>
  </w:style>
  <w:style w:type="character" w:styleId="882">
    <w:name w:val="Гиперссылка1"/>
    <w:basedOn w:val="871"/>
    <w:link w:val="915"/>
    <w:qFormat/>
    <w:rPr>
      <w:color w:val="0563c1" w:themeColor="hyperlink"/>
      <w:u w:val="single"/>
    </w:rPr>
  </w:style>
  <w:style w:type="character" w:styleId="883">
    <w:name w:val="Обычный1"/>
    <w:link w:val="916"/>
    <w:qFormat/>
  </w:style>
  <w:style w:type="character" w:styleId="884">
    <w:name w:val="Contents 8"/>
    <w:qFormat/>
    <w:rPr>
      <w:rFonts w:ascii="XO Thames" w:hAnsi="XO Thames"/>
      <w:sz w:val="28"/>
    </w:rPr>
  </w:style>
  <w:style w:type="character" w:styleId="885">
    <w:name w:val="Contents 5"/>
    <w:qFormat/>
    <w:rPr>
      <w:rFonts w:ascii="XO Thames" w:hAnsi="XO Thames"/>
      <w:sz w:val="28"/>
    </w:rPr>
  </w:style>
  <w:style w:type="character" w:styleId="886" w:default="1">
    <w:name w:val="Default Paragraph Font"/>
    <w:link w:val="919"/>
    <w:qFormat/>
  </w:style>
  <w:style w:type="character" w:styleId="887">
    <w:name w:val="Subtitle1"/>
    <w:qFormat/>
    <w:rPr>
      <w:rFonts w:ascii="XO Thames" w:hAnsi="XO Thames"/>
      <w:i/>
      <w:sz w:val="24"/>
    </w:rPr>
  </w:style>
  <w:style w:type="character" w:styleId="888">
    <w:name w:val="Title1"/>
    <w:qFormat/>
    <w:rPr>
      <w:rFonts w:ascii="XO Thames" w:hAnsi="XO Thames"/>
      <w:b/>
      <w:caps/>
      <w:sz w:val="40"/>
    </w:rPr>
  </w:style>
  <w:style w:type="character" w:styleId="889">
    <w:name w:val="Heading 41"/>
    <w:qFormat/>
    <w:rPr>
      <w:rFonts w:ascii="XO Thames" w:hAnsi="XO Thames"/>
      <w:b/>
      <w:sz w:val="24"/>
    </w:rPr>
  </w:style>
  <w:style w:type="character" w:styleId="890">
    <w:name w:val="Balloon Text"/>
    <w:link w:val="922"/>
    <w:qFormat/>
    <w:rPr>
      <w:rFonts w:ascii="Segoe UI" w:hAnsi="Segoe UI"/>
      <w:sz w:val="18"/>
    </w:rPr>
  </w:style>
  <w:style w:type="character" w:styleId="891">
    <w:name w:val="Heading 21"/>
    <w:qFormat/>
    <w:rPr>
      <w:rFonts w:ascii="XO Thames" w:hAnsi="XO Thames"/>
      <w:b/>
      <w:sz w:val="28"/>
    </w:rPr>
  </w:style>
  <w:style w:type="paragraph" w:styleId="892">
    <w:name w:val="Заголовок"/>
    <w:basedOn w:val="855"/>
    <w:next w:val="893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93">
    <w:name w:val="Body Text"/>
    <w:basedOn w:val="855"/>
    <w:pPr>
      <w:spacing w:before="0" w:after="140" w:line="276" w:lineRule="auto"/>
    </w:pPr>
  </w:style>
  <w:style w:type="paragraph" w:styleId="894">
    <w:name w:val="List"/>
    <w:basedOn w:val="893"/>
    <w:rPr>
      <w:rFonts w:cs="Lohit Devanagari"/>
    </w:rPr>
  </w:style>
  <w:style w:type="paragraph" w:styleId="895">
    <w:name w:val="Caption"/>
    <w:basedOn w:val="855"/>
    <w:link w:val="721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96">
    <w:name w:val="Указатель"/>
    <w:basedOn w:val="855"/>
    <w:qFormat/>
    <w:pPr>
      <w:suppressLineNumbers/>
    </w:pPr>
    <w:rPr>
      <w:rFonts w:cs="Lohit Devanagari"/>
    </w:rPr>
  </w:style>
  <w:style w:type="paragraph" w:styleId="897">
    <w:name w:val="toc 2"/>
    <w:next w:val="855"/>
    <w:uiPriority w:val="39"/>
    <w:pPr>
      <w:ind w:left="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98">
    <w:name w:val="toc 4"/>
    <w:next w:val="855"/>
    <w:uiPriority w:val="39"/>
    <w:pPr>
      <w:ind w:left="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99">
    <w:name w:val="toc 6"/>
    <w:next w:val="855"/>
    <w:uiPriority w:val="39"/>
    <w:pPr>
      <w:ind w:left="10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0">
    <w:name w:val="toc 7"/>
    <w:next w:val="855"/>
    <w:uiPriority w:val="39"/>
    <w:pPr>
      <w:ind w:left="1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1">
    <w:name w:val="Заголовок 4 Знак1"/>
    <w:link w:val="866"/>
    <w:qFormat/>
    <w:pPr>
      <w:ind w:left="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b/>
      <w:color w:val="000000"/>
      <w:spacing w:val="0"/>
      <w:sz w:val="24"/>
      <w:szCs w:val="20"/>
      <w:lang w:val="ru-RU" w:eastAsia="zh-CN" w:bidi="hi-IN"/>
    </w:rPr>
  </w:style>
  <w:style w:type="paragraph" w:styleId="902">
    <w:name w:val="Endnote1"/>
    <w:link w:val="867"/>
    <w:qFormat/>
    <w:pPr>
      <w:ind w:left="0" w:right="0" w:firstLine="851"/>
      <w:jc w:val="both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903">
    <w:name w:val="Plain Text1"/>
    <w:basedOn w:val="855"/>
    <w:link w:val="868"/>
    <w:qFormat/>
    <w:pPr>
      <w:spacing w:before="0" w:after="0" w:line="240" w:lineRule="auto"/>
    </w:pPr>
    <w:rPr>
      <w:rFonts w:ascii="Calibri" w:hAnsi="Calibri"/>
    </w:rPr>
  </w:style>
  <w:style w:type="paragraph" w:styleId="904">
    <w:name w:val="Колонтитул"/>
    <w:qFormat/>
    <w:pPr>
      <w:ind w:left="0" w:right="0" w:firstLine="0"/>
      <w:jc w:val="both"/>
      <w:spacing w:before="0" w:after="160" w:line="240" w:lineRule="auto"/>
      <w:widowControl/>
    </w:pPr>
    <w:rPr>
      <w:rFonts w:ascii="XO Thames" w:hAnsi="XO Thames" w:eastAsia="Tahoma" w:cs="Lohit Devanagari"/>
      <w:color w:val="000000"/>
      <w:spacing w:val="0"/>
      <w:sz w:val="20"/>
      <w:szCs w:val="20"/>
      <w:lang w:val="ru-RU" w:eastAsia="zh-CN" w:bidi="hi-IN"/>
    </w:rPr>
  </w:style>
  <w:style w:type="paragraph" w:styleId="905">
    <w:name w:val="Header"/>
    <w:basedOn w:val="855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06">
    <w:name w:val="toc 3"/>
    <w:next w:val="855"/>
    <w:uiPriority w:val="39"/>
    <w:pPr>
      <w:ind w:left="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07">
    <w:name w:val="Основной шрифт абзаца11"/>
    <w:link w:val="871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08">
    <w:name w:val="Internet link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909">
    <w:name w:val="Footnote1"/>
    <w:link w:val="875"/>
    <w:qFormat/>
    <w:pPr>
      <w:ind w:left="0" w:right="0" w:firstLine="851"/>
      <w:jc w:val="both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910">
    <w:name w:val="Footer"/>
    <w:basedOn w:val="855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911">
    <w:name w:val="toc 1"/>
    <w:next w:val="855"/>
    <w:uiPriority w:val="39"/>
    <w:pPr>
      <w:ind w:left="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912">
    <w:name w:val="Гиперссылка21"/>
    <w:link w:val="878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913">
    <w:name w:val="Основной шрифт абзаца21"/>
    <w:link w:val="880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14">
    <w:name w:val="toc 9"/>
    <w:next w:val="855"/>
    <w:uiPriority w:val="39"/>
    <w:pPr>
      <w:ind w:left="1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5">
    <w:name w:val="Гиперссылка11"/>
    <w:basedOn w:val="907"/>
    <w:link w:val="882"/>
    <w:qFormat/>
    <w:rPr>
      <w:color w:val="0563c1" w:themeColor="hyperlink"/>
      <w:u w:val="single"/>
    </w:rPr>
  </w:style>
  <w:style w:type="paragraph" w:styleId="916">
    <w:name w:val="Обычный11"/>
    <w:link w:val="883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17">
    <w:name w:val="toc 8"/>
    <w:next w:val="855"/>
    <w:uiPriority w:val="39"/>
    <w:pPr>
      <w:ind w:left="1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8">
    <w:name w:val="toc 5"/>
    <w:next w:val="855"/>
    <w:uiPriority w:val="39"/>
    <w:pPr>
      <w:ind w:left="8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919">
    <w:name w:val="Default Paragraph Font1"/>
    <w:link w:val="886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920">
    <w:name w:val="Subtitle"/>
    <w:next w:val="855"/>
    <w:uiPriority w:val="11"/>
    <w:qFormat/>
    <w:pPr>
      <w:ind w:left="0" w:right="0" w:firstLine="0"/>
      <w:jc w:val="both"/>
      <w:spacing w:before="0" w:after="160" w:line="264" w:lineRule="auto"/>
      <w:widowControl/>
    </w:pPr>
    <w:rPr>
      <w:rFonts w:ascii="XO Thames" w:hAnsi="XO Thames" w:eastAsia="Tahoma" w:cs="Lohit Devanagari"/>
      <w:i/>
      <w:color w:val="000000"/>
      <w:spacing w:val="0"/>
      <w:sz w:val="24"/>
      <w:szCs w:val="20"/>
      <w:lang w:val="ru-RU" w:eastAsia="zh-CN" w:bidi="hi-IN"/>
    </w:rPr>
  </w:style>
  <w:style w:type="paragraph" w:styleId="921">
    <w:name w:val="Title"/>
    <w:next w:val="855"/>
    <w:uiPriority w:val="10"/>
    <w:qFormat/>
    <w:pPr>
      <w:ind w:left="0" w:right="0" w:firstLine="0"/>
      <w:jc w:val="center"/>
      <w:spacing w:before="567" w:after="567" w:line="264" w:lineRule="auto"/>
      <w:widowControl/>
    </w:pPr>
    <w:rPr>
      <w:rFonts w:ascii="XO Thames" w:hAnsi="XO Thames" w:eastAsia="Tahoma" w:cs="Lohit Devanagari"/>
      <w:b/>
      <w:caps/>
      <w:color w:val="000000"/>
      <w:spacing w:val="0"/>
      <w:sz w:val="40"/>
      <w:szCs w:val="20"/>
      <w:lang w:val="ru-RU" w:eastAsia="zh-CN" w:bidi="hi-IN"/>
    </w:rPr>
  </w:style>
  <w:style w:type="paragraph" w:styleId="922">
    <w:name w:val="Balloon Text1"/>
    <w:basedOn w:val="855"/>
    <w:link w:val="890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923">
    <w:name w:val="Содержимое врезки"/>
    <w:basedOn w:val="855"/>
    <w:qFormat/>
  </w:style>
  <w:style w:type="table" w:styleId="924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25">
    <w:name w:val="Сетка таблицы1"/>
    <w:basedOn w:val="92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6">
    <w:name w:val="Сетка таблицы2"/>
    <w:basedOn w:val="92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7">
    <w:name w:val="Table Grid"/>
    <w:basedOn w:val="92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2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shirobokovats</cp:lastModifiedBy>
  <cp:revision>10</cp:revision>
  <dcterms:modified xsi:type="dcterms:W3CDTF">2026-09-10T03:38:33Z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