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24" y="0"/>
                    <wp:lineTo x="-124" y="20788"/>
                    <wp:lineTo x="20845" y="20788"/>
                    <wp:lineTo x="20845" y="0"/>
                    <wp:lineTo x="-124" y="0"/>
                  </wp:wrapPolygon>
                </wp:wrapTight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573 0 -573 96241 96505 96241 96505 0 -573 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64"/>
        </w:trPr>
        <w:tc>
          <w:tcP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6"/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3" w:type="dxa"/>
            <w:textDirection w:val="lrTb"/>
            <w:noWrap w:val="false"/>
          </w:tcPr>
          <w:p>
            <w:pPr>
              <w:ind w:left="30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</w:rPr>
              <w:t xml:space="preserve">внесении изменени</w:t>
            </w:r>
            <w:r>
              <w:rPr>
                <w:rFonts w:ascii="Times New Roman" w:hAnsi="Times New Roman"/>
                <w:b/>
                <w:sz w:val="28"/>
              </w:rPr>
              <w:t xml:space="preserve">й</w:t>
            </w:r>
            <w:r>
              <w:rPr>
                <w:rFonts w:ascii="Times New Roman" w:hAnsi="Times New Roman"/>
                <w:b/>
                <w:sz w:val="28"/>
              </w:rPr>
              <w:t xml:space="preserve"> в приложени</w:t>
            </w:r>
            <w:r>
              <w:rPr>
                <w:rFonts w:ascii="Times New Roman" w:hAnsi="Times New Roman"/>
                <w:b/>
                <w:sz w:val="28"/>
              </w:rPr>
              <w:t xml:space="preserve">е</w:t>
            </w:r>
            <w:r>
              <w:rPr>
                <w:rFonts w:ascii="Times New Roman" w:hAnsi="Times New Roman"/>
                <w:b/>
                <w:sz w:val="28"/>
              </w:rPr>
              <w:t xml:space="preserve"> к </w:t>
            </w:r>
            <w:bookmarkStart w:id="1" w:name="_Hlk148434254"/>
            <w:r>
              <w:rPr>
                <w:rFonts w:ascii="Times New Roman" w:hAnsi="Times New Roman"/>
                <w:b/>
                <w:sz w:val="28"/>
              </w:rPr>
              <w:t xml:space="preserve">постановлению Правительства Камчатского края от </w:t>
            </w:r>
            <w:r>
              <w:rPr>
                <w:rFonts w:ascii="Times New Roman" w:hAnsi="Times New Roman"/>
                <w:b/>
                <w:sz w:val="28"/>
              </w:rPr>
              <w:t xml:space="preserve">12.05.2017 </w:t>
            </w:r>
            <w:r>
              <w:rPr>
                <w:rFonts w:ascii="Times New Roman" w:hAnsi="Times New Roman"/>
                <w:b/>
                <w:sz w:val="28"/>
              </w:rPr>
              <w:t xml:space="preserve">№</w:t>
            </w:r>
            <w:r>
              <w:rPr>
                <w:rFonts w:ascii="Times New Roman" w:hAnsi="Times New Roman"/>
                <w:b/>
                <w:sz w:val="28"/>
              </w:rPr>
              <w:t xml:space="preserve"> 202-П </w:t>
            </w:r>
            <w:r>
              <w:rPr>
                <w:rFonts w:ascii="Times New Roman" w:hAnsi="Times New Roman"/>
                <w:b/>
                <w:sz w:val="28"/>
              </w:rPr>
              <w:t xml:space="preserve">«О</w:t>
            </w:r>
            <w:r>
              <w:rPr>
                <w:rFonts w:ascii="Times New Roman" w:hAnsi="Times New Roman"/>
                <w:b/>
                <w:sz w:val="28"/>
              </w:rPr>
              <w:t xml:space="preserve">б утверждении </w:t>
            </w:r>
            <w:r>
              <w:rPr>
                <w:rFonts w:ascii="Times New Roman" w:hAnsi="Times New Roman"/>
                <w:b/>
                <w:sz w:val="28"/>
              </w:rPr>
              <w:t xml:space="preserve">П</w:t>
            </w:r>
            <w:r>
              <w:rPr>
                <w:rFonts w:ascii="Times New Roman" w:hAnsi="Times New Roman"/>
                <w:b/>
                <w:sz w:val="28"/>
              </w:rPr>
              <w:t xml:space="preserve">римерного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30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положения о системе оплаты труда работников краевых государственных учреждений, подведомственных </w:t>
            </w:r>
            <w:r>
              <w:rPr>
                <w:rFonts w:ascii="Times New Roman" w:hAnsi="Times New Roman"/>
                <w:b/>
                <w:sz w:val="28"/>
              </w:rPr>
              <w:t xml:space="preserve">М</w:t>
            </w:r>
            <w:r>
              <w:rPr>
                <w:rFonts w:ascii="Times New Roman" w:hAnsi="Times New Roman"/>
                <w:b/>
                <w:sz w:val="28"/>
              </w:rPr>
              <w:t xml:space="preserve">инистерству имущественных и земельных отношений </w:t>
            </w:r>
            <w:r>
              <w:rPr>
                <w:rFonts w:ascii="Times New Roman" w:hAnsi="Times New Roman"/>
                <w:b/>
                <w:sz w:val="28"/>
              </w:rPr>
              <w:t xml:space="preserve">К</w:t>
            </w:r>
            <w:r>
              <w:rPr>
                <w:rFonts w:ascii="Times New Roman" w:hAnsi="Times New Roman"/>
                <w:b/>
                <w:sz w:val="28"/>
              </w:rPr>
              <w:t xml:space="preserve">амчатского края</w:t>
            </w:r>
            <w:r>
              <w:rPr>
                <w:rFonts w:ascii="Times New Roman" w:hAnsi="Times New Roman"/>
                <w:b/>
                <w:sz w:val="28"/>
              </w:rPr>
              <w:t xml:space="preserve">»</w:t>
            </w:r>
            <w:bookmarkEnd w:id="1"/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</w:rPr>
        <w:t xml:space="preserve">В соответствии с постановлением Правительства Камчатского края </w:t>
        <w:br/>
        <w:t xml:space="preserve">от 21.07.2008 № 221-П «О подготовке к введению отраслевых систем оплаты труда работников государственных учреждений Камчатского края»</w:t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/>
          <w:sz w:val="28"/>
        </w:rPr>
        <w:t xml:space="preserve"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Внести в приложени</w:t>
      </w: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 к </w:t>
      </w:r>
      <w:r>
        <w:rPr>
          <w:rFonts w:ascii="Times New Roman" w:hAnsi="Times New Roman"/>
          <w:sz w:val="28"/>
        </w:rPr>
        <w:t xml:space="preserve">п</w:t>
      </w:r>
      <w:r>
        <w:rPr>
          <w:rFonts w:ascii="Times New Roman" w:hAnsi="Times New Roman"/>
          <w:sz w:val="28"/>
        </w:rPr>
        <w:t xml:space="preserve">остановлению Правительства Камчатского края от 12.05.2017 № 202-П «Об утверждении Примерного положения о системе оплаты труда работников краевых государственных учреждений, подведомственных Министерству имущественных и земельных отношений Камчатского края»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следующие </w:t>
      </w:r>
      <w:r>
        <w:rPr>
          <w:rFonts w:ascii="Times New Roman" w:hAnsi="Times New Roman"/>
          <w:sz w:val="28"/>
        </w:rPr>
        <w:t xml:space="preserve">изменени</w:t>
      </w:r>
      <w:r>
        <w:rPr>
          <w:rFonts w:ascii="Times New Roman" w:hAnsi="Times New Roman"/>
          <w:sz w:val="28"/>
        </w:rPr>
        <w:t xml:space="preserve">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</w:rPr>
        <w:t xml:space="preserve">1) часть 12 </w:t>
      </w:r>
      <w:r>
        <w:rPr>
          <w:rFonts w:ascii="Times New Roman" w:hAnsi="Times New Roman"/>
          <w:sz w:val="28"/>
        </w:rPr>
        <w:t xml:space="preserve">дополнить </w:t>
      </w:r>
      <w:r>
        <w:rPr>
          <w:rFonts w:ascii="Times New Roman" w:hAnsi="Times New Roman"/>
          <w:sz w:val="28"/>
        </w:rPr>
        <w:t xml:space="preserve">пунктом</w:t>
      </w:r>
      <w:r>
        <w:rPr>
          <w:rFonts w:ascii="Times New Roman" w:hAnsi="Times New Roman"/>
          <w:sz w:val="28"/>
        </w:rPr>
        <w:t xml:space="preserve"> 4 следующего </w:t>
      </w:r>
      <w:r>
        <w:rPr>
          <w:rFonts w:ascii="Times New Roman" w:hAnsi="Times New Roman"/>
          <w:sz w:val="28"/>
        </w:rPr>
        <w:t xml:space="preserve">содержания: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</w:rPr>
        <w:t xml:space="preserve">«4) повышающий коэффициент к окладу (должностному окладу) за наставни</w:t>
      </w:r>
      <w:r/>
      <w:r>
        <w:rPr>
          <w:rFonts w:ascii="Times New Roman" w:hAnsi="Times New Roman"/>
          <w:sz w:val="28"/>
        </w:rPr>
        <w:t xml:space="preserve">чество в сфере труда.»</w:t>
      </w:r>
      <w:r>
        <w:rPr>
          <w:rFonts w:ascii="Times New Roman" w:hAnsi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 </w:t>
      </w:r>
      <w:r>
        <w:rPr>
          <w:rFonts w:ascii="Times New Roman" w:hAnsi="Times New Roman"/>
          <w:sz w:val="28"/>
        </w:rPr>
        <w:t xml:space="preserve">дополнить частью 16</w:t>
      </w:r>
      <w:r>
        <w:rPr>
          <w:rFonts w:ascii="Times New Roman" w:hAnsi="Times New Roman"/>
          <w:sz w:val="28"/>
          <w:vertAlign w:val="superscript"/>
        </w:rPr>
        <w:t xml:space="preserve">1</w:t>
      </w:r>
      <w:r>
        <w:rPr>
          <w:rFonts w:ascii="Times New Roman" w:hAnsi="Times New Roman"/>
          <w:sz w:val="28"/>
        </w:rPr>
        <w:t xml:space="preserve"> следующего содержания: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sz w:val="28"/>
          <w:szCs w:val="28"/>
        </w:rPr>
        <w:t xml:space="preserve">«16</w:t>
      </w:r>
      <w:r>
        <w:rPr>
          <w:rFonts w:ascii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/>
          <w:sz w:val="28"/>
          <w:szCs w:val="28"/>
          <w:vertAlign w:val="baseline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Повышающий коэффициент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 окладу (должностному окладу) за наставничество в сфере труда устанавливаются при условии письменного согласия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к трудовому договору) с указанием содержания, сроков, формы и объема выполнения работы по наставничеству.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708"/>
        <w:jc w:val="both"/>
        <w:spacing w:before="168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Рекомендуемый размер </w:t>
      </w:r>
      <w:r>
        <w:rPr>
          <w:rFonts w:ascii="Times New Roman" w:hAnsi="Times New Roman"/>
          <w:sz w:val="28"/>
          <w:szCs w:val="28"/>
        </w:rPr>
        <w:t xml:space="preserve">коэффициента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 окладу (должностному окладу)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за наставничество в сфере труда не более 20 процентов основного оклада (основного должностного оклада) за осуществление наставничества в отношении одного работника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Настоящее </w:t>
      </w:r>
      <w:r>
        <w:rPr>
          <w:rFonts w:ascii="Times New Roman" w:hAnsi="Times New Roman"/>
          <w:sz w:val="28"/>
        </w:rPr>
        <w:t xml:space="preserve">п</w:t>
      </w:r>
      <w:r>
        <w:rPr>
          <w:rFonts w:ascii="Times New Roman" w:hAnsi="Times New Roman"/>
          <w:sz w:val="28"/>
        </w:rPr>
        <w:t xml:space="preserve">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2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0"/>
        <w:gridCol w:w="3615"/>
        <w:gridCol w:w="2458"/>
      </w:tblGrid>
      <w:tr>
        <w:tblPrEx/>
        <w:trPr>
          <w:trHeight w:val="1666"/>
        </w:trPr>
        <w:tc>
          <w:tcPr>
            <w:shd w:val="clear" w:color="auto" w:fill="auto"/>
            <w:tcW w:w="3650" w:type="dxa"/>
            <w:textDirection w:val="lrTb"/>
            <w:noWrap w:val="false"/>
          </w:tcPr>
          <w:p>
            <w:pPr>
              <w:ind w:left="0" w:right="27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0" w:right="27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0" w:right="27"/>
              <w:spacing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3615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widowControl w:val="off"/>
              <w:rPr>
                <w:rFonts w:ascii="Times New Roman" w:hAnsi="Times New Roman"/>
                <w:color w:val="ffffff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ind w:left="142" w:hanging="142"/>
              <w:spacing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458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417" w:header="709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Segoe UI">
    <w:panose1 w:val="020B0502040504020204"/>
  </w:font>
  <w:font w:name="Calibri">
    <w:panose1 w:val="020F0502020204030204"/>
  </w:font>
  <w:font w:name="Liberation Sans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center"/>
    </w:pPr>
    <w:fldSimple w:instr="PAGE \* MERGEFORMAT">
      <w:r>
        <w:rPr>
          <w:rFonts w:ascii="Times New Roman" w:hAnsi="Times New Roman" w:eastAsia="Times New Roman" w:cs="Times New Roman"/>
          <w:sz w:val="28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4"/>
      </w:rPr>
    </w:r>
    <w:r/>
  </w:p>
  <w:p>
    <w:pPr>
      <w:pStyle w:val="870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1 Char"/>
    <w:basedOn w:val="835"/>
    <w:link w:val="83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2 Char"/>
    <w:basedOn w:val="835"/>
    <w:link w:val="831"/>
    <w:uiPriority w:val="9"/>
    <w:rPr>
      <w:rFonts w:ascii="Liberation Sans" w:hAnsi="Liberation Sans" w:eastAsia="Liberation Sans" w:cs="Liberation Sans"/>
      <w:sz w:val="34"/>
    </w:rPr>
  </w:style>
  <w:style w:type="character" w:styleId="675">
    <w:name w:val="Heading 3 Char"/>
    <w:basedOn w:val="835"/>
    <w:link w:val="83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6">
    <w:name w:val="Heading 4 Char"/>
    <w:basedOn w:val="835"/>
    <w:link w:val="83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>
    <w:name w:val="Heading 5 Char"/>
    <w:basedOn w:val="835"/>
    <w:link w:val="83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8">
    <w:name w:val="Heading 6"/>
    <w:basedOn w:val="829"/>
    <w:next w:val="829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>
    <w:name w:val="Heading 6 Char"/>
    <w:basedOn w:val="835"/>
    <w:link w:val="6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0">
    <w:name w:val="Heading 7"/>
    <w:basedOn w:val="829"/>
    <w:next w:val="829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>
    <w:name w:val="Heading 7 Char"/>
    <w:basedOn w:val="835"/>
    <w:link w:val="68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2">
    <w:name w:val="Heading 8"/>
    <w:basedOn w:val="829"/>
    <w:next w:val="829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8 Char"/>
    <w:basedOn w:val="835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4">
    <w:name w:val="Heading 9"/>
    <w:basedOn w:val="829"/>
    <w:next w:val="829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5">
    <w:name w:val="Heading 9 Char"/>
    <w:basedOn w:val="835"/>
    <w:link w:val="68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6">
    <w:name w:val="No Spacing"/>
    <w:uiPriority w:val="1"/>
    <w:qFormat/>
    <w:pPr>
      <w:spacing w:before="0" w:after="0" w:line="240" w:lineRule="auto"/>
    </w:pPr>
  </w:style>
  <w:style w:type="character" w:styleId="687">
    <w:name w:val="Title Char"/>
    <w:basedOn w:val="835"/>
    <w:link w:val="862"/>
    <w:uiPriority w:val="10"/>
    <w:rPr>
      <w:sz w:val="48"/>
      <w:szCs w:val="48"/>
    </w:rPr>
  </w:style>
  <w:style w:type="character" w:styleId="688">
    <w:name w:val="Subtitle Char"/>
    <w:basedOn w:val="835"/>
    <w:link w:val="882"/>
    <w:uiPriority w:val="11"/>
    <w:rPr>
      <w:sz w:val="24"/>
      <w:szCs w:val="24"/>
    </w:rPr>
  </w:style>
  <w:style w:type="paragraph" w:styleId="689">
    <w:name w:val="Quote"/>
    <w:basedOn w:val="829"/>
    <w:next w:val="829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29"/>
    <w:next w:val="829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35"/>
    <w:link w:val="870"/>
    <w:uiPriority w:val="99"/>
  </w:style>
  <w:style w:type="character" w:styleId="694">
    <w:name w:val="Footer Char"/>
    <w:basedOn w:val="835"/>
    <w:link w:val="883"/>
    <w:uiPriority w:val="99"/>
  </w:style>
  <w:style w:type="character" w:styleId="695">
    <w:name w:val="Caption Char"/>
    <w:basedOn w:val="835"/>
    <w:link w:val="865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5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0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29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5"/>
    <w:uiPriority w:val="99"/>
    <w:unhideWhenUsed/>
    <w:rPr>
      <w:vertAlign w:val="superscript"/>
    </w:rPr>
  </w:style>
  <w:style w:type="paragraph" w:styleId="824">
    <w:name w:val="endnote text"/>
    <w:basedOn w:val="829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5"/>
    <w:uiPriority w:val="99"/>
    <w:semiHidden/>
    <w:unhideWhenUsed/>
    <w:rPr>
      <w:vertAlign w:val="superscript"/>
    </w:r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link w:val="838"/>
    <w:qFormat/>
    <w:pPr>
      <w:spacing w:after="160" w:line="264" w:lineRule="auto"/>
    </w:pPr>
  </w:style>
  <w:style w:type="paragraph" w:styleId="830">
    <w:name w:val="Heading 1"/>
    <w:next w:val="829"/>
    <w:link w:val="848"/>
    <w:uiPriority w:val="9"/>
    <w:qFormat/>
    <w:pPr>
      <w:jc w:val="both"/>
      <w:spacing w:before="120" w:after="120" w:line="264" w:lineRule="auto"/>
      <w:outlineLvl w:val="0"/>
    </w:pPr>
    <w:rPr>
      <w:rFonts w:ascii="xo thames" w:hAnsi="xo thames"/>
      <w:b/>
      <w:sz w:val="32"/>
    </w:rPr>
  </w:style>
  <w:style w:type="paragraph" w:styleId="831">
    <w:name w:val="Heading 2"/>
    <w:next w:val="829"/>
    <w:link w:val="861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sz w:val="28"/>
    </w:rPr>
  </w:style>
  <w:style w:type="paragraph" w:styleId="832">
    <w:name w:val="Heading 3"/>
    <w:next w:val="829"/>
    <w:link w:val="844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sz w:val="26"/>
    </w:rPr>
  </w:style>
  <w:style w:type="paragraph" w:styleId="833">
    <w:name w:val="Heading 4"/>
    <w:next w:val="829"/>
    <w:link w:val="860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/>
      <w:b/>
      <w:sz w:val="24"/>
    </w:rPr>
  </w:style>
  <w:style w:type="paragraph" w:styleId="834">
    <w:name w:val="Heading 5"/>
    <w:next w:val="829"/>
    <w:link w:val="847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/>
      <w:b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character" w:styleId="838" w:customStyle="1">
    <w:name w:val="Обычный1"/>
    <w:qFormat/>
  </w:style>
  <w:style w:type="character" w:styleId="839" w:customStyle="1">
    <w:name w:val="Оглавление 2 Знак"/>
    <w:link w:val="867"/>
    <w:qFormat/>
    <w:rPr>
      <w:rFonts w:ascii="xo thames" w:hAnsi="xo thames"/>
      <w:sz w:val="28"/>
    </w:rPr>
  </w:style>
  <w:style w:type="character" w:styleId="840" w:customStyle="1">
    <w:name w:val="Оглавление 4 Знак"/>
    <w:link w:val="868"/>
    <w:qFormat/>
    <w:rPr>
      <w:rFonts w:ascii="xo thames" w:hAnsi="xo thames"/>
      <w:sz w:val="28"/>
    </w:rPr>
  </w:style>
  <w:style w:type="character" w:styleId="841" w:customStyle="1">
    <w:name w:val="Верхний колонтитул Знак"/>
    <w:basedOn w:val="838"/>
    <w:link w:val="870"/>
    <w:uiPriority w:val="99"/>
    <w:qFormat/>
  </w:style>
  <w:style w:type="character" w:styleId="842" w:customStyle="1">
    <w:name w:val="Оглавление 6 Знак"/>
    <w:link w:val="871"/>
    <w:qFormat/>
    <w:rPr>
      <w:rFonts w:ascii="xo thames" w:hAnsi="xo thames"/>
      <w:sz w:val="28"/>
    </w:rPr>
  </w:style>
  <w:style w:type="character" w:styleId="843" w:customStyle="1">
    <w:name w:val="Оглавление 7 Знак"/>
    <w:link w:val="872"/>
    <w:qFormat/>
    <w:rPr>
      <w:rFonts w:ascii="xo thames" w:hAnsi="xo thames"/>
      <w:sz w:val="28"/>
    </w:rPr>
  </w:style>
  <w:style w:type="character" w:styleId="844" w:customStyle="1">
    <w:name w:val="Заголовок 3 Знак"/>
    <w:link w:val="832"/>
    <w:qFormat/>
    <w:rPr>
      <w:rFonts w:ascii="xo thames" w:hAnsi="xo thames"/>
      <w:b/>
      <w:sz w:val="26"/>
    </w:rPr>
  </w:style>
  <w:style w:type="character" w:styleId="845" w:customStyle="1">
    <w:name w:val="Текст Знак"/>
    <w:basedOn w:val="838"/>
    <w:link w:val="873"/>
    <w:qFormat/>
    <w:rPr>
      <w:rFonts w:ascii="Calibri" w:hAnsi="Calibri"/>
    </w:rPr>
  </w:style>
  <w:style w:type="character" w:styleId="846" w:customStyle="1">
    <w:name w:val="Оглавление 3 Знак"/>
    <w:link w:val="874"/>
    <w:qFormat/>
    <w:rPr>
      <w:rFonts w:ascii="xo thames" w:hAnsi="xo thames"/>
      <w:sz w:val="28"/>
    </w:rPr>
  </w:style>
  <w:style w:type="character" w:styleId="847" w:customStyle="1">
    <w:name w:val="Заголовок 5 Знак"/>
    <w:link w:val="834"/>
    <w:qFormat/>
    <w:rPr>
      <w:rFonts w:ascii="xo thames" w:hAnsi="xo thames"/>
      <w:b/>
      <w:sz w:val="22"/>
    </w:rPr>
  </w:style>
  <w:style w:type="character" w:styleId="848" w:customStyle="1">
    <w:name w:val="Заголовок 1 Знак"/>
    <w:link w:val="830"/>
    <w:qFormat/>
    <w:rPr>
      <w:rFonts w:ascii="xo thames" w:hAnsi="xo thames"/>
      <w:b/>
      <w:sz w:val="32"/>
    </w:rPr>
  </w:style>
  <w:style w:type="character" w:styleId="849">
    <w:name w:val="Hyperlink"/>
    <w:basedOn w:val="835"/>
    <w:link w:val="875"/>
    <w:rPr>
      <w:color w:val="0563c1" w:themeColor="hyperlink"/>
      <w:u w:val="single"/>
    </w:rPr>
  </w:style>
  <w:style w:type="character" w:styleId="850" w:customStyle="1">
    <w:name w:val="Footnote"/>
    <w:link w:val="876"/>
    <w:qFormat/>
    <w:rPr>
      <w:rFonts w:ascii="xo thames" w:hAnsi="xo thames"/>
      <w:sz w:val="22"/>
    </w:rPr>
  </w:style>
  <w:style w:type="character" w:styleId="851" w:customStyle="1">
    <w:name w:val="Оглавление 1 Знак"/>
    <w:link w:val="877"/>
    <w:qFormat/>
    <w:rPr>
      <w:rFonts w:ascii="xo thames" w:hAnsi="xo thames"/>
      <w:b/>
      <w:sz w:val="28"/>
    </w:rPr>
  </w:style>
  <w:style w:type="character" w:styleId="852" w:customStyle="1">
    <w:name w:val="Header and Footer"/>
    <w:qFormat/>
    <w:rPr>
      <w:rFonts w:ascii="xo thames" w:hAnsi="xo thames"/>
      <w:sz w:val="20"/>
    </w:rPr>
  </w:style>
  <w:style w:type="character" w:styleId="853" w:customStyle="1">
    <w:name w:val="Оглавление 9 Знак"/>
    <w:link w:val="879"/>
    <w:qFormat/>
    <w:rPr>
      <w:rFonts w:ascii="xo thames" w:hAnsi="xo thames"/>
      <w:sz w:val="28"/>
    </w:rPr>
  </w:style>
  <w:style w:type="character" w:styleId="854" w:customStyle="1">
    <w:name w:val="Оглавление 8 Знак"/>
    <w:link w:val="880"/>
    <w:qFormat/>
    <w:rPr>
      <w:rFonts w:ascii="xo thames" w:hAnsi="xo thames"/>
      <w:sz w:val="28"/>
    </w:rPr>
  </w:style>
  <w:style w:type="character" w:styleId="855" w:customStyle="1">
    <w:name w:val="Оглавление 5 Знак"/>
    <w:link w:val="881"/>
    <w:qFormat/>
    <w:rPr>
      <w:rFonts w:ascii="xo thames" w:hAnsi="xo thames"/>
      <w:sz w:val="28"/>
    </w:rPr>
  </w:style>
  <w:style w:type="character" w:styleId="856" w:customStyle="1">
    <w:name w:val="Подзаголовок Знак"/>
    <w:link w:val="882"/>
    <w:qFormat/>
    <w:rPr>
      <w:rFonts w:ascii="xo thames" w:hAnsi="xo thames"/>
      <w:i/>
      <w:sz w:val="24"/>
    </w:rPr>
  </w:style>
  <w:style w:type="character" w:styleId="857" w:customStyle="1">
    <w:name w:val="Нижний колонтитул Знак"/>
    <w:basedOn w:val="838"/>
    <w:link w:val="883"/>
    <w:qFormat/>
    <w:rPr>
      <w:rFonts w:ascii="Times New Roman" w:hAnsi="Times New Roman"/>
      <w:sz w:val="28"/>
    </w:rPr>
  </w:style>
  <w:style w:type="character" w:styleId="858" w:customStyle="1">
    <w:name w:val="Заголовок Знак"/>
    <w:link w:val="862"/>
    <w:qFormat/>
    <w:rPr>
      <w:rFonts w:ascii="xo thames" w:hAnsi="xo thames"/>
      <w:b/>
      <w:caps/>
      <w:sz w:val="40"/>
    </w:rPr>
  </w:style>
  <w:style w:type="character" w:styleId="859" w:customStyle="1">
    <w:name w:val="Текст выноски Знак"/>
    <w:basedOn w:val="838"/>
    <w:link w:val="884"/>
    <w:qFormat/>
    <w:rPr>
      <w:rFonts w:ascii="Segoe UI" w:hAnsi="Segoe UI"/>
      <w:sz w:val="18"/>
    </w:rPr>
  </w:style>
  <w:style w:type="character" w:styleId="860" w:customStyle="1">
    <w:name w:val="Заголовок 4 Знак"/>
    <w:link w:val="833"/>
    <w:qFormat/>
    <w:rPr>
      <w:rFonts w:ascii="xo thames" w:hAnsi="xo thames"/>
      <w:b/>
      <w:sz w:val="24"/>
    </w:rPr>
  </w:style>
  <w:style w:type="character" w:styleId="861" w:customStyle="1">
    <w:name w:val="Заголовок 2 Знак"/>
    <w:link w:val="831"/>
    <w:qFormat/>
    <w:rPr>
      <w:rFonts w:ascii="xo thames" w:hAnsi="xo thames"/>
      <w:b/>
      <w:sz w:val="28"/>
    </w:rPr>
  </w:style>
  <w:style w:type="paragraph" w:styleId="862">
    <w:name w:val="Title"/>
    <w:next w:val="863"/>
    <w:link w:val="858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sz w:val="40"/>
    </w:rPr>
  </w:style>
  <w:style w:type="paragraph" w:styleId="863">
    <w:name w:val="Body Text"/>
    <w:basedOn w:val="829"/>
    <w:pPr>
      <w:spacing w:after="140" w:line="276" w:lineRule="auto"/>
    </w:pPr>
  </w:style>
  <w:style w:type="paragraph" w:styleId="864">
    <w:name w:val="List"/>
    <w:basedOn w:val="863"/>
    <w:rPr>
      <w:rFonts w:cs="Arial Unicode MS"/>
    </w:rPr>
  </w:style>
  <w:style w:type="paragraph" w:styleId="865">
    <w:name w:val="Caption"/>
    <w:basedOn w:val="829"/>
    <w:link w:val="695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866">
    <w:name w:val="index heading"/>
    <w:basedOn w:val="829"/>
    <w:qFormat/>
    <w:pPr>
      <w:suppressLineNumbers/>
    </w:pPr>
    <w:rPr>
      <w:rFonts w:cs="Arial Unicode MS"/>
    </w:rPr>
  </w:style>
  <w:style w:type="paragraph" w:styleId="867">
    <w:name w:val="toc 2"/>
    <w:next w:val="829"/>
    <w:link w:val="839"/>
    <w:uiPriority w:val="39"/>
    <w:pPr>
      <w:ind w:left="200"/>
      <w:spacing w:after="160" w:line="264" w:lineRule="auto"/>
    </w:pPr>
    <w:rPr>
      <w:rFonts w:ascii="xo thames" w:hAnsi="xo thames"/>
      <w:sz w:val="28"/>
    </w:rPr>
  </w:style>
  <w:style w:type="paragraph" w:styleId="868">
    <w:name w:val="toc 4"/>
    <w:next w:val="829"/>
    <w:link w:val="840"/>
    <w:uiPriority w:val="39"/>
    <w:pPr>
      <w:ind w:left="600"/>
      <w:spacing w:after="160" w:line="264" w:lineRule="auto"/>
    </w:pPr>
    <w:rPr>
      <w:rFonts w:ascii="xo thames" w:hAnsi="xo thames"/>
      <w:sz w:val="28"/>
    </w:rPr>
  </w:style>
  <w:style w:type="paragraph" w:styleId="869" w:customStyle="1">
    <w:name w:val="Колонтитул"/>
    <w:qFormat/>
    <w:pPr>
      <w:jc w:val="both"/>
      <w:spacing w:after="160"/>
    </w:pPr>
    <w:rPr>
      <w:rFonts w:ascii="xo thames" w:hAnsi="xo thames"/>
      <w:sz w:val="20"/>
    </w:rPr>
  </w:style>
  <w:style w:type="paragraph" w:styleId="870">
    <w:name w:val="Header"/>
    <w:basedOn w:val="829"/>
    <w:link w:val="841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71">
    <w:name w:val="toc 6"/>
    <w:next w:val="829"/>
    <w:link w:val="842"/>
    <w:uiPriority w:val="39"/>
    <w:pPr>
      <w:ind w:left="1000"/>
      <w:spacing w:after="160" w:line="264" w:lineRule="auto"/>
    </w:pPr>
    <w:rPr>
      <w:rFonts w:ascii="xo thames" w:hAnsi="xo thames"/>
      <w:sz w:val="28"/>
    </w:rPr>
  </w:style>
  <w:style w:type="paragraph" w:styleId="872">
    <w:name w:val="toc 7"/>
    <w:next w:val="829"/>
    <w:link w:val="843"/>
    <w:uiPriority w:val="39"/>
    <w:pPr>
      <w:ind w:left="1200"/>
      <w:spacing w:after="160" w:line="264" w:lineRule="auto"/>
    </w:pPr>
    <w:rPr>
      <w:rFonts w:ascii="xo thames" w:hAnsi="xo thames"/>
      <w:sz w:val="28"/>
    </w:rPr>
  </w:style>
  <w:style w:type="paragraph" w:styleId="873">
    <w:name w:val="Plain Text"/>
    <w:basedOn w:val="829"/>
    <w:link w:val="845"/>
    <w:qFormat/>
    <w:pPr>
      <w:spacing w:after="0" w:line="240" w:lineRule="auto"/>
    </w:pPr>
    <w:rPr>
      <w:rFonts w:ascii="Calibri" w:hAnsi="Calibri"/>
    </w:rPr>
  </w:style>
  <w:style w:type="paragraph" w:styleId="874">
    <w:name w:val="toc 3"/>
    <w:next w:val="829"/>
    <w:link w:val="846"/>
    <w:uiPriority w:val="39"/>
    <w:pPr>
      <w:ind w:left="400"/>
      <w:spacing w:after="160" w:line="264" w:lineRule="auto"/>
    </w:pPr>
    <w:rPr>
      <w:rFonts w:ascii="xo thames" w:hAnsi="xo thames"/>
      <w:sz w:val="28"/>
    </w:rPr>
  </w:style>
  <w:style w:type="paragraph" w:styleId="875" w:customStyle="1">
    <w:name w:val="Гиперссылка1"/>
    <w:link w:val="849"/>
    <w:qFormat/>
    <w:rPr>
      <w:color w:val="0563c1" w:themeColor="hyperlink"/>
      <w:u w:val="single"/>
    </w:rPr>
  </w:style>
  <w:style w:type="paragraph" w:styleId="876" w:customStyle="1">
    <w:name w:val="Footnote"/>
    <w:link w:val="850"/>
    <w:qFormat/>
    <w:pPr>
      <w:ind w:firstLine="851"/>
      <w:jc w:val="both"/>
      <w:spacing w:after="160" w:line="264" w:lineRule="auto"/>
    </w:pPr>
    <w:rPr>
      <w:rFonts w:ascii="xo thames" w:hAnsi="xo thames"/>
    </w:rPr>
  </w:style>
  <w:style w:type="paragraph" w:styleId="877">
    <w:name w:val="toc 1"/>
    <w:next w:val="829"/>
    <w:link w:val="851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styleId="878" w:customStyle="1">
    <w:name w:val="Основной шрифт абзаца1"/>
    <w:qFormat/>
    <w:pPr>
      <w:spacing w:after="160" w:line="264" w:lineRule="auto"/>
    </w:pPr>
  </w:style>
  <w:style w:type="paragraph" w:styleId="879">
    <w:name w:val="toc 9"/>
    <w:next w:val="829"/>
    <w:link w:val="853"/>
    <w:uiPriority w:val="39"/>
    <w:pPr>
      <w:ind w:left="1600"/>
      <w:spacing w:after="160" w:line="264" w:lineRule="auto"/>
    </w:pPr>
    <w:rPr>
      <w:rFonts w:ascii="xo thames" w:hAnsi="xo thames"/>
      <w:sz w:val="28"/>
    </w:rPr>
  </w:style>
  <w:style w:type="paragraph" w:styleId="880">
    <w:name w:val="toc 8"/>
    <w:next w:val="829"/>
    <w:link w:val="854"/>
    <w:uiPriority w:val="39"/>
    <w:pPr>
      <w:ind w:left="1400"/>
      <w:spacing w:after="160" w:line="264" w:lineRule="auto"/>
    </w:pPr>
    <w:rPr>
      <w:rFonts w:ascii="xo thames" w:hAnsi="xo thames"/>
      <w:sz w:val="28"/>
    </w:rPr>
  </w:style>
  <w:style w:type="paragraph" w:styleId="881">
    <w:name w:val="toc 5"/>
    <w:next w:val="829"/>
    <w:link w:val="855"/>
    <w:uiPriority w:val="39"/>
    <w:pPr>
      <w:ind w:left="800"/>
      <w:spacing w:after="160" w:line="264" w:lineRule="auto"/>
    </w:pPr>
    <w:rPr>
      <w:rFonts w:ascii="xo thames" w:hAnsi="xo thames"/>
      <w:sz w:val="28"/>
    </w:rPr>
  </w:style>
  <w:style w:type="paragraph" w:styleId="882">
    <w:name w:val="Subtitle"/>
    <w:next w:val="829"/>
    <w:link w:val="856"/>
    <w:uiPriority w:val="11"/>
    <w:qFormat/>
    <w:pPr>
      <w:jc w:val="both"/>
      <w:spacing w:after="160" w:line="264" w:lineRule="auto"/>
    </w:pPr>
    <w:rPr>
      <w:rFonts w:ascii="xo thames" w:hAnsi="xo thames"/>
      <w:i/>
      <w:sz w:val="24"/>
    </w:rPr>
  </w:style>
  <w:style w:type="paragraph" w:styleId="883">
    <w:name w:val="Footer"/>
    <w:basedOn w:val="829"/>
    <w:link w:val="857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84">
    <w:name w:val="Balloon Text"/>
    <w:basedOn w:val="829"/>
    <w:link w:val="859"/>
    <w:qFormat/>
    <w:pPr>
      <w:spacing w:after="0" w:line="240" w:lineRule="auto"/>
    </w:pPr>
    <w:rPr>
      <w:rFonts w:ascii="Segoe UI" w:hAnsi="Segoe UI"/>
      <w:sz w:val="18"/>
    </w:rPr>
  </w:style>
  <w:style w:type="paragraph" w:styleId="885">
    <w:name w:val="List Paragraph"/>
    <w:basedOn w:val="829"/>
    <w:uiPriority w:val="34"/>
    <w:qFormat/>
    <w:pPr>
      <w:contextualSpacing/>
      <w:ind w:left="720"/>
    </w:pPr>
  </w:style>
  <w:style w:type="table" w:styleId="886">
    <w:name w:val="Table Grid"/>
    <w:basedOn w:val="83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7" w:customStyle="1">
    <w:name w:val="Сетка таблицы1"/>
    <w:basedOn w:val="83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8" w:customStyle="1">
    <w:name w:val="Сетка таблицы2"/>
    <w:basedOn w:val="836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9" w:customStyle="1">
    <w:name w:val="Сетка таблицы3"/>
    <w:basedOn w:val="836"/>
    <w:uiPriority w:val="39"/>
    <w:rPr>
      <w:color w:val="auto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31"/>
    <w:basedOn w:val="836"/>
    <w:uiPriority w:val="39"/>
    <w:rPr>
      <w:color w:val="auto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91">
    <w:name w:val="Unresolved Mention"/>
    <w:basedOn w:val="835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871E2-D86F-4A4E-A662-12F7BDCD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Заздравных Юлия Олеговна</dc:creator>
  <dc:description/>
  <dc:language>ru-RU</dc:language>
  <cp:lastModifiedBy>platonovna</cp:lastModifiedBy>
  <cp:revision>8</cp:revision>
  <dcterms:created xsi:type="dcterms:W3CDTF">2023-12-08T03:16:00Z</dcterms:created>
  <dcterms:modified xsi:type="dcterms:W3CDTF">2026-09-16T21:38:42Z</dcterms:modified>
</cp:coreProperties>
</file>