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ru-RU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830"/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widowControl w:val="off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Об установлении расходного обязательства Камчатского края по предоставлению компенсации части стоимости доставки домокомплекта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в отдаленных районах Камчатского края</w:t>
      </w:r>
      <w:r>
        <w:rPr>
          <w:rFonts w:hint="default" w:ascii="Times New Roman" w:hAnsi="Times New Roman"/>
          <w:b/>
          <w:bCs/>
          <w:sz w:val="28"/>
          <w:szCs w:val="28"/>
        </w:rPr>
      </w:r>
      <w:r>
        <w:rPr>
          <w:rFonts w:hint="default"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660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В соответствии с абзацем пятым статьи 8 и абзацем третьим пункта 1 статьи 85 Бюджетного кодекса Российской Федерации, и на основании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пунктов 2 и 4 статьи 2 Жилищног</w:t>
      </w:r>
      <w:r>
        <w:rPr>
          <w:rFonts w:ascii="Times New Roman" w:hAnsi="Times New Roman"/>
          <w:sz w:val="28"/>
          <w:lang w:val="ru-RU"/>
        </w:rPr>
        <w:t xml:space="preserve">о кодекса Российской Федерации, части 2 статьи 48 Федерального закона от 21.12.2021 № 414-ФЗ «Об общих принципах организации публичной власти в субъектах Российской Федерации» в целях стимулирования индивидуального жилищного строительства в Камчатском крае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1"/>
        </w:numPr>
        <w:ind w:left="-49" w:firstLine="709"/>
        <w:jc w:val="both"/>
        <w:spacing w:after="0" w:line="240" w:lineRule="auto"/>
        <w:widowControl w:val="off"/>
        <w:tabs>
          <w:tab w:val="clear" w:pos="0" w:leader="none"/>
        </w:tabs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Установить расходное обязательство Камчатского края по предоставлению компенсации части стоимости доставки домокомплекта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из города Петропавловска-Камчатского к месту монтажа объекта индивидуального жилищного строительства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 гражданам, проживающим в о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тдаленных районах Камчатского края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 (далее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 соответственно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lang w:val="ru-RU" w:eastAsia="zh-CN"/>
        </w:rPr>
        <w:t xml:space="preserve">–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 граждане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).</w:t>
      </w:r>
      <w:r>
        <w:rPr>
          <w:rFonts w:ascii="Times New Roman" w:hAnsi="Times New Roman"/>
          <w:b w:val="0"/>
          <w:bCs w:val="0"/>
          <w:color w:val="auto"/>
          <w:sz w:val="28"/>
        </w:rPr>
      </w:r>
      <w:r>
        <w:rPr>
          <w:rFonts w:ascii="Times New Roman" w:hAnsi="Times New Roman"/>
          <w:b w:val="0"/>
          <w:bCs w:val="0"/>
          <w:color w:val="auto"/>
          <w:sz w:val="28"/>
        </w:rPr>
      </w:r>
    </w:p>
    <w:p>
      <w:pPr>
        <w:numPr>
          <w:ilvl w:val="0"/>
          <w:numId w:val="1"/>
        </w:numPr>
        <w:ind w:left="-49" w:firstLine="709"/>
        <w:jc w:val="both"/>
        <w:spacing w:after="0" w:line="240" w:lineRule="auto"/>
        <w:widowControl w:val="off"/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Под домокомплектом в настоящем постановлении понимается совокупность взаимоувязанных конструкций, деталей, изделий и материалов, предназначенных для строительства индивидуального жилого дома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(за исключением материалов для строительства фундамента), произведенных заводским способом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и приобретенных гражданином для личного использования.</w:t>
      </w:r>
      <w:r>
        <w:rPr>
          <w:rFonts w:ascii="Times New Roman" w:hAnsi="Times New Roman"/>
          <w:b w:val="0"/>
          <w:bCs w:val="0"/>
          <w:color w:val="auto"/>
          <w:sz w:val="28"/>
        </w:rPr>
      </w:r>
      <w:r>
        <w:rPr>
          <w:rFonts w:ascii="Times New Roman" w:hAnsi="Times New Roman"/>
          <w:b w:val="0"/>
          <w:bCs w:val="0"/>
          <w:color w:val="auto"/>
          <w:sz w:val="28"/>
        </w:rPr>
      </w:r>
    </w:p>
    <w:p>
      <w:pPr>
        <w:numPr>
          <w:ilvl w:val="0"/>
          <w:numId w:val="1"/>
        </w:numPr>
        <w:ind w:left="-49" w:firstLine="709"/>
        <w:jc w:val="both"/>
        <w:spacing w:after="0" w:line="240" w:lineRule="auto"/>
        <w:widowControl w:val="off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auto"/>
          <w:sz w:val="28"/>
          <w:highlight w:val="none"/>
          <w:lang w:val="ru-RU"/>
        </w:rPr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Под отдаленными районами Камчатского края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в настоящем постановлении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понимаются Олюторский муниципальный район, Пенжинский муниципальный район, Тигильский муниципальный округ, Карагинский муниципальный район и Алеутский муниципальный округ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.</w:t>
      </w:r>
      <w:r>
        <w:rPr>
          <w:rFonts w:hint="default" w:ascii="Times New Roman" w:hAnsi="Times New Roman"/>
          <w:b w:val="0"/>
          <w:bCs w:val="0"/>
          <w:color w:val="auto"/>
          <w:sz w:val="28"/>
          <w:highlight w:val="none"/>
          <w:lang w:val="ru-RU"/>
        </w:rPr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</w:r>
    </w:p>
    <w:p>
      <w:pPr>
        <w:numPr>
          <w:ilvl w:val="0"/>
          <w:numId w:val="1"/>
        </w:numPr>
        <w:ind w:left="-49" w:firstLine="709"/>
        <w:jc w:val="both"/>
        <w:spacing w:after="0" w:line="240" w:lineRule="auto"/>
        <w:widowControl w:val="off"/>
        <w:rPr>
          <w:rFonts w:ascii="Times New Roman" w:hAnsi="Times New Roman"/>
          <w:b w:val="0"/>
          <w:bCs w:val="0"/>
          <w:color w:val="auto"/>
          <w:sz w:val="28"/>
          <w:highlight w:val="white"/>
        </w:rPr>
      </w:pPr>
      <w:r>
        <w:rPr>
          <w:rFonts w:ascii="Times New Roman" w:hAnsi="Times New Roman"/>
          <w:b w:val="0"/>
          <w:bCs w:val="0"/>
          <w:color w:val="auto"/>
          <w:sz w:val="28"/>
          <w:highlight w:val="white"/>
          <w:lang w:eastAsia="zh-CN"/>
        </w:rPr>
        <w:t xml:space="preserve">Компенсация </w:t>
      </w:r>
      <w:r>
        <w:rPr>
          <w:rFonts w:ascii="Times New Roman" w:hAnsi="Times New Roman"/>
          <w:b w:val="0"/>
          <w:bCs w:val="0"/>
          <w:color w:val="auto"/>
          <w:sz w:val="28"/>
          <w:highlight w:val="white"/>
          <w:lang w:val="ru-RU"/>
        </w:rPr>
        <w:t xml:space="preserve">части стоимости доставки домокомплекта </w:t>
      </w:r>
      <w:r>
        <w:rPr>
          <w:rFonts w:ascii="Times New Roman" w:hAnsi="Times New Roman"/>
          <w:b w:val="0"/>
          <w:bCs w:val="0"/>
          <w:color w:val="auto"/>
          <w:sz w:val="28"/>
          <w:highlight w:val="white"/>
          <w:lang w:eastAsia="zh-CN"/>
        </w:rPr>
        <w:t xml:space="preserve">предоставляется гражданину однократно</w:t>
      </w:r>
      <w:r>
        <w:rPr>
          <w:rFonts w:hint="default" w:ascii="Times New Roman" w:hAnsi="Times New Roman"/>
          <w:b w:val="0"/>
          <w:bCs w:val="0"/>
          <w:color w:val="auto"/>
          <w:sz w:val="28"/>
          <w:highlight w:val="white"/>
          <w:lang w:val="ru-RU" w:eastAsia="zh-CN"/>
        </w:rPr>
        <w:t xml:space="preserve"> не позднее трех лет с даты приобретения </w:t>
      </w:r>
      <w:r>
        <w:rPr>
          <w:rFonts w:ascii="Times New Roman" w:hAnsi="Times New Roman"/>
          <w:b w:val="0"/>
          <w:bCs w:val="0"/>
          <w:color w:val="auto"/>
          <w:sz w:val="28"/>
          <w:highlight w:val="white"/>
          <w:lang w:val="ru-RU"/>
        </w:rPr>
        <w:t xml:space="preserve">домокомплекта</w:t>
      </w:r>
      <w:r>
        <w:rPr>
          <w:rFonts w:ascii="Times New Roman" w:hAnsi="Times New Roman"/>
          <w:b w:val="0"/>
          <w:bCs w:val="0"/>
          <w:color w:val="auto"/>
          <w:sz w:val="28"/>
          <w:highlight w:val="white"/>
          <w:lang w:eastAsia="zh-CN"/>
        </w:rPr>
        <w:t xml:space="preserve">.</w:t>
      </w:r>
      <w:r>
        <w:rPr>
          <w:rFonts w:ascii="Times New Roman" w:hAnsi="Times New Roman"/>
          <w:b w:val="0"/>
          <w:bCs w:val="0"/>
          <w:color w:val="auto"/>
          <w:sz w:val="28"/>
          <w:highlight w:val="white"/>
        </w:rPr>
      </w:r>
      <w:r>
        <w:rPr>
          <w:rFonts w:ascii="Times New Roman" w:hAnsi="Times New Roman"/>
          <w:b w:val="0"/>
          <w:bCs w:val="0"/>
          <w:color w:val="auto"/>
          <w:sz w:val="28"/>
          <w:highlight w:val="white"/>
        </w:rPr>
      </w:r>
    </w:p>
    <w:p>
      <w:pPr>
        <w:numPr>
          <w:ilvl w:val="0"/>
          <w:numId w:val="1"/>
        </w:numPr>
        <w:ind w:left="-49" w:firstLine="709"/>
        <w:jc w:val="both"/>
        <w:spacing w:after="0" w:line="240" w:lineRule="auto"/>
        <w:widowControl w:val="off"/>
        <w:rPr>
          <w:rFonts w:hint="default" w:ascii="Times New Roman" w:hAnsi="Times New Roman"/>
          <w:b w:val="0"/>
          <w:bCs w:val="0"/>
          <w:color w:val="auto"/>
          <w:sz w:val="28"/>
          <w:lang w:val="ru-RU" w:eastAsia="zh-CN"/>
        </w:rPr>
      </w:pPr>
      <w:r>
        <w:rPr>
          <w:rFonts w:ascii="Times New Roman" w:hAnsi="Times New Roman"/>
          <w:b w:val="0"/>
          <w:bCs w:val="0"/>
          <w:color w:val="auto"/>
          <w:sz w:val="28"/>
          <w:lang w:val="ru-RU" w:eastAsia="zh-CN"/>
        </w:rPr>
        <w:t xml:space="preserve">Размер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 w:eastAsia="zh-CN"/>
        </w:rPr>
        <w:t xml:space="preserve"> компенсации составляет один миллион рублей, за исключением случая</w:t>
      </w:r>
      <w:r>
        <w:rPr>
          <w:rFonts w:ascii="Times New Roman" w:hAnsi="Times New Roman"/>
          <w:b w:val="0"/>
          <w:bCs w:val="0"/>
          <w:color w:val="auto"/>
          <w:sz w:val="28"/>
          <w:lang w:eastAsia="zh-CN"/>
        </w:rPr>
        <w:t xml:space="preserve">, когда стоимость доставки приобретенного гражданином домокомплекта меньше одного миллиона рублей,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 w:eastAsia="zh-CN"/>
        </w:rPr>
        <w:t xml:space="preserve"> при котором</w:t>
      </w:r>
      <w:r>
        <w:rPr>
          <w:rFonts w:ascii="Times New Roman" w:hAnsi="Times New Roman"/>
          <w:b w:val="0"/>
          <w:bCs w:val="0"/>
          <w:color w:val="auto"/>
          <w:sz w:val="28"/>
          <w:lang w:eastAsia="zh-CN"/>
        </w:rPr>
        <w:t xml:space="preserve"> компенсация стоимости доставки домокомплекта производится в размере </w:t>
      </w:r>
      <w:r>
        <w:rPr>
          <w:rFonts w:ascii="Times New Roman" w:hAnsi="Times New Roman"/>
          <w:b w:val="0"/>
          <w:bCs w:val="0"/>
          <w:color w:val="auto"/>
          <w:sz w:val="28"/>
          <w:lang w:val="ru-RU" w:eastAsia="zh-CN"/>
        </w:rPr>
        <w:t xml:space="preserve">фактически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 w:eastAsia="zh-CN"/>
        </w:rPr>
        <w:t xml:space="preserve"> понесенных гражданином расходов на его доставку.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 w:eastAsia="zh-CN"/>
        </w:rPr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 w:eastAsia="zh-CN"/>
        </w:rPr>
      </w:r>
    </w:p>
    <w:p>
      <w:pPr>
        <w:numPr>
          <w:ilvl w:val="0"/>
          <w:numId w:val="1"/>
        </w:numPr>
        <w:ind w:left="-49" w:firstLine="709"/>
        <w:jc w:val="both"/>
        <w:spacing w:after="0" w:line="240" w:lineRule="auto"/>
        <w:widowControl w:val="off"/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Порядок предоставления гражданам компенсации части стоимости доставки домокомплекта устанавливается нормативным правовым актом Министерства строительства и жилищной политики Камчатского края.</w:t>
      </w:r>
      <w:r>
        <w:rPr>
          <w:rFonts w:ascii="Times New Roman" w:hAnsi="Times New Roman"/>
          <w:b w:val="0"/>
          <w:bCs w:val="0"/>
          <w:color w:val="auto"/>
          <w:sz w:val="28"/>
        </w:rPr>
      </w:r>
      <w:r>
        <w:rPr>
          <w:rFonts w:ascii="Times New Roman" w:hAnsi="Times New Roman"/>
          <w:b w:val="0"/>
          <w:bCs w:val="0"/>
          <w:color w:val="auto"/>
          <w:sz w:val="28"/>
        </w:rPr>
      </w:r>
    </w:p>
    <w:p>
      <w:pPr>
        <w:numPr>
          <w:ilvl w:val="0"/>
          <w:numId w:val="1"/>
        </w:numPr>
        <w:ind w:left="-49" w:firstLine="709"/>
        <w:jc w:val="both"/>
        <w:spacing w:after="0" w:line="240" w:lineRule="auto"/>
        <w:widowControl w:val="off"/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Финансирование расходов, связанных с реализацией 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настоящего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постановления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, осуществляется за счет краевого бюджета в пределах лимитов бюджетных обязательств, доведенных до 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Министерства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строительства и жилищной политики Камчатского края 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как получателя средств краевого бюджета, в целях реализации мер, направленных на 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п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овышени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е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 доступности жилья 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 стимулирования индивидуального жилищного строительства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в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Камчатском крае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, государственной программы Камчатского края «Обеспечение доступным и комфортным жильем жителей Камчатского края», утвержденной постановлением Правительства Камчатского края от 21.02.2024 № 55-П.</w:t>
      </w:r>
      <w:r>
        <w:rPr>
          <w:rFonts w:ascii="Times New Roman" w:hAnsi="Times New Roman"/>
          <w:b w:val="0"/>
          <w:bCs w:val="0"/>
          <w:color w:val="auto"/>
          <w:sz w:val="28"/>
        </w:rPr>
      </w:r>
      <w:r>
        <w:rPr>
          <w:rFonts w:ascii="Times New Roman" w:hAnsi="Times New Roman"/>
          <w:b w:val="0"/>
          <w:bCs w:val="0"/>
          <w:color w:val="auto"/>
          <w:sz w:val="28"/>
        </w:rPr>
      </w:r>
    </w:p>
    <w:p>
      <w:pPr>
        <w:numPr>
          <w:ilvl w:val="0"/>
          <w:numId w:val="1"/>
        </w:numPr>
        <w:ind w:left="-49" w:firstLine="709"/>
        <w:jc w:val="both"/>
        <w:spacing w:after="0" w:line="240" w:lineRule="auto"/>
        <w:widowControl w:val="off"/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Министерству финансов Камчатского края учесть настоящее постановление при формировании и исполнении краевого бюджета.</w:t>
      </w:r>
      <w:r>
        <w:rPr>
          <w:rFonts w:ascii="Times New Roman" w:hAnsi="Times New Roman"/>
          <w:b w:val="0"/>
          <w:bCs w:val="0"/>
          <w:color w:val="auto"/>
          <w:sz w:val="28"/>
        </w:rPr>
      </w:r>
      <w:r>
        <w:rPr>
          <w:rFonts w:ascii="Times New Roman" w:hAnsi="Times New Roman"/>
          <w:b w:val="0"/>
          <w:bCs w:val="0"/>
          <w:color w:val="auto"/>
          <w:sz w:val="28"/>
        </w:rPr>
      </w:r>
    </w:p>
    <w:p>
      <w:pPr>
        <w:numPr>
          <w:ilvl w:val="0"/>
          <w:numId w:val="1"/>
        </w:numPr>
        <w:ind w:left="-49" w:firstLine="709"/>
        <w:jc w:val="both"/>
        <w:spacing w:after="0" w:line="240" w:lineRule="auto"/>
        <w:widowControl w:val="off"/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Настоящее постановление вступает в силу 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 xml:space="preserve">с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1 января 2027 года.</w:t>
      </w:r>
      <w:r>
        <w:rPr>
          <w:rFonts w:ascii="Times New Roman" w:hAnsi="Times New Roman"/>
          <w:b w:val="0"/>
          <w:bCs w:val="0"/>
          <w:color w:val="auto"/>
          <w:sz w:val="28"/>
        </w:rPr>
      </w:r>
      <w:r>
        <w:rPr>
          <w:rFonts w:ascii="Times New Roman" w:hAnsi="Times New Roman"/>
          <w:b w:val="0"/>
          <w:bCs w:val="0"/>
          <w:color w:val="auto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830"/>
        <w:tblW w:w="9673" w:type="dxa"/>
        <w:tblInd w:w="-34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/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  <w14:textFill>
                  <w14:solidFill>
                    <w14:schemeClr w14:val="bg1"/>
                  </w14:solidFill>
                </w14:textFill>
              </w:rPr>
              <w:t xml:space="preserve">[горизонтальный штамп подписи 1]</w:t>
            </w:r>
            <w:bookmarkEnd w:id="1"/>
            <w:r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jc w:val="right"/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Ю</w:t>
            </w:r>
            <w:r>
              <w:rPr>
                <w:rFonts w:hint="default" w:ascii="Times New Roman" w:hAnsi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.С. Морозова</w:t>
            </w:r>
            <w:r>
              <w:rPr>
                <w:rFonts w:hint="default" w:ascii="Times New Roman" w:hAnsi="Times New Roman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hint="default" w:ascii="Times New Roman" w:hAnsi="Times New Roman"/>
                <w:color w:val="000000" w:themeColor="text1"/>
                <w:sz w:val="24"/>
                <w:lang w:val="ru-RU"/>
                <w14:textFill>
                  <w14:solidFill>
                    <w14:schemeClr w14:val="tx1"/>
                  </w14:solidFill>
                </w14:textFill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XO Thames">
    <w:panose1 w:val="020206030504050203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64" w:lineRule="auto"/>
      </w:pPr>
      <w:r>
        <w:separator/>
      </w:r>
      <w:r/>
    </w:p>
  </w:footnote>
  <w:footnote w:type="continuationSeparator" w:id="0">
    <w:p>
      <w:pPr>
        <w:spacing w:before="0" w:after="0" w:line="264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-49" w:firstLine="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left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left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left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left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left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left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left" w:pos="360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  <w:tabs>
          <w:tab w:val="left" w:pos="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left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left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left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left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left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left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left" w:pos="36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-49" w:firstLine="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left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left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left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left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left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left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left" w:pos="360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  <w:tabs>
          <w:tab w:val="left" w:pos="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left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left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left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left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left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left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left" w:pos="360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-49" w:firstLine="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left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left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left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left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left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left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left" w:pos="360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5">
    <w:name w:val="Heading 1 Char"/>
    <w:basedOn w:val="829"/>
    <w:link w:val="82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6">
    <w:name w:val="Heading 2 Char"/>
    <w:basedOn w:val="829"/>
    <w:link w:val="825"/>
    <w:uiPriority w:val="9"/>
    <w:rPr>
      <w:rFonts w:ascii="Liberation Sans" w:hAnsi="Liberation Sans" w:eastAsia="Liberation Sans" w:cs="Liberation Sans"/>
      <w:sz w:val="34"/>
    </w:rPr>
  </w:style>
  <w:style w:type="character" w:styleId="667">
    <w:name w:val="Heading 3 Char"/>
    <w:basedOn w:val="829"/>
    <w:link w:val="82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68">
    <w:name w:val="Heading 4 Char"/>
    <w:basedOn w:val="829"/>
    <w:link w:val="82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9">
    <w:name w:val="Heading 5 Char"/>
    <w:basedOn w:val="829"/>
    <w:link w:val="82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0">
    <w:name w:val="Heading 6"/>
    <w:basedOn w:val="823"/>
    <w:next w:val="823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1">
    <w:name w:val="Heading 6 Char"/>
    <w:basedOn w:val="829"/>
    <w:link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2">
    <w:name w:val="Heading 7"/>
    <w:basedOn w:val="823"/>
    <w:next w:val="823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3">
    <w:name w:val="Heading 7 Char"/>
    <w:basedOn w:val="829"/>
    <w:link w:val="67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4">
    <w:name w:val="Heading 8"/>
    <w:basedOn w:val="823"/>
    <w:next w:val="823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>
    <w:name w:val="Heading 8 Char"/>
    <w:basedOn w:val="829"/>
    <w:link w:val="67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6">
    <w:name w:val="Heading 9"/>
    <w:basedOn w:val="823"/>
    <w:next w:val="823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7">
    <w:name w:val="Heading 9 Char"/>
    <w:basedOn w:val="829"/>
    <w:link w:val="67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8">
    <w:name w:val="List Paragraph"/>
    <w:basedOn w:val="823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character" w:styleId="680">
    <w:name w:val="Title Char"/>
    <w:basedOn w:val="829"/>
    <w:link w:val="846"/>
    <w:uiPriority w:val="10"/>
    <w:rPr>
      <w:sz w:val="48"/>
      <w:szCs w:val="48"/>
    </w:rPr>
  </w:style>
  <w:style w:type="character" w:styleId="681">
    <w:name w:val="Subtitle Char"/>
    <w:basedOn w:val="829"/>
    <w:link w:val="848"/>
    <w:uiPriority w:val="11"/>
    <w:rPr>
      <w:sz w:val="24"/>
      <w:szCs w:val="24"/>
    </w:rPr>
  </w:style>
  <w:style w:type="paragraph" w:styleId="682">
    <w:name w:val="Quote"/>
    <w:basedOn w:val="823"/>
    <w:next w:val="823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23"/>
    <w:next w:val="823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character" w:styleId="686">
    <w:name w:val="Header Char"/>
    <w:basedOn w:val="829"/>
    <w:link w:val="837"/>
    <w:uiPriority w:val="99"/>
  </w:style>
  <w:style w:type="character" w:styleId="687">
    <w:name w:val="Footer Char"/>
    <w:basedOn w:val="829"/>
    <w:link w:val="847"/>
    <w:uiPriority w:val="99"/>
  </w:style>
  <w:style w:type="paragraph" w:styleId="688">
    <w:name w:val="Caption"/>
    <w:basedOn w:val="823"/>
    <w:next w:val="82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29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 Light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9">
    <w:name w:val="List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4">
    <w:name w:val="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5">
    <w:name w:val="footnote text"/>
    <w:basedOn w:val="823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29"/>
    <w:uiPriority w:val="99"/>
    <w:unhideWhenUsed/>
    <w:rPr>
      <w:vertAlign w:val="superscript"/>
    </w:rPr>
  </w:style>
  <w:style w:type="paragraph" w:styleId="818">
    <w:name w:val="endnote text"/>
    <w:basedOn w:val="823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29"/>
    <w:uiPriority w:val="99"/>
    <w:semiHidden/>
    <w:unhideWhenUsed/>
    <w:rPr>
      <w:vertAlign w:val="superscript"/>
    </w:rPr>
  </w:style>
  <w:style w:type="paragraph" w:styleId="821">
    <w:name w:val="TOC Heading"/>
    <w:uiPriority w:val="39"/>
    <w:unhideWhenUsed/>
  </w:style>
  <w:style w:type="paragraph" w:styleId="822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uiPriority w:val="0"/>
    <w:qFormat/>
    <w:pPr>
      <w:spacing w:after="160" w:line="264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824">
    <w:name w:val="Heading 1"/>
    <w:next w:val="823"/>
    <w:link w:val="860"/>
    <w:uiPriority w:val="9"/>
    <w:qFormat/>
    <w:pPr>
      <w:jc w:val="both"/>
      <w:spacing w:before="120" w:after="120" w:line="264" w:lineRule="auto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825">
    <w:name w:val="Heading 2"/>
    <w:next w:val="823"/>
    <w:link w:val="874"/>
    <w:uiPriority w:val="9"/>
    <w:qFormat/>
    <w:pPr>
      <w:jc w:val="both"/>
      <w:spacing w:before="120" w:after="120" w:line="264" w:lineRule="auto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826">
    <w:name w:val="Heading 3"/>
    <w:next w:val="823"/>
    <w:link w:val="856"/>
    <w:uiPriority w:val="9"/>
    <w:qFormat/>
    <w:pPr>
      <w:jc w:val="both"/>
      <w:spacing w:before="120" w:after="120" w:line="264" w:lineRule="auto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827">
    <w:name w:val="Heading 4"/>
    <w:next w:val="823"/>
    <w:link w:val="873"/>
    <w:uiPriority w:val="9"/>
    <w:qFormat/>
    <w:pPr>
      <w:jc w:val="both"/>
      <w:spacing w:before="120" w:after="120" w:line="264" w:lineRule="auto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828">
    <w:name w:val="Heading 5"/>
    <w:next w:val="823"/>
    <w:link w:val="859"/>
    <w:uiPriority w:val="9"/>
    <w:qFormat/>
    <w:pPr>
      <w:jc w:val="both"/>
      <w:spacing w:before="120" w:after="120" w:line="264" w:lineRule="auto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styleId="829" w:default="1">
    <w:name w:val="Default Paragraph Font"/>
    <w:uiPriority w:val="1"/>
    <w:semiHidden/>
    <w:unhideWhenUsed/>
    <w:qFormat/>
  </w:style>
  <w:style w:type="table" w:styleId="830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831">
    <w:name w:val="Hyperlink"/>
    <w:basedOn w:val="829"/>
    <w:link w:val="832"/>
    <w:uiPriority w:val="0"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32" w:customStyle="1">
    <w:name w:val="Гиперссылка1"/>
    <w:basedOn w:val="833"/>
    <w:link w:val="831"/>
    <w:uiPriority w:val="0"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33" w:customStyle="1">
    <w:name w:val="Основной шрифт абзаца1"/>
    <w:uiPriority w:val="0"/>
    <w:qFormat/>
    <w:pPr>
      <w:spacing w:after="160" w:line="264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834">
    <w:name w:val="Balloon Text"/>
    <w:basedOn w:val="823"/>
    <w:link w:val="872"/>
    <w:uiPriority w:val="0"/>
    <w:qFormat/>
    <w:pPr>
      <w:spacing w:after="0" w:line="240" w:lineRule="auto"/>
    </w:pPr>
    <w:rPr>
      <w:rFonts w:ascii="Segoe UI" w:hAnsi="Segoe UI"/>
      <w:sz w:val="18"/>
    </w:rPr>
  </w:style>
  <w:style w:type="paragraph" w:styleId="835">
    <w:name w:val="Plain Text"/>
    <w:basedOn w:val="823"/>
    <w:link w:val="857"/>
    <w:uiPriority w:val="0"/>
    <w:qFormat/>
    <w:pPr>
      <w:spacing w:after="0" w:line="240" w:lineRule="auto"/>
    </w:pPr>
    <w:rPr>
      <w:rFonts w:ascii="Calibri" w:hAnsi="Calibri"/>
    </w:rPr>
  </w:style>
  <w:style w:type="paragraph" w:styleId="836">
    <w:name w:val="toc 8"/>
    <w:next w:val="823"/>
    <w:link w:val="867"/>
    <w:uiPriority w:val="39"/>
    <w:qFormat/>
    <w:pPr>
      <w:ind w:left="1400"/>
      <w:spacing w:after="160" w:line="264" w:lineRule="auto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837">
    <w:name w:val="Header"/>
    <w:basedOn w:val="823"/>
    <w:link w:val="853"/>
    <w:uiPriority w:val="99"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838">
    <w:name w:val="toc 9"/>
    <w:next w:val="823"/>
    <w:link w:val="866"/>
    <w:uiPriority w:val="39"/>
    <w:qFormat/>
    <w:pPr>
      <w:ind w:left="1600"/>
      <w:spacing w:after="160" w:line="264" w:lineRule="auto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839">
    <w:name w:val="toc 7"/>
    <w:next w:val="823"/>
    <w:link w:val="855"/>
    <w:uiPriority w:val="39"/>
    <w:qFormat/>
    <w:pPr>
      <w:ind w:left="1200"/>
      <w:spacing w:after="160" w:line="264" w:lineRule="auto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840">
    <w:name w:val="toc 1"/>
    <w:next w:val="823"/>
    <w:link w:val="863"/>
    <w:uiPriority w:val="39"/>
    <w:qFormat/>
    <w:pPr>
      <w:spacing w:after="160" w:line="264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841">
    <w:name w:val="toc 6"/>
    <w:next w:val="823"/>
    <w:link w:val="854"/>
    <w:uiPriority w:val="39"/>
    <w:qFormat/>
    <w:pPr>
      <w:ind w:left="1000"/>
      <w:spacing w:after="160" w:line="264" w:lineRule="auto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842">
    <w:name w:val="toc 3"/>
    <w:next w:val="823"/>
    <w:link w:val="858"/>
    <w:uiPriority w:val="39"/>
    <w:qFormat/>
    <w:pPr>
      <w:ind w:left="400"/>
      <w:spacing w:after="160" w:line="264" w:lineRule="auto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843">
    <w:name w:val="toc 2"/>
    <w:next w:val="823"/>
    <w:link w:val="851"/>
    <w:uiPriority w:val="39"/>
    <w:qFormat/>
    <w:pPr>
      <w:ind w:left="200"/>
      <w:spacing w:after="160" w:line="264" w:lineRule="auto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844">
    <w:name w:val="toc 4"/>
    <w:next w:val="823"/>
    <w:link w:val="852"/>
    <w:uiPriority w:val="39"/>
    <w:qFormat/>
    <w:pPr>
      <w:ind w:left="600"/>
      <w:spacing w:after="160" w:line="264" w:lineRule="auto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845">
    <w:name w:val="toc 5"/>
    <w:next w:val="823"/>
    <w:link w:val="868"/>
    <w:uiPriority w:val="39"/>
    <w:qFormat/>
    <w:pPr>
      <w:ind w:left="800"/>
      <w:spacing w:after="160" w:line="264" w:lineRule="auto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846">
    <w:name w:val="Title"/>
    <w:next w:val="823"/>
    <w:link w:val="871"/>
    <w:uiPriority w:val="10"/>
    <w:qFormat/>
    <w:pPr>
      <w:jc w:val="center"/>
      <w:spacing w:before="567" w:after="567" w:line="264" w:lineRule="auto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847">
    <w:name w:val="Footer"/>
    <w:basedOn w:val="823"/>
    <w:link w:val="870"/>
    <w:uiPriority w:val="0"/>
    <w:qFormat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paragraph" w:styleId="848">
    <w:name w:val="Subtitle"/>
    <w:next w:val="823"/>
    <w:link w:val="869"/>
    <w:uiPriority w:val="11"/>
    <w:qFormat/>
    <w:pPr>
      <w:jc w:val="both"/>
      <w:spacing w:after="160" w:line="264" w:lineRule="auto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849">
    <w:name w:val="Table Grid"/>
    <w:basedOn w:val="830"/>
    <w:uiPriority w:val="0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50" w:customStyle="1">
    <w:name w:val="Обычный1"/>
    <w:uiPriority w:val="0"/>
    <w:qFormat/>
  </w:style>
  <w:style w:type="character" w:styleId="851" w:customStyle="1">
    <w:name w:val="Оглавление 2 Знак"/>
    <w:link w:val="843"/>
    <w:uiPriority w:val="0"/>
    <w:qFormat/>
    <w:rPr>
      <w:rFonts w:ascii="XO Thames" w:hAnsi="XO Thames"/>
      <w:sz w:val="28"/>
    </w:rPr>
  </w:style>
  <w:style w:type="character" w:styleId="852" w:customStyle="1">
    <w:name w:val="Оглавление 4 Знак"/>
    <w:link w:val="844"/>
    <w:uiPriority w:val="0"/>
    <w:qFormat/>
    <w:rPr>
      <w:rFonts w:ascii="XO Thames" w:hAnsi="XO Thames"/>
      <w:sz w:val="28"/>
    </w:rPr>
  </w:style>
  <w:style w:type="character" w:styleId="853" w:customStyle="1">
    <w:name w:val="Верхний колонтитул Знак"/>
    <w:basedOn w:val="850"/>
    <w:link w:val="837"/>
    <w:uiPriority w:val="99"/>
    <w:qFormat/>
  </w:style>
  <w:style w:type="character" w:styleId="854" w:customStyle="1">
    <w:name w:val="Оглавление 6 Знак"/>
    <w:link w:val="841"/>
    <w:uiPriority w:val="0"/>
    <w:qFormat/>
    <w:rPr>
      <w:rFonts w:ascii="XO Thames" w:hAnsi="XO Thames"/>
      <w:sz w:val="28"/>
    </w:rPr>
  </w:style>
  <w:style w:type="character" w:styleId="855" w:customStyle="1">
    <w:name w:val="Оглавление 7 Знак"/>
    <w:link w:val="839"/>
    <w:uiPriority w:val="0"/>
    <w:qFormat/>
    <w:rPr>
      <w:rFonts w:ascii="XO Thames" w:hAnsi="XO Thames"/>
      <w:sz w:val="28"/>
    </w:rPr>
  </w:style>
  <w:style w:type="character" w:styleId="856" w:customStyle="1">
    <w:name w:val="Заголовок 3 Знак"/>
    <w:link w:val="826"/>
    <w:uiPriority w:val="0"/>
    <w:qFormat/>
    <w:rPr>
      <w:rFonts w:ascii="XO Thames" w:hAnsi="XO Thames"/>
      <w:b/>
      <w:sz w:val="26"/>
    </w:rPr>
  </w:style>
  <w:style w:type="character" w:styleId="857" w:customStyle="1">
    <w:name w:val="Текст Знак"/>
    <w:basedOn w:val="850"/>
    <w:link w:val="835"/>
    <w:uiPriority w:val="0"/>
    <w:qFormat/>
    <w:rPr>
      <w:rFonts w:ascii="Calibri" w:hAnsi="Calibri"/>
    </w:rPr>
  </w:style>
  <w:style w:type="character" w:styleId="858" w:customStyle="1">
    <w:name w:val="Оглавление 3 Знак"/>
    <w:link w:val="842"/>
    <w:uiPriority w:val="0"/>
    <w:qFormat/>
    <w:rPr>
      <w:rFonts w:ascii="XO Thames" w:hAnsi="XO Thames"/>
      <w:sz w:val="28"/>
    </w:rPr>
  </w:style>
  <w:style w:type="character" w:styleId="859" w:customStyle="1">
    <w:name w:val="Заголовок 5 Знак"/>
    <w:link w:val="828"/>
    <w:uiPriority w:val="0"/>
    <w:qFormat/>
    <w:rPr>
      <w:rFonts w:ascii="XO Thames" w:hAnsi="XO Thames"/>
      <w:b/>
      <w:sz w:val="22"/>
    </w:rPr>
  </w:style>
  <w:style w:type="character" w:styleId="860" w:customStyle="1">
    <w:name w:val="Заголовок 1 Знак"/>
    <w:link w:val="824"/>
    <w:uiPriority w:val="0"/>
    <w:qFormat/>
    <w:rPr>
      <w:rFonts w:ascii="XO Thames" w:hAnsi="XO Thames"/>
      <w:b/>
      <w:sz w:val="32"/>
    </w:rPr>
  </w:style>
  <w:style w:type="paragraph" w:styleId="861" w:customStyle="1">
    <w:name w:val="Footnote"/>
    <w:link w:val="862"/>
    <w:uiPriority w:val="0"/>
    <w:qFormat/>
    <w:pPr>
      <w:ind w:firstLine="851"/>
      <w:jc w:val="both"/>
      <w:spacing w:after="160" w:line="264" w:lineRule="auto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styleId="862" w:customStyle="1">
    <w:name w:val="Footnote1"/>
    <w:link w:val="861"/>
    <w:uiPriority w:val="0"/>
    <w:qFormat/>
    <w:rPr>
      <w:rFonts w:ascii="XO Thames" w:hAnsi="XO Thames"/>
      <w:sz w:val="22"/>
    </w:rPr>
  </w:style>
  <w:style w:type="character" w:styleId="863" w:customStyle="1">
    <w:name w:val="Оглавление 1 Знак"/>
    <w:link w:val="840"/>
    <w:uiPriority w:val="0"/>
    <w:qFormat/>
    <w:rPr>
      <w:rFonts w:ascii="XO Thames" w:hAnsi="XO Thames"/>
      <w:b/>
      <w:sz w:val="28"/>
    </w:rPr>
  </w:style>
  <w:style w:type="paragraph" w:styleId="864" w:customStyle="1">
    <w:name w:val="Header and Footer"/>
    <w:link w:val="865"/>
    <w:uiPriority w:val="0"/>
    <w:qFormat/>
    <w:pPr>
      <w:jc w:val="both"/>
      <w:spacing w:after="160" w:line="240" w:lineRule="auto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styleId="865" w:customStyle="1">
    <w:name w:val="Header and Footer1"/>
    <w:link w:val="864"/>
    <w:uiPriority w:val="0"/>
    <w:qFormat/>
    <w:rPr>
      <w:rFonts w:ascii="XO Thames" w:hAnsi="XO Thames"/>
      <w:sz w:val="20"/>
    </w:rPr>
  </w:style>
  <w:style w:type="character" w:styleId="866" w:customStyle="1">
    <w:name w:val="Оглавление 9 Знак"/>
    <w:link w:val="838"/>
    <w:uiPriority w:val="0"/>
    <w:qFormat/>
    <w:rPr>
      <w:rFonts w:ascii="XO Thames" w:hAnsi="XO Thames"/>
      <w:sz w:val="28"/>
    </w:rPr>
  </w:style>
  <w:style w:type="character" w:styleId="867" w:customStyle="1">
    <w:name w:val="Оглавление 8 Знак"/>
    <w:link w:val="836"/>
    <w:uiPriority w:val="0"/>
    <w:qFormat/>
    <w:rPr>
      <w:rFonts w:ascii="XO Thames" w:hAnsi="XO Thames"/>
      <w:sz w:val="28"/>
    </w:rPr>
  </w:style>
  <w:style w:type="character" w:styleId="868" w:customStyle="1">
    <w:name w:val="Оглавление 5 Знак"/>
    <w:link w:val="845"/>
    <w:uiPriority w:val="0"/>
    <w:qFormat/>
    <w:rPr>
      <w:rFonts w:ascii="XO Thames" w:hAnsi="XO Thames"/>
      <w:sz w:val="28"/>
    </w:rPr>
  </w:style>
  <w:style w:type="character" w:styleId="869" w:customStyle="1">
    <w:name w:val="Подзаголовок Знак"/>
    <w:link w:val="848"/>
    <w:uiPriority w:val="0"/>
    <w:qFormat/>
    <w:rPr>
      <w:rFonts w:ascii="XO Thames" w:hAnsi="XO Thames"/>
      <w:i/>
      <w:sz w:val="24"/>
    </w:rPr>
  </w:style>
  <w:style w:type="character" w:styleId="870" w:customStyle="1">
    <w:name w:val="Нижний колонтитул Знак"/>
    <w:basedOn w:val="850"/>
    <w:link w:val="847"/>
    <w:uiPriority w:val="0"/>
    <w:qFormat/>
    <w:rPr>
      <w:rFonts w:ascii="Times New Roman" w:hAnsi="Times New Roman"/>
      <w:sz w:val="28"/>
    </w:rPr>
  </w:style>
  <w:style w:type="character" w:styleId="871" w:customStyle="1">
    <w:name w:val="Название Знак"/>
    <w:link w:val="846"/>
    <w:uiPriority w:val="0"/>
    <w:qFormat/>
    <w:rPr>
      <w:rFonts w:ascii="XO Thames" w:hAnsi="XO Thames"/>
      <w:b/>
      <w:caps/>
      <w:sz w:val="40"/>
    </w:rPr>
  </w:style>
  <w:style w:type="character" w:styleId="872" w:customStyle="1">
    <w:name w:val="Текст выноски Знак"/>
    <w:basedOn w:val="850"/>
    <w:link w:val="834"/>
    <w:uiPriority w:val="0"/>
    <w:qFormat/>
    <w:rPr>
      <w:rFonts w:ascii="Segoe UI" w:hAnsi="Segoe UI"/>
      <w:sz w:val="18"/>
    </w:rPr>
  </w:style>
  <w:style w:type="character" w:styleId="873" w:customStyle="1">
    <w:name w:val="Заголовок 4 Знак"/>
    <w:link w:val="827"/>
    <w:uiPriority w:val="0"/>
    <w:qFormat/>
    <w:rPr>
      <w:rFonts w:ascii="XO Thames" w:hAnsi="XO Thames"/>
      <w:b/>
      <w:sz w:val="24"/>
    </w:rPr>
  </w:style>
  <w:style w:type="character" w:styleId="874" w:customStyle="1">
    <w:name w:val="Заголовок 2 Знак"/>
    <w:link w:val="825"/>
    <w:uiPriority w:val="0"/>
    <w:qFormat/>
    <w:rPr>
      <w:rFonts w:ascii="XO Thames" w:hAnsi="XO Thames"/>
      <w:b/>
      <w:sz w:val="28"/>
    </w:rPr>
  </w:style>
  <w:style w:type="table" w:styleId="875" w:customStyle="1">
    <w:name w:val="Сетка таблицы1"/>
    <w:basedOn w:val="830"/>
    <w:uiPriority w:val="0"/>
    <w:qFormat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6" w:customStyle="1">
    <w:name w:val="Сетка таблицы2"/>
    <w:basedOn w:val="830"/>
    <w:uiPriority w:val="0"/>
    <w:qFormat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87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krupkoav</cp:lastModifiedBy>
  <cp:revision>15</cp:revision>
  <dcterms:created xsi:type="dcterms:W3CDTF">2025-01-31T01:52:00Z</dcterms:created>
  <dcterms:modified xsi:type="dcterms:W3CDTF">2026-09-08T03:27:55Z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B3F0823A56E04CE4B624F53E95481F28_13</vt:lpwstr>
  </property>
</Properties>
</file>