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858"/>
        <w:ind w:left="0" w:right="0" w:firstLine="0"/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О внесении изменений в приложение 1 к постановлению Правительства Камчатского края от 27.12.2023 № 695-П «Об утверждении государственной программы Камчатского края «Развитие физической культуры и спорта в Камчатском крае»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pStyle w:val="858"/>
        <w:ind w:left="0" w:righ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858"/>
        <w:ind w:left="0" w:righ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858"/>
        <w:ind w:left="0" w:righ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858"/>
        <w:ind w:left="0" w:righ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858"/>
        <w:ind w:left="0" w:right="0" w:firstLine="709"/>
        <w:jc w:val="both"/>
        <w:spacing w:before="0" w:after="0" w:line="283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1. Внести в п</w:t>
      </w:r>
      <w:r>
        <w:rPr>
          <w:rFonts w:ascii="Times New Roman" w:hAnsi="Times New Roman"/>
          <w:sz w:val="28"/>
          <w:lang w:val="ru-RU"/>
        </w:rPr>
        <w:t xml:space="preserve">риложение 1 к постановлению Правительства Камчатского края от 27.12.2023 № 695-П «Об утверждении государственной программы Камчатского края «Развитие физической культуры и спорта в Камчатском крае»  изменения согласно приложению к настоящему постановлению.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2. Н</w:t>
      </w:r>
      <w:r>
        <w:rPr>
          <w:rFonts w:ascii="Times New Roman" w:hAnsi="Times New Roman"/>
          <w:color w:val="000000"/>
          <w:sz w:val="28"/>
          <w:highlight w:val="white"/>
          <w:lang w:val="ru-RU"/>
        </w:rPr>
        <w:t xml:space="preserve">астоящее постановление вступает в силу после дня его официального</w:t>
      </w:r>
      <w:r>
        <w:rPr>
          <w:rFonts w:ascii="Times New Roman" w:hAnsi="Times New Roman"/>
          <w:sz w:val="28"/>
          <w:highlight w:val="white"/>
          <w:lang w:val="ru-RU"/>
        </w:rPr>
        <w:t xml:space="preserve"> опубликования, за исключением части 2 приложения к настоящему постановлению</w:t>
      </w:r>
      <w:r>
        <w:rPr>
          <w:rFonts w:ascii="Times New Roman" w:hAnsi="Times New Roman"/>
          <w:sz w:val="28"/>
          <w:highlight w:val="white"/>
          <w:lang w:val="ru-RU"/>
        </w:rPr>
        <w:t xml:space="preserve">, которая в</w:t>
      </w:r>
      <w:r>
        <w:rPr>
          <w:rFonts w:ascii="Times New Roman" w:hAnsi="Times New Roman"/>
          <w:sz w:val="28"/>
          <w:highlight w:val="white"/>
          <w:lang w:val="ru-RU"/>
        </w:rPr>
        <w:t xml:space="preserve">ступает в силу с 1 января 2027 года</w:t>
      </w:r>
      <w:r>
        <w:rPr>
          <w:rFonts w:ascii="Times New Roman" w:hAnsi="Times New Roman"/>
          <w:sz w:val="28"/>
          <w:lang w:val="ru-RU"/>
        </w:rPr>
        <w:t xml:space="preserve">.  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1" w:name="_GoBack"/>
            <w:r/>
            <w:bookmarkEnd w:id="1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910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к постановлению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Правительства Камчатского края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EGDATESTAMP]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EGNUMSTAMP]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contextualSpacing/>
        <w:jc w:val="center"/>
        <w:spacing w:before="0" w:after="0" w:line="283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Изменения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/>
        <w:jc w:val="center"/>
        <w:spacing w:before="0" w:after="0" w:line="283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в приложение 1 к постановлению Правительства Камчатского края</w:t>
        <w:br/>
        <w:t xml:space="preserve"> от 27.12.2023 № 695-П «Об утверждении государственной программы Камчатского края «Развитие физической культуры и спорта </w:t>
        <w:br/>
        <w:t xml:space="preserve">в Камчатском крае»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/>
        <w:jc w:val="center"/>
        <w:spacing w:before="0" w:after="0" w:line="283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firstLine="709"/>
        <w:jc w:val="both"/>
        <w:spacing w:after="0" w:line="283" w:lineRule="atLeast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. В приложении 1 к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государственной программе Камчатского края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Развитие физической культуры и спорта в Камчатском крае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contextualSpacing/>
        <w:ind w:firstLine="709"/>
        <w:jc w:val="both"/>
        <w:spacing w:after="0" w:line="283" w:lineRule="atLeast"/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highlight w:val="white"/>
        </w:rPr>
        <w:t xml:space="preserve">1) часть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highlight w:val="white"/>
        </w:rPr>
        <w:t xml:space="preserve">2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изложить в следующей редакции: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 w:line="283" w:lineRule="atLeast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«2. Субсидия предоставляется в целях </w:t>
      </w:r>
      <w:r>
        <w:rPr>
          <w:rFonts w:ascii="Times New Roman" w:hAnsi="Times New Roman"/>
          <w:sz w:val="28"/>
        </w:rPr>
        <w:t xml:space="preserve">софинансирования</w:t>
      </w:r>
      <w:r>
        <w:rPr>
          <w:rFonts w:ascii="Times New Roman" w:hAnsi="Times New Roman"/>
          <w:sz w:val="28"/>
        </w:rPr>
        <w:t xml:space="preserve"> расходных обязательс</w:t>
      </w:r>
      <w:r>
        <w:rPr>
          <w:rFonts w:ascii="Times New Roman" w:hAnsi="Times New Roman"/>
          <w:sz w:val="28"/>
        </w:rPr>
        <w:t xml:space="preserve">тв, возникающих при выполнении полномочий органов местного самоуправления муниципального округа, района или городского округа в Камчатском крае (далее соответственно – субсидия, органы местного самоуправления, муниципальные образования) по вопросу местного</w:t>
      </w:r>
      <w:r>
        <w:rPr>
          <w:rFonts w:ascii="Times New Roman" w:hAnsi="Times New Roman"/>
          <w:sz w:val="28"/>
        </w:rPr>
        <w:t xml:space="preserve"> значения – обеспечение условий для развития на территории муниципального образования физической культуры и массового спорта по направлениям расходования: закупка и монтаж оборудования для 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  <w:highlight w:val="white"/>
        </w:rPr>
        <w:t xml:space="preserve">создания «умных» спортивных площадок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  <w:highlight w:val="white"/>
        </w:rPr>
        <w:t xml:space="preserve">универс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  <w:highlight w:val="white"/>
        </w:rPr>
        <w:t xml:space="preserve">альных спортивных площадок и модульных спортивных сооружений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направленных на поддержку движения по развитию инновационных видов спорта, сочетающих цифровые технологии и физическую активность, не являющ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иеся объектами капитального строительства.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auto"/>
          <w:sz w:val="28"/>
        </w:rPr>
      </w:r>
      <w:r>
        <w:rPr>
          <w:rFonts w:ascii="Times New Roman" w:hAnsi="Times New Roman" w:cs="Times New Roman"/>
          <w:color w:val="auto"/>
          <w:sz w:val="28"/>
        </w:rPr>
      </w:r>
    </w:p>
    <w:p>
      <w:pPr>
        <w:contextualSpacing/>
        <w:ind w:firstLine="709"/>
        <w:jc w:val="both"/>
        <w:spacing w:after="0" w:line="283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2) часть 4 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изложить в следующей редакции: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83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ритериями отбора муниципальных образований для предоставления субсидий являются отсутствие в году, предшествующем году предоставления субсидии, нарушений сроков реализации мероприятий по закупке и монтажу оборудования для создания «умной» спортивной площад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ки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реализация которой осуществлялась с использованием средств краевого бюджета по соглашениям </w:t>
        <w:br/>
        <w:t xml:space="preserve">о предоставлении субсидии, заключенным в предыдущем году (за исключением случаев нарушения сроков закупки и монтажа оборудования для создания «умной» спортивной п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ощадки в связи с документально подтвержденным наступлением обстоятельств непреодолимой силы, препятствующих исполнению соответствующих обязательств, или обращения о переносе сроков закупки и монтажа оборудования), а также наличие заявки от муниципального 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бразования, представленной в Министерство в свободной форме не позднее </w:t>
        <w:br/>
        <w:t xml:space="preserve">30 июня года, предшествующего году получения субсидии, включающей: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before="0" w:line="283" w:lineRule="atLeast"/>
        <w:rPr>
          <w:rFonts w:ascii="Times New Roman" w:hAnsi="Times New Roman" w:eastAsia="Times New Roman" w:cs="Times New Roman"/>
          <w:color w:val="080808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1) 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в отношении «умной» спортивной площадки в виде универсальной спортивной площадки следующие документы: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</w:r>
    </w:p>
    <w:p>
      <w:pPr>
        <w:contextualSpacing/>
        <w:ind w:left="0" w:right="0" w:firstLine="708"/>
        <w:jc w:val="both"/>
        <w:spacing w:before="0" w:line="283" w:lineRule="atLeast"/>
        <w:rPr>
          <w:rFonts w:ascii="Times New Roman" w:hAnsi="Times New Roman" w:eastAsia="Times New Roman" w:cs="Times New Roman"/>
          <w:color w:val="080808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а) письменное обязательство органа местного самоуправления о реализации соответствующих мероприятий в сроки, установленные соглашением о предоставлении су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бсидии из краевого бюджета местному бюджету, заключенным между Министерством и главой муниципального образования (далее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соглашение о предоставлении субсидии);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</w:r>
    </w:p>
    <w:p>
      <w:pPr>
        <w:contextualSpacing/>
        <w:ind w:left="0" w:right="0" w:firstLine="708"/>
        <w:jc w:val="both"/>
        <w:spacing w:before="0" w:line="283" w:lineRule="atLeast"/>
        <w:rPr>
          <w:rFonts w:ascii="Times New Roman" w:hAnsi="Times New Roman" w:eastAsia="Times New Roman" w:cs="Times New Roman"/>
          <w:color w:val="080808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б) информацию о земельном участке, на котором возможно разместить «умную» спортивную площадку в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 виде универсальной спортивной площадки, с представлением сведений, содержащихся в Едином государственном реестре недвижимости, об основных характеристиках указанного земельного участка и зарегистрированных правах на такой земельный участок;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</w:r>
    </w:p>
    <w:p>
      <w:pPr>
        <w:contextualSpacing/>
        <w:ind w:left="0" w:right="0" w:firstLine="708"/>
        <w:jc w:val="both"/>
        <w:spacing w:before="0" w:line="283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в) дорожную ка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рту по реализации этапов мероприятий по закупке и монтажу оборудования для создания «умной» спортивной площадки в виде универсальной спортивной площадки, информацию о заказчике;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0" w:right="0" w:firstLine="708"/>
        <w:jc w:val="both"/>
        <w:spacing w:after="0" w:line="283" w:lineRule="atLeast"/>
        <w:rPr>
          <w:rFonts w:ascii="Times New Roman" w:hAnsi="Times New Roman" w:eastAsia="Times New Roman" w:cs="Times New Roman"/>
          <w:color w:val="080808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2) 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в отношении «умной» спортивной площадки в виде модульного спортивного сооружения 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следующие документы: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</w:r>
    </w:p>
    <w:p>
      <w:pPr>
        <w:contextualSpacing/>
        <w:ind w:left="0" w:right="0" w:firstLine="708"/>
        <w:jc w:val="both"/>
        <w:spacing w:after="0" w:line="283" w:lineRule="atLeast"/>
        <w:rPr>
          <w:rFonts w:ascii="Times New Roman" w:hAnsi="Times New Roman" w:eastAsia="Times New Roman" w:cs="Times New Roman"/>
          <w:color w:val="080808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а) письменное обязательство органа местного самоуправления о реализации соответствующих мероприятий в сроки, установленные соглашением о предоставлении субсидии;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</w:r>
    </w:p>
    <w:p>
      <w:pPr>
        <w:contextualSpacing/>
        <w:ind w:left="0" w:right="0" w:firstLine="708"/>
        <w:jc w:val="both"/>
        <w:spacing w:after="0" w:line="283" w:lineRule="atLeast"/>
        <w:rPr>
          <w:rFonts w:ascii="Times New Roman" w:hAnsi="Times New Roman" w:eastAsia="Times New Roman" w:cs="Times New Roman"/>
          <w:color w:val="080808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б) информаци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ю о земельном участке, на котором возможно разместить «умную» спортивную площадку в виде модульного спортивного сооружения, с представлением сведений, содержащихся в Едином государственном реестре недвижимости, об основных характеристиках указанного земель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ного участка и зарегистрированных правах на такой земельный участок;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</w:r>
    </w:p>
    <w:p>
      <w:pPr>
        <w:contextualSpacing/>
        <w:ind w:left="0" w:right="0" w:firstLine="708"/>
        <w:jc w:val="both"/>
        <w:spacing w:after="0" w:line="283" w:lineRule="atLeast"/>
        <w:rPr>
          <w:rFonts w:ascii="Times New Roman" w:hAnsi="Times New Roman" w:eastAsia="Times New Roman" w:cs="Times New Roman"/>
          <w:color w:val="080808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в) дорожную карту по реализации этапов мероприятий по закупке и монтажу оборудования для создания «умной» спортивной площадки в виде модульного спортивного сооружения, информацию о заказч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ике;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</w:r>
    </w:p>
    <w:p>
      <w:pPr>
        <w:ind w:left="0" w:right="0" w:firstLine="708"/>
        <w:jc w:val="both"/>
        <w:spacing w:after="0" w:line="283" w:lineRule="atLeast"/>
        <w:rPr>
          <w:rFonts w:ascii="Times New Roman" w:hAnsi="Times New Roman" w:eastAsia="Times New Roman" w:cs="Times New Roman"/>
          <w:color w:val="080808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г) технические условия либо документы, подтверждающие возможность технологического присоединения размещаемой на земельном участке «умной» спортивной площадки в виде модульного спортивного сооружения, протокол определения начальной (максимальной) цены 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контракта на подготовку земельного участка для размещения «умной» спортивной площадки в виде модульного спортивного сооружения, протокол определения начальной (максимальной) цены контракта на закупку и монтаж оборудования для создания «умной» спортивной пл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ощадки в виде модульного спортивного сооружения;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</w:r>
    </w:p>
    <w:p>
      <w:pPr>
        <w:ind w:left="0" w:right="0" w:firstLine="708"/>
        <w:jc w:val="both"/>
        <w:spacing w:after="0" w:line="283" w:lineRule="atLeast"/>
        <w:rPr>
          <w:rFonts w:ascii="Times New Roman" w:hAnsi="Times New Roman" w:eastAsia="Times New Roman" w:cs="Times New Roman"/>
          <w:color w:val="080808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д) гарантийное письмо за подписью главы муниципального образования с обязательством предусмотреть в местном бюджете средства, обеспечивающие уровень софинансирования расходных обязательств муниципального обр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азования из краевого бюджета, возникающих при реализации мероприятий по созданию «умной» спортивной площадки в виде модульного спортивного сооружения, о подготовке земельного участка для осуществления монтажных работ до 15 ноября года, предшествующего году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 предоставления субсидии;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</w:r>
    </w:p>
    <w:p>
      <w:pPr>
        <w:ind w:left="0" w:right="0" w:firstLine="708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е) информацию о размещении «умной» спортивной площадки в виде модульного спортивного сооружения в населенном пункте численностью не менее 30000 человек либо гарантийное письмо за подписью главы муниципального образования о подвозе</w:t>
      </w:r>
      <w:r>
        <w:rPr>
          <w:rFonts w:ascii="Times New Roman" w:hAnsi="Times New Roman" w:eastAsia="Times New Roman" w:cs="Times New Roman"/>
          <w:color w:val="080808"/>
          <w:sz w:val="28"/>
          <w:szCs w:val="28"/>
        </w:rPr>
        <w:t xml:space="preserve"> граждан из соседних населенных пунктов для занятий на «умной» спортивной площадке в виде модульного спортивного сооружения в случае, если в населенном пункте проживает менее 30000 жителей.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83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3)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абзац 5 части 8 изложить в следующей редакции: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8"/>
        <w:jc w:val="both"/>
        <w:spacing w:line="283" w:lineRule="atLeast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Sбаза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</w:rPr>
        <w:t xml:space="preserve">i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–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расчетная стоимость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универсальных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 спортивных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площадок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равная 12 млн рублей (с 2027 года равная 22 млн рублей, с 2028 года равная </w:t>
        <w:br/>
        <w:t xml:space="preserve">26 млн рублей), или расчетная стоимость модульного спортивного сооружения, направленного на поддержку движения по развитию инновационных видов спорта, сочетающих цифровые техно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логии и физическую активность, равная </w:t>
        <w:br/>
        <w:t xml:space="preserve">95 млн рублей. Перечень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комплектов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 оборудования для создания «умной» спортивной площадки утверждается Министерством спорта Российской Федерации;».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right="0" w:firstLine="708"/>
        <w:jc w:val="both"/>
        <w:spacing w:line="283" w:lineRule="atLeast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В приложении 2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к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государственной программе Камчатского края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Развитие физической культуры и спорта в Камчатском крае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0"/>
        <w:jc w:val="both"/>
        <w:spacing w:line="283" w:lineRule="atLeast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ab/>
        <w:t xml:space="preserve">1)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наименовании слова «реализацию отдельных мероприятий» заменить словами «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государственную поддержку организаций, входящих в систему спортивной подготовки,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right="0" w:firstLine="0"/>
        <w:jc w:val="both"/>
        <w:spacing w:line="283" w:lineRule="atLeast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ab/>
        <w:t xml:space="preserve">2) часть 1 изложить в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highlight w:val="white"/>
        </w:rPr>
        <w:t xml:space="preserve">следующей 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редакции: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right="0" w:firstLine="708"/>
        <w:jc w:val="both"/>
        <w:spacing w:before="0" w:beforeAutospacing="0" w:after="0" w:afterAutospacing="0" w:line="283" w:lineRule="atLeast"/>
        <w:shd w:val="clear" w:color="ffffff" w:themeColor="background1" w:fill="ffffff" w:themeFill="background1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1. </w:t>
      </w:r>
      <w:bookmarkStart w:id="0" w:name="undefined"/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Настоящий Порядок разработан в соответствии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 с </w:t>
      </w:r>
      <w:hyperlink r:id="rId13" w:tooltip="https://internet.garant.ru/document/redirect/12112604/1393" w:history="1"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  <w:highlight w:val="white"/>
          </w:rPr>
          <w:t xml:space="preserve">пунктом 3 статьи 139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 Бюджетного кодекса Российской Федерации, </w:t>
      </w:r>
      <w:hyperlink r:id="rId14" w:tooltip="https://internet.garant.ru/document/redirect/73362253/1000" w:history="1"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  <w:highlight w:val="white"/>
          </w:rPr>
          <w:t xml:space="preserve">Правилами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 формирования, предоставления и распределения субсидий из краевого бюджета бюджетам муниципальных образований в Камчатском крае, утвержденными </w:t>
      </w:r>
      <w:hyperlink r:id="rId15" w:tooltip="https://internet.garant.ru/document/redirect/73362253/0" w:history="1"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  <w:highlight w:val="white"/>
          </w:rPr>
          <w:t xml:space="preserve">постановлением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 Правительства Камчатского края от 27.12.2019 № 566-П</w:t>
        <w:br/>
        <w:t xml:space="preserve">(далее – Правила), и регулирует вопросы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предоставления и распределения субсидий из краевого бюджета, в том чи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сле за счет средств федерального бюджета, предоставляемых в соответствии 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приложением № 2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к государственной программе Российской Федерации «Развитие физической культуры и спорта», утвержденной постановлением Правительства Российской Федерации от 30.09.20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21 № 1661 (далее – </w:t>
      </w:r>
      <w:hyperlink r:id="rId16" w:tooltip="https://internet.garant.ru/#/document/402891691/entry/1000" w:anchor="/document/402891691/entry/1000" w:history="1">
        <w:r>
          <w:rPr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  <w:highlight w:val="white"/>
          </w:rPr>
          <w:t xml:space="preserve">государственная программа 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Российск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ой Федерации «Развитие физической культуры и спорта»), </w:t>
      </w:r>
      <w:bookmarkEnd w:id="0"/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местным бюджетам на реализацию муниципальных программ, направленных на достижение целей, соответствующих комплексу процессных мероприятий «Развитие видов спорта, создание условий для подготовки спортивного резерва и спортсменов высокого класса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» </w:t>
      </w:r>
      <w:r>
        <w:rPr>
          <w:rStyle w:val="913"/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государственной программы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 Камчатского края «Развитие физической культуры и спорта в Камчатском крае», утвержденной постановлением Правительства Камчатского края от 27.12.2023 № 695-П </w:t>
        <w:br/>
        <w:t xml:space="preserve">(далее – су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бсидия), на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государственную поддержку организаций, входящих в систему спортивной подгото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вки,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по направлениям расходования, связных с: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58"/>
        <w:contextualSpacing/>
        <w:ind w:firstLine="720"/>
        <w:jc w:val="both"/>
        <w:spacing w:before="0" w:beforeAutospacing="0" w:after="0" w:afterAutospacing="0" w:line="283" w:lineRule="atLeast"/>
        <w:shd w:val="clear" w:color="ffffff" w:themeColor="background1" w:fill="ffffff" w:themeFill="background1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1)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 приобретением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организациями, реализующими дополнительные образовательные программы спортивной подготовки, отечественного спортивного оборудования, инвентаря и экипиров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ки по базовым олимпийским,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  <w:lang w:val="ru-RU"/>
        </w:rPr>
        <w:t xml:space="preserve">паралимпийским и сурдлимпийским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видам спорта (далее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базовые 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иды спорта). </w:t>
      </w:r>
      <w:r>
        <w:rPr>
          <w:rFonts w:ascii="Times New Roman" w:hAnsi="Times New Roman" w:eastAsia="Times New Roman" w:cs="Times New Roman"/>
          <w:b w:val="0"/>
          <w:bCs w:val="0"/>
          <w:strike w:val="0"/>
          <w:color w:val="000000" w:themeColor="text1"/>
          <w:sz w:val="28"/>
          <w:szCs w:val="28"/>
          <w:highlight w:val="white"/>
        </w:rPr>
        <w:t xml:space="preserve">Объем </w:t>
      </w:r>
      <w:r>
        <w:rPr>
          <w:rFonts w:ascii="Times New Roman" w:hAnsi="Times New Roman" w:eastAsia="Times New Roman" w:cs="Times New Roman"/>
          <w:b w:val="0"/>
          <w:bCs w:val="0"/>
          <w:strike w:val="0"/>
          <w:color w:val="000000" w:themeColor="text1"/>
          <w:sz w:val="28"/>
          <w:szCs w:val="28"/>
          <w:highlight w:val="white"/>
        </w:rPr>
        <w:t xml:space="preserve">софинансирования</w:t>
      </w:r>
      <w:r>
        <w:rPr>
          <w:rFonts w:ascii="Times New Roman" w:hAnsi="Times New Roman" w:eastAsia="Times New Roman" w:cs="Times New Roman"/>
          <w:b w:val="0"/>
          <w:bCs w:val="0"/>
          <w:strike w:val="0"/>
          <w:color w:val="000000" w:themeColor="text1"/>
          <w:sz w:val="28"/>
          <w:szCs w:val="28"/>
          <w:highlight w:val="white"/>
        </w:rPr>
        <w:t xml:space="preserve"> из краевого бюджета указанного расходного обязательства муниципальным образованием в Камчатском крае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должен составлять не менее 10 процентов </w:t>
      </w:r>
      <w:r>
        <w:rPr>
          <w:rFonts w:ascii="Times New Roman" w:hAnsi="Times New Roman" w:eastAsia="Times New Roman" w:cs="Times New Roman"/>
          <w:b w:val="0"/>
          <w:bCs w:val="0"/>
          <w:strike w:val="0"/>
          <w:color w:val="000000" w:themeColor="text1"/>
          <w:sz w:val="28"/>
          <w:szCs w:val="28"/>
          <w:highlight w:val="white"/>
        </w:rPr>
        <w:t xml:space="preserve">общего размера субсидий;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58"/>
        <w:contextualSpacing/>
        <w:ind w:firstLine="720"/>
        <w:jc w:val="both"/>
        <w:spacing w:before="0" w:beforeAutospacing="0" w:after="0" w:afterAutospacing="0" w:line="283" w:lineRule="atLeast"/>
        <w:shd w:val="clear" w:color="ffffff" w:themeColor="background1" w:fill="ffffff" w:themeFill="background1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bookmarkStart w:id="0" w:name="undefined"/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2) с повышением квалификации и переподготовкой специалистов в сфере физической культуры и спорта;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58"/>
        <w:contextualSpacing/>
        <w:ind w:firstLine="720"/>
        <w:jc w:val="both"/>
        <w:spacing w:before="0" w:beforeAutospacing="0" w:after="0" w:afterAutospacing="0" w:line="283" w:lineRule="atLeast"/>
        <w:shd w:val="clear" w:color="ffffff" w:themeColor="background1" w:fill="ffffff" w:themeFill="background1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bookmarkEnd w:id="0"/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3) с приобретением автомобилей, не являющихся легковыми, массой более 3500 кг и с числом посадочных мест (без учета водительского места) более 8;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58"/>
        <w:contextualSpacing/>
        <w:ind w:firstLine="720"/>
        <w:jc w:val="both"/>
        <w:spacing w:before="0" w:beforeAutospacing="0" w:after="0" w:afterAutospacing="0" w:line="283" w:lineRule="atLeast"/>
        <w:shd w:val="clear" w:color="ffffff" w:themeColor="background1" w:fill="ffffff" w:themeFill="background1"/>
        <w:rPr>
          <w:rFonts w:ascii="Times New Roman" w:hAnsi="Times New Roman" w:cs="Times New Roman"/>
          <w:b w:val="0"/>
          <w:bCs w:val="0"/>
          <w:strike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4) с осуществлением в соответствии с </w:t>
      </w:r>
      <w:hyperlink r:id="rId17" w:tooltip="https://internet.garant.ru/#/document/405941895/entry/1000" w:history="1">
        <w:r>
          <w:rPr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  <w:szCs w:val="28"/>
            <w:highlight w:val="white"/>
            <w:lang w:val="ru-RU"/>
          </w:rPr>
          <w:t xml:space="preserve">порядком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, утвержденным Министерством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спорта Российской Федерации, поддержки одаренных спортсменов, обучающихся по дополнительным 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бразовательным программам спортивной подготовки по базовым видам спорта в организациях, реализующих дополнительные образовательные программы спортивной подгото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вки. </w:t>
      </w:r>
      <w:r>
        <w:rPr>
          <w:rFonts w:ascii="Times New Roman" w:hAnsi="Times New Roman" w:eastAsia="Times New Roman" w:cs="Times New Roman"/>
          <w:b w:val="0"/>
          <w:bCs w:val="0"/>
          <w:strike w:val="0"/>
          <w:color w:val="000000" w:themeColor="text1"/>
          <w:sz w:val="28"/>
          <w:szCs w:val="28"/>
          <w:highlight w:val="white"/>
        </w:rPr>
        <w:t xml:space="preserve">Объем </w:t>
      </w:r>
      <w:r>
        <w:rPr>
          <w:rFonts w:ascii="Times New Roman" w:hAnsi="Times New Roman" w:eastAsia="Times New Roman" w:cs="Times New Roman"/>
          <w:b w:val="0"/>
          <w:bCs w:val="0"/>
          <w:strike w:val="0"/>
          <w:color w:val="000000" w:themeColor="text1"/>
          <w:sz w:val="28"/>
          <w:szCs w:val="28"/>
          <w:highlight w:val="white"/>
        </w:rPr>
        <w:t xml:space="preserve">софинансирования</w:t>
      </w:r>
      <w:r>
        <w:rPr>
          <w:rFonts w:ascii="Times New Roman" w:hAnsi="Times New Roman" w:eastAsia="Times New Roman" w:cs="Times New Roman"/>
          <w:b w:val="0"/>
          <w:bCs w:val="0"/>
          <w:strike w:val="0"/>
          <w:color w:val="000000" w:themeColor="text1"/>
          <w:sz w:val="28"/>
          <w:szCs w:val="28"/>
          <w:highlight w:val="white"/>
        </w:rPr>
        <w:t xml:space="preserve"> из краевого бюджета указанного расх</w:t>
      </w:r>
      <w:r>
        <w:rPr>
          <w:rFonts w:ascii="Times New Roman" w:hAnsi="Times New Roman" w:eastAsia="Times New Roman" w:cs="Times New Roman"/>
          <w:b w:val="0"/>
          <w:bCs w:val="0"/>
          <w:strike w:val="0"/>
          <w:color w:val="000000" w:themeColor="text1"/>
          <w:sz w:val="28"/>
          <w:highlight w:val="white"/>
        </w:rPr>
        <w:t xml:space="preserve">одного обязательства муниципальным образованием в Камчатском крае не может превышать </w:t>
        <w:br/>
        <w:t xml:space="preserve">20 процентов общего размера субсидий;</w:t>
      </w:r>
      <w:r>
        <w:rPr>
          <w:rFonts w:ascii="Times New Roman" w:hAnsi="Times New Roman" w:cs="Times New Roman"/>
          <w:b w:val="0"/>
          <w:bCs w:val="0"/>
          <w:strike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trike w:val="0"/>
          <w:color w:val="000000" w:themeColor="text1"/>
          <w:sz w:val="28"/>
          <w:szCs w:val="28"/>
          <w:highlight w:val="white"/>
        </w:rPr>
      </w:r>
    </w:p>
    <w:p>
      <w:pPr>
        <w:pStyle w:val="914"/>
        <w:contextualSpacing/>
        <w:ind w:left="0" w:right="0" w:firstLine="709"/>
        <w:jc w:val="both"/>
        <w:spacing w:before="0" w:beforeAutospacing="0" w:after="0" w:afterAutospacing="0" w:line="283" w:lineRule="atLeast"/>
        <w:shd w:val="clear" w:color="ffffff" w:themeColor="background1" w:fill="ffffff" w:themeFill="background1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highlight w:val="white"/>
          <w:shd w:val="clear" w:color="auto" w:fill="f0f0f0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white"/>
          <w:shd w:val="clear" w:color="auto" w:fill="f0f0f0"/>
          <w:lang w:val="ru-RU"/>
        </w:rPr>
        <w:t xml:space="preserve">5) с проездом спортсменов и тренеров-преподавателей</w:t>
      </w: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white"/>
          <w:shd w:val="clear" w:color="auto" w:fill="f0f0f0"/>
          <w:lang w:val="ru-RU"/>
        </w:rPr>
        <w:t xml:space="preserve">, тренеров-преподавателей по адаптивной физической культуре и спорту, тренеров </w:t>
      </w: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white"/>
          <w:shd w:val="clear" w:color="ffffff" w:themeColor="background1" w:fill="ffffff" w:themeFill="background1"/>
          <w:lang w:val="ru-RU"/>
        </w:rPr>
        <w:t xml:space="preserve">до мест проведения II и III этапов Всероссийской спартакиады учащихся (юношеской), Всероссийской спартакиады молодежи (юниорской), Всероссийской </w:t>
      </w: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white"/>
          <w:shd w:val="clear" w:color="auto" w:fill="f0f0f0"/>
          <w:lang w:val="ru-RU"/>
        </w:rPr>
        <w:t xml:space="preserve">Спа</w:t>
      </w: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white"/>
          <w:shd w:val="clear" w:color="auto" w:fill="f0f0f0"/>
          <w:lang w:val="ru-RU"/>
        </w:rPr>
        <w:t xml:space="preserve">ртакиады инвалидов и обратно;</w:t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highlight w:val="white"/>
          <w:shd w:val="clear" w:color="auto" w:fill="f0f0f0"/>
        </w:rPr>
      </w:r>
      <w:r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highlight w:val="white"/>
          <w:shd w:val="clear" w:color="auto" w:fill="f0f0f0"/>
        </w:rPr>
      </w:r>
    </w:p>
    <w:p>
      <w:pPr>
        <w:pStyle w:val="914"/>
        <w:contextualSpacing/>
        <w:ind w:left="0" w:right="0" w:firstLine="709"/>
        <w:jc w:val="both"/>
        <w:spacing w:before="0" w:beforeAutospacing="0" w:after="0" w:afterAutospacing="0" w:line="283" w:lineRule="atLeast"/>
        <w:shd w:val="clear" w:color="ffffff" w:themeColor="background1" w:fill="ffffff" w:themeFill="background1"/>
        <w:rPr>
          <w:rFonts w:ascii="Times New Roman" w:hAnsi="Times New Roman" w:cs="Times New Roman"/>
          <w:b w:val="0"/>
          <w:bCs w:val="0"/>
          <w:i w:val="0"/>
          <w:iCs w:val="0"/>
          <w:strike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white"/>
          <w:lang w:val="ru-RU"/>
        </w:rPr>
        <w:t xml:space="preserve">6</w:t>
      </w: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white"/>
          <w:lang w:val="ru-RU"/>
        </w:rPr>
        <w:t xml:space="preserve">) с проездом спортсменов, тренеров, тренеров-преподавателей, тренеров-преподавателей по адапти</w:t>
      </w: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white"/>
          <w:lang w:val="ru-RU"/>
        </w:rPr>
        <w:t xml:space="preserve">вной физической культуре и спорту до мест проведения официальных спортивных мероприятий по базовым видам спорта и обратно, проживанием и питанием спортсменов, тренеров, тренеров-преподавателей, тренеров-преподавателей по адаптивной физической культуре и сп</w:t>
      </w:r>
      <w:r>
        <w:rPr>
          <w:rFonts w:ascii="Times New Roman" w:hAnsi="Times New Roman" w:eastAsia="Times New Roman" w:cs="Times New Roman"/>
          <w:b w:val="0"/>
          <w:bCs w:val="0"/>
          <w:i w:val="0"/>
          <w:color w:val="000000" w:themeColor="text1"/>
          <w:sz w:val="28"/>
          <w:szCs w:val="28"/>
          <w:highlight w:val="white"/>
          <w:lang w:val="ru-RU"/>
        </w:rPr>
        <w:t xml:space="preserve">орту в период проведения официальных спортивных мероприятий по базовым видам спорта, доставкой необходимого спортивного оборудования, инвентаря и арендой спортивного сооружения в период проведения официальных спортивных мероприятий по базовым видам спорта.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 w:themeColor="text1"/>
          <w:sz w:val="28"/>
          <w:highlight w:val="white"/>
        </w:rPr>
        <w:t xml:space="preserve">Объем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 w:themeColor="text1"/>
          <w:sz w:val="28"/>
          <w:highlight w:val="white"/>
        </w:rPr>
        <w:t xml:space="preserve">софинансирования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 w:themeColor="text1"/>
          <w:sz w:val="28"/>
          <w:highlight w:val="white"/>
        </w:rPr>
        <w:t xml:space="preserve"> из краевого бюджета указанного расходного обязательства муниципальным образованием в Камчатском крае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должен составлять не менее 60 процентов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 w:themeColor="text1"/>
          <w:sz w:val="28"/>
          <w:highlight w:val="white"/>
        </w:rPr>
        <w:t xml:space="preserve">общего размера субсидий;»;</w:t>
      </w:r>
      <w:r>
        <w:rPr>
          <w:rFonts w:ascii="Times New Roman" w:hAnsi="Times New Roman" w:cs="Times New Roman"/>
          <w:b w:val="0"/>
          <w:bCs w:val="0"/>
          <w:i w:val="0"/>
          <w:iCs w:val="0"/>
          <w:strike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trike w:val="0"/>
          <w:color w:val="000000" w:themeColor="text1"/>
          <w:sz w:val="28"/>
          <w:szCs w:val="28"/>
          <w:highlight w:val="white"/>
        </w:rPr>
      </w:r>
    </w:p>
    <w:p>
      <w:pPr>
        <w:pStyle w:val="914"/>
        <w:contextualSpacing/>
        <w:ind w:left="0" w:right="0" w:firstLine="709"/>
        <w:jc w:val="both"/>
        <w:spacing w:before="75" w:after="0" w:line="283" w:lineRule="atLeast"/>
        <w:rPr>
          <w:rFonts w:ascii="Times New Roman" w:hAnsi="Times New Roman" w:cs="Times New Roman"/>
          <w:bCs w:val="0"/>
          <w:i w:val="0"/>
          <w:strike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trike w:val="0"/>
          <w:color w:val="000000" w:themeColor="text1"/>
          <w:sz w:val="28"/>
          <w:highlight w:val="none"/>
        </w:rPr>
        <w:t xml:space="preserve">3)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</w:rPr>
        <w:t xml:space="preserve">в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</w:rPr>
        <w:t xml:space="preserve">част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</w:rPr>
        <w:t xml:space="preserve">и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</w:rPr>
        <w:t xml:space="preserve"> 1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</w:rPr>
        <w:t xml:space="preserve">¹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</w:rPr>
        <w:t xml:space="preserve">слова </w:t>
      </w:r>
      <w:r>
        <w:rPr>
          <w:rFonts w:ascii="Times New Roman" w:hAnsi="Times New Roman" w:eastAsia="Times New Roman" w:cs="Times New Roman"/>
          <w:i w:val="0"/>
          <w:iCs w:val="0"/>
          <w:strike w:val="0"/>
          <w:color w:val="000000" w:themeColor="text1"/>
          <w:sz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i w:val="0"/>
          <w:iCs w:val="0"/>
          <w:strike w:val="0"/>
          <w:color w:val="000000" w:themeColor="text1"/>
          <w:sz w:val="28"/>
          <w:highlight w:val="white"/>
        </w:rPr>
        <w:t xml:space="preserve">пунктах 1 и 2</w:t>
      </w:r>
      <w:r>
        <w:rPr>
          <w:rFonts w:ascii="Times New Roman" w:hAnsi="Times New Roman" w:eastAsia="Times New Roman" w:cs="Times New Roman"/>
          <w:i w:val="0"/>
          <w:iCs w:val="0"/>
          <w:strike w:val="0"/>
          <w:color w:val="000000" w:themeColor="text1"/>
          <w:sz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i w:val="0"/>
          <w:iCs w:val="0"/>
          <w:strike w:val="0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strike w:val="0"/>
          <w:color w:val="000000" w:themeColor="text1"/>
          <w:sz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i w:val="0"/>
          <w:iCs w:val="0"/>
          <w:strike w:val="0"/>
          <w:color w:val="000000" w:themeColor="text1"/>
          <w:sz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i w:val="0"/>
          <w:iCs w:val="0"/>
          <w:strike w:val="0"/>
          <w:color w:val="000000" w:themeColor="text1"/>
          <w:sz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i w:val="0"/>
          <w:iCs w:val="0"/>
          <w:strike w:val="0"/>
          <w:color w:val="000000" w:themeColor="text1"/>
          <w:sz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i w:val="0"/>
          <w:iCs w:val="0"/>
          <w:strike w:val="0"/>
          <w:color w:val="000000" w:themeColor="text1"/>
          <w:sz w:val="28"/>
          <w:highlight w:val="white"/>
        </w:rPr>
        <w:t xml:space="preserve">ю</w:t>
      </w:r>
      <w:r>
        <w:rPr>
          <w:rFonts w:ascii="Times New Roman" w:hAnsi="Times New Roman" w:eastAsia="Times New Roman" w:cs="Times New Roman"/>
          <w:i w:val="0"/>
          <w:iCs w:val="0"/>
          <w:strike w:val="0"/>
          <w:color w:val="000000" w:themeColor="text1"/>
          <w:sz w:val="28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i w:val="0"/>
          <w:iCs w:val="0"/>
          <w:strike w:val="0"/>
          <w:color w:val="000000" w:themeColor="text1"/>
          <w:sz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i w:val="0"/>
          <w:iCs w:val="0"/>
          <w:strike w:val="0"/>
          <w:color w:val="000000" w:themeColor="text1"/>
          <w:sz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i w:val="0"/>
          <w:iCs w:val="0"/>
          <w:strike w:val="0"/>
          <w:color w:val="000000" w:themeColor="text1"/>
          <w:sz w:val="28"/>
          <w:highlight w:val="white"/>
        </w:rPr>
        <w:t xml:space="preserve">ь</w:t>
      </w:r>
      <w:r>
        <w:rPr>
          <w:rFonts w:ascii="Times New Roman" w:hAnsi="Times New Roman" w:eastAsia="Times New Roman" w:cs="Times New Roman"/>
          <w:i w:val="0"/>
          <w:iCs w:val="0"/>
          <w:strike w:val="0"/>
          <w:color w:val="000000" w:themeColor="text1"/>
          <w:sz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trike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strike w:val="0"/>
          <w:color w:val="000000" w:themeColor="text1"/>
          <w:sz w:val="28"/>
          <w:szCs w:val="28"/>
          <w:highlight w:val="none"/>
        </w:rPr>
      </w:r>
    </w:p>
    <w:p>
      <w:pPr>
        <w:pStyle w:val="914"/>
        <w:contextualSpacing/>
        <w:ind w:left="0" w:right="0" w:firstLine="709"/>
        <w:jc w:val="both"/>
        <w:spacing w:before="75" w:after="0" w:line="283" w:lineRule="atLeast"/>
        <w:rPr>
          <w:rFonts w:ascii="Times New Roman" w:hAnsi="Times New Roman" w:cs="Times New Roman"/>
          <w:bCs w:val="0"/>
          <w:i w:val="0"/>
          <w:strike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trike w:val="0"/>
          <w:color w:val="000000" w:themeColor="text1"/>
          <w:sz w:val="28"/>
          <w:highlight w:val="none"/>
        </w:rPr>
        <w:t xml:space="preserve">4)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highlight w:val="white"/>
        </w:rPr>
        <w:t xml:space="preserve">часть 3 изложить в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highlight w:val="white"/>
        </w:rPr>
        <w:t xml:space="preserve">следующей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highlight w:val="white"/>
        </w:rPr>
        <w:t xml:space="preserve">редакции: </w:t>
      </w:r>
      <w:r>
        <w:rPr>
          <w:rFonts w:ascii="Times New Roman" w:hAnsi="Times New Roman" w:cs="Times New Roman"/>
          <w:bCs w:val="0"/>
          <w:i w:val="0"/>
          <w:strike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strike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708"/>
        <w:jc w:val="both"/>
        <w:spacing w:after="0" w:line="283" w:lineRule="atLeast"/>
        <w:rPr>
          <w:rFonts w:ascii="Times New Roman" w:hAnsi="Times New Roman" w:cs="Times New Roman"/>
          <w:color w:val="000000" w:themeColor="text1"/>
          <w:sz w:val="28"/>
          <w:highlight w:val="white"/>
        </w:rPr>
      </w:pPr>
      <w:r>
        <w:rPr>
          <w:rFonts w:ascii="Times New Roman" w:hAnsi="Times New Roman" w:eastAsia="Times New Roman" w:cs="Times New Roman"/>
          <w:i w:val="0"/>
          <w:iCs w:val="0"/>
          <w:strike w:val="0"/>
          <w:color w:val="000000" w:themeColor="text1"/>
          <w:sz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3. Критериями отбора муниципальных образований для предоставления субсиди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highlight w:val="white"/>
        </w:rPr>
        <w:t xml:space="preserve">й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highlight w:val="white"/>
        </w:rPr>
        <w:t xml:space="preserve">являются</w:t>
      </w:r>
      <w:bookmarkEnd w:id="0"/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highlight w:val="white"/>
        </w:rPr>
        <w:t xml:space="preserve">:</w:t>
      </w:r>
      <w:r>
        <w:rPr>
          <w:rFonts w:ascii="Times New Roman" w:hAnsi="Times New Roman" w:cs="Times New Roman"/>
          <w:color w:val="000000" w:themeColor="text1"/>
          <w:sz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highlight w:val="white"/>
        </w:rPr>
      </w:r>
    </w:p>
    <w:p>
      <w:pPr>
        <w:contextualSpacing/>
        <w:ind w:firstLine="708"/>
        <w:jc w:val="both"/>
        <w:spacing w:after="0" w:line="283" w:lineRule="atLeast"/>
        <w:rPr>
          <w:rFonts w:ascii="Times New Roman" w:hAnsi="Times New Roman" w:cs="Times New Roman"/>
          <w:strike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highlight w:val="white"/>
        </w:rPr>
        <w:t xml:space="preserve">1) налич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highlight w:val="white"/>
          <w:shd w:val="clear" w:color="ffffff" w:themeColor="background1" w:fill="ffffff" w:themeFill="background1"/>
        </w:rPr>
        <w:t xml:space="preserve">ие на территории муниципального образования организаций, реализующих дополнительные образовательные программы спортивной подготовки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highlight w:val="white"/>
          <w:shd w:val="clear" w:color="ffffff" w:themeColor="background1" w:fill="ffffff" w:themeFill="background1"/>
        </w:rPr>
        <w:t xml:space="preserve">по базовым видам спорта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highlight w:val="white"/>
          <w:shd w:val="clear" w:color="ffffff" w:themeColor="background1" w:fill="ffffff" w:themeFill="background1"/>
        </w:rPr>
        <w:t xml:space="preserve">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highlight w:val="white"/>
          <w:shd w:val="clear" w:color="ffffff" w:themeColor="background1" w:fill="ffffff" w:themeFill="background1"/>
        </w:rPr>
        <w:t xml:space="preserve">(по данным, отраженным в форм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highlight w:val="white"/>
          <w:shd w:val="clear" w:color="ffffff" w:themeColor="background1" w:fill="ffffff" w:themeFill="background1"/>
        </w:rPr>
        <w:t xml:space="preserve">ах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  <w:shd w:val="clear" w:color="ffffff" w:themeColor="background1" w:fill="ffffff" w:themeFill="background1"/>
        </w:rPr>
        <w:t xml:space="preserve">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  <w:shd w:val="clear" w:color="ffffff" w:themeColor="background1" w:fill="ffffff" w:themeFill="background1"/>
        </w:rPr>
        <w:t xml:space="preserve">федеральн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  <w:shd w:val="clear" w:color="ffffff" w:themeColor="background1" w:fill="ffffff" w:themeFill="background1"/>
        </w:rPr>
        <w:t xml:space="preserve">ых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  <w:shd w:val="clear" w:color="ffffff" w:themeColor="background1" w:fill="ffffff" w:themeFill="background1"/>
        </w:rPr>
        <w:t xml:space="preserve"> статистическ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  <w:shd w:val="clear" w:color="ffffff" w:themeColor="background1" w:fill="ffffff" w:themeFill="background1"/>
        </w:rPr>
        <w:t xml:space="preserve">их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  <w:shd w:val="clear" w:color="ffffff" w:themeColor="background1" w:fill="ffffff" w:themeFill="background1"/>
        </w:rPr>
        <w:t xml:space="preserve"> наблюден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  <w:shd w:val="clear" w:color="ffffff" w:themeColor="background1" w:fill="ffffff" w:themeFill="background1"/>
        </w:rPr>
        <w:t xml:space="preserve">ий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  <w:shd w:val="clear" w:color="ffffff" w:themeColor="background1" w:fill="ffffff" w:themeFill="background1"/>
        </w:rPr>
        <w:t xml:space="preserve"> № 5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-ФК (сводная) «Сведения по подготовке спортивного резерва» и № 3-АФК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  <w:lang w:val="ru-RU"/>
        </w:rPr>
        <w:t xml:space="preserve">Сведения об адаптивной физической культуре и спорте»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highlight w:val="white"/>
        </w:rPr>
        <w:t xml:space="preserve">за год, предшествующий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highlight w:val="white"/>
        </w:rPr>
        <w:t xml:space="preserve">году распределения субсидии);</w:t>
      </w:r>
      <w:r>
        <w:rPr>
          <w:rFonts w:ascii="Times New Roman" w:hAnsi="Times New Roman" w:cs="Times New Roman"/>
          <w:strike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strike w:val="0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8"/>
        <w:jc w:val="both"/>
        <w:spacing w:after="0" w:line="283" w:lineRule="atLeast"/>
        <w:rPr>
          <w:rFonts w:ascii="Times New Roman" w:hAnsi="Times New Roman" w:cs="Times New Roman"/>
          <w:strike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highlight w:val="white"/>
        </w:rPr>
        <w:t xml:space="preserve">2) </w:t>
      </w:r>
      <w:r>
        <w:rPr>
          <w:rFonts w:ascii="Times New Roman" w:hAnsi="Times New Roman" w:eastAsia="Times New Roman" w:cs="Times New Roman"/>
          <w:strike w:val="0"/>
          <w:color w:val="000000" w:themeColor="text1"/>
          <w:highlight w:val="white"/>
        </w:rPr>
      </w:r>
      <w:bookmarkStart w:id="0" w:name="undefined"/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highlight w:val="white"/>
        </w:rPr>
        <w:t xml:space="preserve">неполучение субсидии на данное мероприятие 2 года и более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highlight w:val="white"/>
        </w:rPr>
        <w:t xml:space="preserve">;</w:t>
      </w:r>
      <w:bookmarkEnd w:id="0"/>
      <w:r>
        <w:rPr>
          <w:rFonts w:ascii="Times New Roman" w:hAnsi="Times New Roman" w:cs="Times New Roman"/>
          <w:strike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strike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83" w:lineRule="atLeast"/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highlight w:val="none"/>
        </w:rPr>
        <w:t xml:space="preserve">5) </w:t>
      </w:r>
      <w:r>
        <w:rPr>
          <w:rFonts w:ascii="Times New Roman" w:hAnsi="Times New Roman" w:eastAsia="Times New Roman" w:cs="Times New Roman"/>
          <w:color w:val="000000" w:themeColor="text1"/>
        </w:rPr>
      </w:r>
      <w:bookmarkStart w:id="0" w:name="undefined"/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highlight w:val="white"/>
        </w:rPr>
        <w:t xml:space="preserve">часть 6 изложить в следующей редакции: 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83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«6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. Размер субсидии определяется по следующей формуле: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tbl>
      <w:tblPr>
        <w:tblStyle w:val="910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415"/>
        <w:gridCol w:w="383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4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line="283" w:lineRule="atLeast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15" w:type="dxa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line="283" w:lineRule="atLeast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76375" cy="571500"/>
                      <wp:effectExtent l="0" t="0" r="0" b="0"/>
                      <wp:docPr id="2" name="Picture 1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72467934" name="Picture 15"/>
                              <pic:cNvPicPr/>
                              <pic:nvPr/>
                            </pic:nvPicPr>
                            <pic:blipFill>
                              <a:blip r:embed="rId18">
                                <a:extLst>
                                  <a:ext uri="{96DAC541-7B7A-43D3-8B79-37D633B846F1}">
                                    <asvg:svgBlip xmlns:asvg="http://schemas.microsoft.com/office/drawing/2016/SVG/main" r:embed="rId1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476373" cy="5715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16.25pt;height:45.0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31" w:type="dxa"/>
            <w:vAlign w:val="center"/>
            <w:textDirection w:val="lrTb"/>
            <w:noWrap w:val="false"/>
          </w:tcPr>
          <w:p>
            <w:pPr>
              <w:contextualSpacing/>
              <w:spacing w:line="283" w:lineRule="atLeast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</w:r>
          </w:p>
          <w:p>
            <w:pPr>
              <w:contextualSpacing/>
              <w:jc w:val="both"/>
              <w:spacing w:line="283" w:lineRule="atLeast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</w:rPr>
              <w:t xml:space="preserve">, где: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</w:r>
          </w:p>
        </w:tc>
      </w:tr>
    </w:tbl>
    <w:p>
      <w:pPr>
        <w:contextualSpacing/>
        <w:ind w:firstLine="709"/>
        <w:jc w:val="both"/>
        <w:spacing w:after="0" w:line="283" w:lineRule="atLeast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i/>
          <w:color w:val="000000" w:themeColor="text1"/>
          <w:sz w:val="28"/>
        </w:rPr>
        <w:t xml:space="preserve">C</w:t>
      </w:r>
      <w:r>
        <w:rPr>
          <w:rFonts w:ascii="Times New Roman" w:hAnsi="Times New Roman" w:eastAsia="Times New Roman" w:cs="Times New Roman"/>
          <w:color w:val="000000" w:themeColor="text1"/>
          <w:sz w:val="28"/>
          <w:vertAlign w:val="subscript"/>
        </w:rPr>
        <w:t xml:space="preserve"> j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– размер субсидии, предоставляемой бюджету j-ого муниципального образования;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contextualSpacing/>
        <w:ind w:firstLine="708"/>
        <w:jc w:val="both"/>
        <w:spacing w:after="0" w:line="283" w:lineRule="atLeast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bookmarkStart w:id="0" w:name="undefined"/>
      <w:r>
        <w:rPr>
          <w:rFonts w:ascii="Times New Roman" w:hAnsi="Times New Roman" w:eastAsia="Times New Roman" w:cs="Times New Roman"/>
          <w:i/>
          <w:color w:val="000000" w:themeColor="text1"/>
          <w:sz w:val="28"/>
        </w:rPr>
        <w:t xml:space="preserve">C</w:t>
      </w:r>
      <w:r>
        <w:rPr>
          <w:rFonts w:ascii="Times New Roman" w:hAnsi="Times New Roman" w:eastAsia="Times New Roman" w:cs="Times New Roman"/>
          <w:color w:val="000000" w:themeColor="text1"/>
          <w:sz w:val="28"/>
          <w:vertAlign w:val="subscript"/>
        </w:rPr>
        <w:t xml:space="preserve"> o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– общий объем средств, предусмотренный федеральным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проектом «Развитие спорта высших достижений» </w:t>
      </w:r>
      <w:hyperlink r:id="rId20" w:tooltip="https://internet.garant.ru/#/document/402891691/entry/1000" w:anchor="/document/402891691/entry/1000" w:history="1">
        <w:r>
          <w:rPr>
            <w:rFonts w:ascii="Times New Roman" w:hAnsi="Times New Roman" w:eastAsia="Times New Roman" w:cs="Times New Roman"/>
            <w:color w:val="000000" w:themeColor="text1"/>
            <w:sz w:val="28"/>
          </w:rPr>
          <w:t xml:space="preserve">государственной программы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 Российской Федерации «Развитие физической культуры и спорта» для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Камчатского края на государственную поддержку организаций, входящих в систему спортивной подготовки,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на соответствующий финансовый год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contextualSpacing/>
        <w:ind w:firstLine="708"/>
        <w:jc w:val="both"/>
        <w:spacing w:after="0" w:line="283" w:lineRule="atLeast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Ч</w:t>
      </w:r>
      <w:r>
        <w:rPr>
          <w:rFonts w:ascii="Times New Roman" w:hAnsi="Times New Roman" w:eastAsia="Times New Roman" w:cs="Times New Roman"/>
          <w:color w:val="000000" w:themeColor="text1"/>
          <w:sz w:val="28"/>
          <w:vertAlign w:val="subscript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vertAlign w:val="subscript"/>
        </w:rPr>
        <w:t xml:space="preserve">эСПj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– численность спортсменов, занимающихся в муниципальных спортивных школах олимпийского резерва j-ого муниципа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л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ьного образования по дополнительным образовательным программам спортивной подготовки базовыми видами спорта на этапах высшего спортивного мастерства, совершенствования спортивного мастерства и тренировочном этапе подготовки  (по данным, отраженным в форме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федерального статистического наблюдения </w:t>
        <w:br/>
        <w:t xml:space="preserve">№ 5-ФК (сводная) «Сведения по подготовке спортивного резерва»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за год, предшествующий году распределения субсидии);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contextualSpacing/>
        <w:ind w:firstLine="708"/>
        <w:jc w:val="both"/>
        <w:spacing w:after="0" w:line="283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Ч</w:t>
      </w:r>
      <w:r>
        <w:rPr>
          <w:rFonts w:ascii="Times New Roman" w:hAnsi="Times New Roman" w:eastAsia="Times New Roman" w:cs="Times New Roman"/>
          <w:color w:val="000000" w:themeColor="text1"/>
          <w:sz w:val="28"/>
          <w:vertAlign w:val="subscript"/>
        </w:rPr>
        <w:t xml:space="preserve"> </w:t>
      </w:r>
      <w:r>
        <w:rPr>
          <w:rFonts w:ascii="Times New Roman" w:hAnsi="Times New Roman" w:eastAsia="Times New Roman" w:cs="Times New Roman"/>
          <w:color w:val="000000" w:themeColor="text1"/>
          <w:sz w:val="28"/>
          <w:vertAlign w:val="subscript"/>
        </w:rPr>
        <w:t xml:space="preserve">эСПкк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– численность спортсменов, занимающихся в спортивных школах олимпийского резерва и центре спортивной подготовк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по адаптивным видам спорта базовыми видами спорта по дополнительным образовательным программам спортивной подготовки на этапах высшего спортивного мастерства, совершенствования спортивного мастерства и тренировочном этапе подготовки в Камчатском крае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(по данным, отраженным в формах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федеральных статистических отчетов № 5-ФК (сводная) «Сведения по подготовке спортивного резерва»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и</w:t>
      </w:r>
      <w:hyperlink r:id="rId21" w:tooltip="https://internet.garant.ru/document/redirect/72073412/1000" w:history="1">
        <w:r>
          <w:rPr>
            <w:rStyle w:val="913"/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</w:rPr>
          <w:t xml:space="preserve"> № 3-АФК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«Сведения об адаптивной физической культуре и спорте» за год, предшествующий году распределения субсидии).»;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83" w:lineRule="atLeast"/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highlight w:val="none"/>
        </w:rPr>
        <w:t xml:space="preserve">6)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highlight w:val="white"/>
        </w:rPr>
        <w:t xml:space="preserve">часть 9 изложить в следующей редакции: 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8"/>
        <w:jc w:val="both"/>
        <w:spacing w:after="0" w:line="283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9. 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Рез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none"/>
        </w:rPr>
        <w:t xml:space="preserve">ультатом использования субсидии по состоянию на 31 декабря года предоставления субсидии явля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none"/>
        </w:rPr>
        <w:t xml:space="preserve">ется 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none"/>
        </w:rPr>
        <w:t xml:space="preserve">количество организаций, входящих в систему спортивной подготовки,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none"/>
        </w:rPr>
        <w:t xml:space="preserve"> которыми реализованы мероприятия по обеспечению условий для 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none"/>
        </w:rPr>
        <w:t xml:space="preserve">подготовки спортивного резерва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none"/>
        </w:rPr>
        <w:t xml:space="preserve">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708"/>
        <w:jc w:val="both"/>
        <w:spacing w:after="0" w:line="283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jc w:val="both"/>
        <w:spacing w:after="0" w:line="283" w:lineRule="atLeast"/>
        <w:rPr>
          <w:rFonts w:ascii="Times New Roman" w:hAnsi="Times New Roman"/>
        </w:rPr>
      </w:pP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  <w:jc w:val="center"/>
      <w:rPr>
        <w:rFonts w:ascii="Times New Roman" w:hAnsi="Times New Roman" w:cs="Times New Roman"/>
        <w:sz w:val="28"/>
        <w:szCs w:val="28"/>
      </w:rPr>
    </w:pPr>
    <w:fldSimple w:instr="PAGE \* MERGEFORMAT"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</w:p>
  <w:p>
    <w:pPr>
      <w:pStyle w:val="87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0">
    <w:name w:val="Heading 1 Char"/>
    <w:basedOn w:val="864"/>
    <w:link w:val="85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1">
    <w:name w:val="Heading 2 Char"/>
    <w:basedOn w:val="864"/>
    <w:link w:val="860"/>
    <w:uiPriority w:val="9"/>
    <w:rPr>
      <w:rFonts w:ascii="Liberation Sans" w:hAnsi="Liberation Sans" w:eastAsia="Liberation Sans" w:cs="Liberation Sans"/>
      <w:sz w:val="34"/>
    </w:rPr>
  </w:style>
  <w:style w:type="character" w:styleId="702">
    <w:name w:val="Heading 3 Char"/>
    <w:basedOn w:val="864"/>
    <w:link w:val="86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3">
    <w:name w:val="Heading 4 Char"/>
    <w:basedOn w:val="864"/>
    <w:link w:val="86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4">
    <w:name w:val="Heading 5 Char"/>
    <w:basedOn w:val="864"/>
    <w:link w:val="8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5">
    <w:name w:val="Heading 6"/>
    <w:basedOn w:val="858"/>
    <w:next w:val="858"/>
    <w:link w:val="70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6">
    <w:name w:val="Heading 6 Char"/>
    <w:basedOn w:val="864"/>
    <w:link w:val="70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7">
    <w:name w:val="Heading 7"/>
    <w:basedOn w:val="858"/>
    <w:next w:val="858"/>
    <w:link w:val="70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8">
    <w:name w:val="Heading 7 Char"/>
    <w:basedOn w:val="864"/>
    <w:link w:val="70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9">
    <w:name w:val="Heading 8"/>
    <w:basedOn w:val="858"/>
    <w:next w:val="858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0">
    <w:name w:val="Heading 8 Char"/>
    <w:basedOn w:val="864"/>
    <w:link w:val="70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1">
    <w:name w:val="Heading 9"/>
    <w:basedOn w:val="858"/>
    <w:next w:val="858"/>
    <w:link w:val="71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2">
    <w:name w:val="Heading 9 Char"/>
    <w:basedOn w:val="864"/>
    <w:link w:val="71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3">
    <w:name w:val="List Paragraph"/>
    <w:basedOn w:val="858"/>
    <w:uiPriority w:val="34"/>
    <w:qFormat/>
    <w:pPr>
      <w:contextualSpacing/>
      <w:ind w:left="720"/>
    </w:pPr>
  </w:style>
  <w:style w:type="paragraph" w:styleId="714">
    <w:name w:val="No Spacing"/>
    <w:uiPriority w:val="1"/>
    <w:qFormat/>
    <w:pPr>
      <w:spacing w:before="0" w:after="0" w:line="240" w:lineRule="auto"/>
    </w:pPr>
  </w:style>
  <w:style w:type="character" w:styleId="715">
    <w:name w:val="Title Char"/>
    <w:basedOn w:val="864"/>
    <w:link w:val="904"/>
    <w:uiPriority w:val="10"/>
    <w:rPr>
      <w:sz w:val="48"/>
      <w:szCs w:val="48"/>
    </w:rPr>
  </w:style>
  <w:style w:type="character" w:styleId="716">
    <w:name w:val="Subtitle Char"/>
    <w:basedOn w:val="864"/>
    <w:link w:val="900"/>
    <w:uiPriority w:val="11"/>
    <w:rPr>
      <w:sz w:val="24"/>
      <w:szCs w:val="24"/>
    </w:rPr>
  </w:style>
  <w:style w:type="paragraph" w:styleId="717">
    <w:name w:val="Quote"/>
    <w:basedOn w:val="858"/>
    <w:next w:val="858"/>
    <w:link w:val="718"/>
    <w:uiPriority w:val="29"/>
    <w:qFormat/>
    <w:pPr>
      <w:ind w:left="720" w:right="720"/>
    </w:pPr>
    <w:rPr>
      <w:i/>
    </w:rPr>
  </w:style>
  <w:style w:type="character" w:styleId="718">
    <w:name w:val="Quote Char"/>
    <w:link w:val="717"/>
    <w:uiPriority w:val="29"/>
    <w:rPr>
      <w:i/>
    </w:rPr>
  </w:style>
  <w:style w:type="paragraph" w:styleId="719">
    <w:name w:val="Intense Quote"/>
    <w:basedOn w:val="858"/>
    <w:next w:val="858"/>
    <w:link w:val="72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>
    <w:name w:val="Intense Quote Char"/>
    <w:link w:val="719"/>
    <w:uiPriority w:val="30"/>
    <w:rPr>
      <w:i/>
    </w:rPr>
  </w:style>
  <w:style w:type="character" w:styleId="721">
    <w:name w:val="Header Char"/>
    <w:basedOn w:val="864"/>
    <w:link w:val="872"/>
    <w:uiPriority w:val="99"/>
  </w:style>
  <w:style w:type="character" w:styleId="722">
    <w:name w:val="Footer Char"/>
    <w:basedOn w:val="864"/>
    <w:link w:val="902"/>
    <w:uiPriority w:val="99"/>
  </w:style>
  <w:style w:type="paragraph" w:styleId="723">
    <w:name w:val="Caption"/>
    <w:basedOn w:val="858"/>
    <w:next w:val="858"/>
    <w:link w:val="7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4">
    <w:name w:val="Caption Char"/>
    <w:basedOn w:val="864"/>
    <w:link w:val="723"/>
    <w:uiPriority w:val="35"/>
    <w:rPr>
      <w:b/>
      <w:bCs/>
      <w:color w:val="4f81bd" w:themeColor="accent1"/>
      <w:sz w:val="18"/>
      <w:szCs w:val="18"/>
    </w:rPr>
  </w:style>
  <w:style w:type="table" w:styleId="725">
    <w:name w:val="Table Grid Light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Plain Table 1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7">
    <w:name w:val="Plain Table 2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8">
    <w:name w:val="Plain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>
    <w:name w:val="Grid Table 4 - Accent 1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4">
    <w:name w:val="Grid Table 4 - Accent 2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5">
    <w:name w:val="Grid Table 4 - Accent 3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6">
    <w:name w:val="Grid Table 4 - Accent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7">
    <w:name w:val="Grid Table 4 - Accent 5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8">
    <w:name w:val="Grid Table 4 - Accent 6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9">
    <w:name w:val="Grid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6">
    <w:name w:val="Grid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7">
    <w:name w:val="Grid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8">
    <w:name w:val="Grid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9">
    <w:name w:val="Grid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0">
    <w:name w:val="Grid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1">
    <w:name w:val="Grid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2">
    <w:name w:val="Grid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3">
    <w:name w:val="Grid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8">
    <w:name w:val="List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9">
    <w:name w:val="List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0">
    <w:name w:val="List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1">
    <w:name w:val="List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2">
    <w:name w:val="List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3">
    <w:name w:val="List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4">
    <w:name w:val="List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5 Dark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6">
    <w:name w:val="List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7">
    <w:name w:val="List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List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9">
    <w:name w:val="List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List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1">
    <w:name w:val="List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2">
    <w:name w:val="List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3">
    <w:name w:val="List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24">
    <w:name w:val="List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5">
    <w:name w:val="List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6">
    <w:name w:val="List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7">
    <w:name w:val="List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28">
    <w:name w:val="List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9">
    <w:name w:val="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1">
    <w:name w:val="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5">
    <w:name w:val="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 &amp; 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Bordered &amp; 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8">
    <w:name w:val="Bordered &amp; 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Bordered &amp; 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Bordered &amp; 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Bordered &amp; 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2">
    <w:name w:val="Bordered &amp; 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4">
    <w:name w:val="Bordered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5">
    <w:name w:val="Bordered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6">
    <w:name w:val="Bordered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7">
    <w:name w:val="Bordered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8">
    <w:name w:val="Bordered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9">
    <w:name w:val="Bordered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0">
    <w:name w:val="footnote text"/>
    <w:basedOn w:val="858"/>
    <w:link w:val="851"/>
    <w:uiPriority w:val="99"/>
    <w:semiHidden/>
    <w:unhideWhenUsed/>
    <w:pPr>
      <w:spacing w:after="40" w:line="240" w:lineRule="auto"/>
    </w:pPr>
    <w:rPr>
      <w:sz w:val="18"/>
    </w:rPr>
  </w:style>
  <w:style w:type="character" w:styleId="851">
    <w:name w:val="Footnote Text Char"/>
    <w:link w:val="850"/>
    <w:uiPriority w:val="99"/>
    <w:rPr>
      <w:sz w:val="18"/>
    </w:rPr>
  </w:style>
  <w:style w:type="character" w:styleId="852">
    <w:name w:val="footnote reference"/>
    <w:basedOn w:val="864"/>
    <w:uiPriority w:val="99"/>
    <w:unhideWhenUsed/>
    <w:rPr>
      <w:vertAlign w:val="superscript"/>
    </w:rPr>
  </w:style>
  <w:style w:type="paragraph" w:styleId="853">
    <w:name w:val="endnote text"/>
    <w:basedOn w:val="858"/>
    <w:link w:val="854"/>
    <w:uiPriority w:val="99"/>
    <w:semiHidden/>
    <w:unhideWhenUsed/>
    <w:pPr>
      <w:spacing w:after="0" w:line="240" w:lineRule="auto"/>
    </w:pPr>
    <w:rPr>
      <w:sz w:val="20"/>
    </w:rPr>
  </w:style>
  <w:style w:type="character" w:styleId="854">
    <w:name w:val="Endnote Text Char"/>
    <w:link w:val="853"/>
    <w:uiPriority w:val="99"/>
    <w:rPr>
      <w:sz w:val="20"/>
    </w:rPr>
  </w:style>
  <w:style w:type="character" w:styleId="855">
    <w:name w:val="endnote reference"/>
    <w:basedOn w:val="864"/>
    <w:uiPriority w:val="99"/>
    <w:semiHidden/>
    <w:unhideWhenUsed/>
    <w:rPr>
      <w:vertAlign w:val="superscript"/>
    </w:r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link w:val="867"/>
    <w:qFormat/>
  </w:style>
  <w:style w:type="paragraph" w:styleId="859">
    <w:name w:val="Heading 1"/>
    <w:next w:val="858"/>
    <w:link w:val="884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60">
    <w:name w:val="Heading 2"/>
    <w:next w:val="858"/>
    <w:link w:val="909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61">
    <w:name w:val="Heading 3"/>
    <w:next w:val="858"/>
    <w:link w:val="878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62">
    <w:name w:val="Heading 4"/>
    <w:next w:val="858"/>
    <w:link w:val="908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63">
    <w:name w:val="Heading 5"/>
    <w:next w:val="858"/>
    <w:link w:val="883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64" w:default="1">
    <w:name w:val="Default Paragraph Font"/>
    <w:uiPriority w:val="1"/>
    <w:semiHidden/>
    <w:unhideWhenUsed/>
  </w:style>
  <w:style w:type="table" w:styleId="8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6" w:default="1">
    <w:name w:val="No List"/>
    <w:uiPriority w:val="99"/>
    <w:semiHidden/>
    <w:unhideWhenUsed/>
  </w:style>
  <w:style w:type="character" w:styleId="867" w:customStyle="1">
    <w:name w:val="Обычный1"/>
  </w:style>
  <w:style w:type="paragraph" w:styleId="868">
    <w:name w:val="toc 2"/>
    <w:next w:val="858"/>
    <w:link w:val="869"/>
    <w:uiPriority w:val="39"/>
    <w:pPr>
      <w:ind w:left="200"/>
    </w:pPr>
    <w:rPr>
      <w:rFonts w:ascii="XO Thames" w:hAnsi="XO Thames"/>
      <w:sz w:val="28"/>
    </w:rPr>
  </w:style>
  <w:style w:type="character" w:styleId="869" w:customStyle="1">
    <w:name w:val="Оглавление 2 Знак"/>
    <w:link w:val="868"/>
    <w:rPr>
      <w:rFonts w:ascii="XO Thames" w:hAnsi="XO Thames"/>
      <w:sz w:val="28"/>
    </w:rPr>
  </w:style>
  <w:style w:type="paragraph" w:styleId="870">
    <w:name w:val="toc 4"/>
    <w:next w:val="858"/>
    <w:link w:val="871"/>
    <w:uiPriority w:val="39"/>
    <w:pPr>
      <w:ind w:left="600"/>
    </w:pPr>
    <w:rPr>
      <w:rFonts w:ascii="XO Thames" w:hAnsi="XO Thames"/>
      <w:sz w:val="28"/>
    </w:rPr>
  </w:style>
  <w:style w:type="character" w:styleId="871" w:customStyle="1">
    <w:name w:val="Оглавление 4 Знак"/>
    <w:link w:val="870"/>
    <w:rPr>
      <w:rFonts w:ascii="XO Thames" w:hAnsi="XO Thames"/>
      <w:sz w:val="28"/>
    </w:rPr>
  </w:style>
  <w:style w:type="paragraph" w:styleId="872">
    <w:name w:val="Header"/>
    <w:basedOn w:val="858"/>
    <w:link w:val="873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3" w:customStyle="1">
    <w:name w:val="Верхний колонтитул Знак"/>
    <w:basedOn w:val="867"/>
    <w:link w:val="872"/>
    <w:uiPriority w:val="99"/>
  </w:style>
  <w:style w:type="paragraph" w:styleId="874">
    <w:name w:val="toc 6"/>
    <w:next w:val="858"/>
    <w:link w:val="875"/>
    <w:uiPriority w:val="39"/>
    <w:pPr>
      <w:ind w:left="1000"/>
    </w:pPr>
    <w:rPr>
      <w:rFonts w:ascii="XO Thames" w:hAnsi="XO Thames"/>
      <w:sz w:val="28"/>
    </w:rPr>
  </w:style>
  <w:style w:type="character" w:styleId="875" w:customStyle="1">
    <w:name w:val="Оглавление 6 Знак"/>
    <w:link w:val="874"/>
    <w:rPr>
      <w:rFonts w:ascii="XO Thames" w:hAnsi="XO Thames"/>
      <w:sz w:val="28"/>
    </w:rPr>
  </w:style>
  <w:style w:type="paragraph" w:styleId="876">
    <w:name w:val="toc 7"/>
    <w:next w:val="858"/>
    <w:link w:val="877"/>
    <w:uiPriority w:val="39"/>
    <w:pPr>
      <w:ind w:left="1200"/>
    </w:pPr>
    <w:rPr>
      <w:rFonts w:ascii="XO Thames" w:hAnsi="XO Thames"/>
      <w:sz w:val="28"/>
    </w:rPr>
  </w:style>
  <w:style w:type="character" w:styleId="877" w:customStyle="1">
    <w:name w:val="Оглавление 7 Знак"/>
    <w:link w:val="876"/>
    <w:rPr>
      <w:rFonts w:ascii="XO Thames" w:hAnsi="XO Thames"/>
      <w:sz w:val="28"/>
    </w:rPr>
  </w:style>
  <w:style w:type="character" w:styleId="878" w:customStyle="1">
    <w:name w:val="Заголовок 3 Знак"/>
    <w:link w:val="861"/>
    <w:rPr>
      <w:rFonts w:ascii="XO Thames" w:hAnsi="XO Thames"/>
      <w:b/>
      <w:sz w:val="26"/>
    </w:rPr>
  </w:style>
  <w:style w:type="paragraph" w:styleId="879">
    <w:name w:val="Plain Text"/>
    <w:basedOn w:val="858"/>
    <w:link w:val="880"/>
    <w:pPr>
      <w:spacing w:after="0" w:line="240" w:lineRule="auto"/>
    </w:pPr>
    <w:rPr>
      <w:rFonts w:ascii="Calibri" w:hAnsi="Calibri"/>
    </w:rPr>
  </w:style>
  <w:style w:type="character" w:styleId="880" w:customStyle="1">
    <w:name w:val="Текст Знак"/>
    <w:basedOn w:val="867"/>
    <w:link w:val="879"/>
    <w:rPr>
      <w:rFonts w:ascii="Calibri" w:hAnsi="Calibri"/>
    </w:rPr>
  </w:style>
  <w:style w:type="paragraph" w:styleId="881">
    <w:name w:val="toc 3"/>
    <w:next w:val="858"/>
    <w:link w:val="882"/>
    <w:uiPriority w:val="39"/>
    <w:pPr>
      <w:ind w:left="400"/>
    </w:pPr>
    <w:rPr>
      <w:rFonts w:ascii="XO Thames" w:hAnsi="XO Thames"/>
      <w:sz w:val="28"/>
    </w:rPr>
  </w:style>
  <w:style w:type="character" w:styleId="882" w:customStyle="1">
    <w:name w:val="Оглавление 3 Знак"/>
    <w:link w:val="881"/>
    <w:rPr>
      <w:rFonts w:ascii="XO Thames" w:hAnsi="XO Thames"/>
      <w:sz w:val="28"/>
    </w:rPr>
  </w:style>
  <w:style w:type="character" w:styleId="883" w:customStyle="1">
    <w:name w:val="Заголовок 5 Знак"/>
    <w:link w:val="863"/>
    <w:rPr>
      <w:rFonts w:ascii="XO Thames" w:hAnsi="XO Thames"/>
      <w:b/>
      <w:sz w:val="22"/>
    </w:rPr>
  </w:style>
  <w:style w:type="character" w:styleId="884" w:customStyle="1">
    <w:name w:val="Заголовок 1 Знак"/>
    <w:link w:val="859"/>
    <w:rPr>
      <w:rFonts w:ascii="XO Thames" w:hAnsi="XO Thames"/>
      <w:b/>
      <w:sz w:val="32"/>
    </w:rPr>
  </w:style>
  <w:style w:type="paragraph" w:styleId="885" w:customStyle="1">
    <w:name w:val="Гиперссылка1"/>
    <w:basedOn w:val="893"/>
    <w:link w:val="886"/>
    <w:rPr>
      <w:color w:val="0563c1" w:themeColor="hyperlink"/>
      <w:u w:val="single"/>
    </w:rPr>
  </w:style>
  <w:style w:type="character" w:styleId="886">
    <w:name w:val="Hyperlink"/>
    <w:basedOn w:val="864"/>
    <w:link w:val="885"/>
    <w:rPr>
      <w:color w:val="0563c1" w:themeColor="hyperlink"/>
      <w:u w:val="single"/>
    </w:rPr>
  </w:style>
  <w:style w:type="paragraph" w:styleId="887" w:customStyle="1">
    <w:name w:val="Footnote"/>
    <w:link w:val="888"/>
    <w:pPr>
      <w:ind w:firstLine="851"/>
      <w:jc w:val="both"/>
    </w:pPr>
    <w:rPr>
      <w:rFonts w:ascii="XO Thames" w:hAnsi="XO Thames"/>
    </w:rPr>
  </w:style>
  <w:style w:type="character" w:styleId="888" w:customStyle="1">
    <w:name w:val="Footnote"/>
    <w:link w:val="887"/>
    <w:rPr>
      <w:rFonts w:ascii="XO Thames" w:hAnsi="XO Thames"/>
      <w:sz w:val="22"/>
    </w:rPr>
  </w:style>
  <w:style w:type="paragraph" w:styleId="889">
    <w:name w:val="toc 1"/>
    <w:next w:val="858"/>
    <w:link w:val="890"/>
    <w:uiPriority w:val="39"/>
    <w:rPr>
      <w:rFonts w:ascii="XO Thames" w:hAnsi="XO Thames"/>
      <w:b/>
      <w:sz w:val="28"/>
    </w:rPr>
  </w:style>
  <w:style w:type="character" w:styleId="890" w:customStyle="1">
    <w:name w:val="Оглавление 1 Знак"/>
    <w:link w:val="889"/>
    <w:rPr>
      <w:rFonts w:ascii="XO Thames" w:hAnsi="XO Thames"/>
      <w:b/>
      <w:sz w:val="28"/>
    </w:rPr>
  </w:style>
  <w:style w:type="paragraph" w:styleId="891" w:customStyle="1">
    <w:name w:val="Header and Footer"/>
    <w:link w:val="892"/>
    <w:pPr>
      <w:jc w:val="both"/>
      <w:spacing w:line="240" w:lineRule="auto"/>
    </w:pPr>
    <w:rPr>
      <w:rFonts w:ascii="XO Thames" w:hAnsi="XO Thames"/>
      <w:sz w:val="20"/>
    </w:rPr>
  </w:style>
  <w:style w:type="character" w:styleId="892" w:customStyle="1">
    <w:name w:val="Header and Footer"/>
    <w:link w:val="891"/>
    <w:rPr>
      <w:rFonts w:ascii="XO Thames" w:hAnsi="XO Thames"/>
      <w:sz w:val="20"/>
    </w:rPr>
  </w:style>
  <w:style w:type="paragraph" w:styleId="893" w:customStyle="1">
    <w:name w:val="Основной шрифт абзаца1"/>
  </w:style>
  <w:style w:type="paragraph" w:styleId="894">
    <w:name w:val="toc 9"/>
    <w:next w:val="858"/>
    <w:link w:val="895"/>
    <w:uiPriority w:val="39"/>
    <w:pPr>
      <w:ind w:left="1600"/>
    </w:pPr>
    <w:rPr>
      <w:rFonts w:ascii="XO Thames" w:hAnsi="XO Thames"/>
      <w:sz w:val="28"/>
    </w:rPr>
  </w:style>
  <w:style w:type="character" w:styleId="895" w:customStyle="1">
    <w:name w:val="Оглавление 9 Знак"/>
    <w:link w:val="894"/>
    <w:rPr>
      <w:rFonts w:ascii="XO Thames" w:hAnsi="XO Thames"/>
      <w:sz w:val="28"/>
    </w:rPr>
  </w:style>
  <w:style w:type="paragraph" w:styleId="896">
    <w:name w:val="toc 8"/>
    <w:next w:val="858"/>
    <w:link w:val="897"/>
    <w:uiPriority w:val="39"/>
    <w:pPr>
      <w:ind w:left="1400"/>
    </w:pPr>
    <w:rPr>
      <w:rFonts w:ascii="XO Thames" w:hAnsi="XO Thames"/>
      <w:sz w:val="28"/>
    </w:rPr>
  </w:style>
  <w:style w:type="character" w:styleId="897" w:customStyle="1">
    <w:name w:val="Оглавление 8 Знак"/>
    <w:link w:val="896"/>
    <w:rPr>
      <w:rFonts w:ascii="XO Thames" w:hAnsi="XO Thames"/>
      <w:sz w:val="28"/>
    </w:rPr>
  </w:style>
  <w:style w:type="paragraph" w:styleId="898">
    <w:name w:val="toc 5"/>
    <w:next w:val="858"/>
    <w:link w:val="899"/>
    <w:uiPriority w:val="39"/>
    <w:pPr>
      <w:ind w:left="800"/>
    </w:pPr>
    <w:rPr>
      <w:rFonts w:ascii="XO Thames" w:hAnsi="XO Thames"/>
      <w:sz w:val="28"/>
    </w:rPr>
  </w:style>
  <w:style w:type="character" w:styleId="899" w:customStyle="1">
    <w:name w:val="Оглавление 5 Знак"/>
    <w:link w:val="898"/>
    <w:rPr>
      <w:rFonts w:ascii="XO Thames" w:hAnsi="XO Thames"/>
      <w:sz w:val="28"/>
    </w:rPr>
  </w:style>
  <w:style w:type="paragraph" w:styleId="900">
    <w:name w:val="Subtitle"/>
    <w:next w:val="858"/>
    <w:link w:val="901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01" w:customStyle="1">
    <w:name w:val="Подзаголовок Знак"/>
    <w:link w:val="900"/>
    <w:rPr>
      <w:rFonts w:ascii="XO Thames" w:hAnsi="XO Thames"/>
      <w:i/>
      <w:sz w:val="24"/>
    </w:rPr>
  </w:style>
  <w:style w:type="paragraph" w:styleId="902">
    <w:name w:val="Footer"/>
    <w:basedOn w:val="858"/>
    <w:link w:val="903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903" w:customStyle="1">
    <w:name w:val="Нижний колонтитул Знак"/>
    <w:basedOn w:val="867"/>
    <w:link w:val="902"/>
    <w:rPr>
      <w:rFonts w:ascii="Times New Roman" w:hAnsi="Times New Roman"/>
      <w:sz w:val="28"/>
    </w:rPr>
  </w:style>
  <w:style w:type="paragraph" w:styleId="904">
    <w:name w:val="Title"/>
    <w:next w:val="858"/>
    <w:link w:val="905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05" w:customStyle="1">
    <w:name w:val="Название Знак"/>
    <w:link w:val="904"/>
    <w:rPr>
      <w:rFonts w:ascii="XO Thames" w:hAnsi="XO Thames"/>
      <w:b/>
      <w:caps/>
      <w:sz w:val="40"/>
    </w:rPr>
  </w:style>
  <w:style w:type="paragraph" w:styleId="906">
    <w:name w:val="Balloon Text"/>
    <w:basedOn w:val="858"/>
    <w:link w:val="907"/>
    <w:pPr>
      <w:spacing w:after="0" w:line="240" w:lineRule="auto"/>
    </w:pPr>
    <w:rPr>
      <w:rFonts w:ascii="Segoe UI" w:hAnsi="Segoe UI"/>
      <w:sz w:val="18"/>
    </w:rPr>
  </w:style>
  <w:style w:type="character" w:styleId="907" w:customStyle="1">
    <w:name w:val="Текст выноски Знак"/>
    <w:basedOn w:val="867"/>
    <w:link w:val="906"/>
    <w:rPr>
      <w:rFonts w:ascii="Segoe UI" w:hAnsi="Segoe UI"/>
      <w:sz w:val="18"/>
    </w:rPr>
  </w:style>
  <w:style w:type="character" w:styleId="908" w:customStyle="1">
    <w:name w:val="Заголовок 4 Знак"/>
    <w:link w:val="862"/>
    <w:rPr>
      <w:rFonts w:ascii="XO Thames" w:hAnsi="XO Thames"/>
      <w:b/>
      <w:sz w:val="24"/>
    </w:rPr>
  </w:style>
  <w:style w:type="character" w:styleId="909" w:customStyle="1">
    <w:name w:val="Заголовок 2 Знак"/>
    <w:link w:val="860"/>
    <w:rPr>
      <w:rFonts w:ascii="XO Thames" w:hAnsi="XO Thames"/>
      <w:b/>
      <w:sz w:val="28"/>
    </w:rPr>
  </w:style>
  <w:style w:type="table" w:styleId="910">
    <w:name w:val="Table Grid"/>
    <w:basedOn w:val="865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1" w:customStyle="1">
    <w:name w:val="Сетка таблицы1"/>
    <w:basedOn w:val="865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2" w:customStyle="1">
    <w:name w:val="Сетка таблицы2"/>
    <w:basedOn w:val="865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13" w:customStyle="1">
    <w:name w:val="Гипертекстовая ссылка"/>
    <w:rPr>
      <w:rFonts w:ascii="XO Thames" w:hAnsi="XO Thames"/>
      <w:b/>
      <w:color w:val="106bbe"/>
      <w:spacing w:val="0"/>
      <w:sz w:val="28"/>
    </w:rPr>
  </w:style>
  <w:style w:type="character" w:styleId="914" w:customStyle="1">
    <w:name w:val="Информация о версии"/>
    <w:rPr>
      <w:rFonts w:ascii="Times New Roman CYR" w:hAnsi="Times New Roman CYR"/>
      <w:i/>
      <w:color w:val="353842"/>
      <w:spacing w:val="0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jpg"/><Relationship Id="rId13" Type="http://schemas.openxmlformats.org/officeDocument/2006/relationships/hyperlink" Target="https://internet.garant.ru/document/redirect/12112604/1393" TargetMode="External"/><Relationship Id="rId14" Type="http://schemas.openxmlformats.org/officeDocument/2006/relationships/hyperlink" Target="https://internet.garant.ru/document/redirect/73362253/1000" TargetMode="External"/><Relationship Id="rId15" Type="http://schemas.openxmlformats.org/officeDocument/2006/relationships/hyperlink" Target="https://internet.garant.ru/document/redirect/73362253/0" TargetMode="External"/><Relationship Id="rId16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#/document/405941895/entry/1000" TargetMode="External"/><Relationship Id="rId18" Type="http://schemas.openxmlformats.org/officeDocument/2006/relationships/image" Target="media/image2.png"/><Relationship Id="rId19" Type="http://schemas.openxmlformats.org/officeDocument/2006/relationships/image" Target="media/media1.svg"/><Relationship Id="rId20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document/redirect/72073412/100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glubokayanv</cp:lastModifiedBy>
  <cp:revision>19</cp:revision>
  <dcterms:created xsi:type="dcterms:W3CDTF">2025-01-31T01:52:00Z</dcterms:created>
  <dcterms:modified xsi:type="dcterms:W3CDTF">2026-09-14T02:21:02Z</dcterms:modified>
</cp:coreProperties>
</file>