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</w:t>
      </w:r>
      <w:r>
        <w:rPr>
          <w:rFonts w:ascii="Times New Roman" w:hAnsi="Times New Roman"/>
          <w:b/>
          <w:sz w:val="28"/>
        </w:rPr>
        <w:t xml:space="preserve"> в </w:t>
      </w:r>
      <w:r>
        <w:rPr>
          <w:rFonts w:ascii="Times New Roman" w:hAnsi="Times New Roman"/>
          <w:b/>
          <w:sz w:val="28"/>
        </w:rPr>
        <w:t xml:space="preserve">приложени</w:t>
      </w:r>
      <w:r>
        <w:rPr>
          <w:rFonts w:ascii="Times New Roman" w:hAnsi="Times New Roman"/>
          <w:b/>
          <w:sz w:val="28"/>
        </w:rPr>
        <w:t xml:space="preserve">е</w:t>
      </w:r>
      <w:r>
        <w:rPr>
          <w:rFonts w:ascii="Times New Roman" w:hAnsi="Times New Roman"/>
          <w:b/>
          <w:sz w:val="28"/>
        </w:rPr>
        <w:t xml:space="preserve"> к постановлению Правительства Камчатского края </w:t>
      </w:r>
      <w:r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 xml:space="preserve">28.11.2022</w:t>
      </w:r>
      <w:r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 xml:space="preserve">615</w:t>
      </w:r>
      <w:r>
        <w:rPr>
          <w:rFonts w:ascii="Times New Roman" w:hAnsi="Times New Roman"/>
          <w:b/>
          <w:sz w:val="28"/>
          <w:szCs w:val="28"/>
        </w:rPr>
        <w:t xml:space="preserve">-П «Об утверждении </w:t>
      </w:r>
      <w:r>
        <w:rPr>
          <w:rFonts w:ascii="Times New Roman" w:hAnsi="Times New Roman"/>
          <w:b/>
          <w:sz w:val="28"/>
          <w:szCs w:val="28"/>
        </w:rPr>
        <w:t xml:space="preserve">Порядка </w:t>
      </w:r>
      <w:r>
        <w:rPr>
          <w:rFonts w:ascii="Times New Roman" w:hAnsi="Times New Roman"/>
          <w:b/>
          <w:sz w:val="28"/>
          <w:szCs w:val="28"/>
        </w:rPr>
        <w:t xml:space="preserve">и сроков подписания </w:t>
      </w:r>
      <w:r>
        <w:rPr>
          <w:rFonts w:ascii="Times New Roman" w:hAnsi="Times New Roman"/>
          <w:b/>
          <w:sz w:val="28"/>
          <w:szCs w:val="28"/>
        </w:rPr>
        <w:t xml:space="preserve">акта приемки оказанных услуг и (или) выполненных работ по капитальному ремонту общего имущества в многоквартирном доме, а также порядка взаимодействия участников подписания такого акта, в том числе с комиссией, осуществляющей приемку оказанных услуг и (или</w:t>
      </w:r>
      <w:r>
        <w:rPr>
          <w:rFonts w:ascii="Times New Roman" w:hAnsi="Times New Roman"/>
          <w:b/>
          <w:sz w:val="28"/>
          <w:szCs w:val="28"/>
        </w:rPr>
        <w:t xml:space="preserve">)</w:t>
      </w:r>
      <w:r>
        <w:rPr>
          <w:rFonts w:ascii="Times New Roman" w:hAnsi="Times New Roman"/>
          <w:b/>
          <w:sz w:val="28"/>
          <w:szCs w:val="28"/>
        </w:rPr>
        <w:t xml:space="preserve"> выполненных работ</w:t>
      </w:r>
      <w:r>
        <w:rPr>
          <w:rFonts w:ascii="Times New Roman" w:hAnsi="Times New Roman"/>
          <w:b/>
          <w:sz w:val="28"/>
          <w:szCs w:val="28"/>
        </w:rPr>
        <w:t xml:space="preserve">»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Внести в приложени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к постановлению Правительства Камчатского края от </w:t>
      </w:r>
      <w:r>
        <w:rPr>
          <w:rFonts w:ascii="Times New Roman" w:hAnsi="Times New Roman"/>
          <w:sz w:val="28"/>
          <w:szCs w:val="28"/>
        </w:rPr>
        <w:t xml:space="preserve">28.11.2022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615</w:t>
      </w:r>
      <w:r>
        <w:rPr>
          <w:rFonts w:ascii="Times New Roman" w:hAnsi="Times New Roman"/>
          <w:sz w:val="28"/>
          <w:szCs w:val="28"/>
        </w:rPr>
        <w:t xml:space="preserve">-П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Об утверждении Порядка и сроков подписания </w:t>
      </w:r>
      <w:r>
        <w:rPr>
          <w:rFonts w:ascii="Times New Roman" w:hAnsi="Times New Roman"/>
          <w:sz w:val="28"/>
          <w:szCs w:val="28"/>
        </w:rPr>
        <w:t xml:space="preserve">акта приемки оказанных услуг и (или) выполненных работ по капитальному ремонту общего имущества в многоквартирном доме, а также порядка взаимодействия участников подписания такого акта, в том числе с комиссией, осуществляющей приемку оказанных услуг и (или</w:t>
      </w:r>
      <w:r>
        <w:rPr>
          <w:rFonts w:ascii="Times New Roman" w:hAnsi="Times New Roman"/>
          <w:sz w:val="28"/>
          <w:szCs w:val="28"/>
        </w:rPr>
        <w:t xml:space="preserve">)</w:t>
      </w:r>
      <w:bookmarkStart w:id="1" w:name="_GoBack"/>
      <w:r/>
      <w:bookmarkEnd w:id="1"/>
      <w:r>
        <w:rPr>
          <w:rFonts w:ascii="Times New Roman" w:hAnsi="Times New Roman"/>
          <w:sz w:val="28"/>
          <w:szCs w:val="28"/>
        </w:rPr>
        <w:t xml:space="preserve"> выполненных работ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следующие изменения: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73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част</w:t>
      </w:r>
      <w:r>
        <w:rPr>
          <w:rFonts w:ascii="Times New Roman" w:hAnsi="Times New Roman"/>
          <w:sz w:val="28"/>
          <w:szCs w:val="28"/>
        </w:rPr>
        <w:t xml:space="preserve">и 1</w:t>
      </w:r>
      <w:r>
        <w:rPr>
          <w:rFonts w:ascii="Times New Roman" w:hAnsi="Times New Roman"/>
          <w:sz w:val="28"/>
          <w:szCs w:val="28"/>
        </w:rPr>
        <w:t xml:space="preserve"> слова «</w:t>
      </w:r>
      <w:r>
        <w:rPr>
          <w:rFonts w:ascii="Times New Roman" w:hAnsi="Times New Roman"/>
          <w:sz w:val="28"/>
          <w:szCs w:val="28"/>
        </w:rPr>
        <w:t xml:space="preserve">акта приемки выполненных работ по капитальному ремонту</w:t>
      </w:r>
      <w:r>
        <w:rPr>
          <w:rFonts w:ascii="Times New Roman" w:hAnsi="Times New Roman"/>
          <w:sz w:val="28"/>
          <w:szCs w:val="28"/>
        </w:rPr>
        <w:t xml:space="preserve">» заменить словами «</w:t>
      </w:r>
      <w:r>
        <w:rPr>
          <w:rStyle w:val="849"/>
          <w:rFonts w:ascii="Times New Roman" w:hAnsi="Times New Roman"/>
          <w:color w:val="auto"/>
          <w:sz w:val="28"/>
          <w:szCs w:val="28"/>
          <w:u w:val="none"/>
        </w:rPr>
        <w:t xml:space="preserve">акта приемки оказанных услуг и (или) выполненных работ по капитальному ремонту</w:t>
      </w:r>
      <w:r>
        <w:rPr>
          <w:rFonts w:ascii="Times New Roman" w:hAnsi="Times New Roman"/>
          <w:sz w:val="28"/>
          <w:szCs w:val="28"/>
        </w:rPr>
        <w:t xml:space="preserve">»;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numPr>
          <w:ilvl w:val="0"/>
          <w:numId w:val="2"/>
        </w:num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</w:t>
      </w:r>
      <w:r>
        <w:rPr>
          <w:rFonts w:ascii="Times New Roman" w:hAnsi="Times New Roman"/>
          <w:sz w:val="28"/>
          <w:szCs w:val="28"/>
        </w:rPr>
        <w:t xml:space="preserve">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Перечень работ по капитальному ремонту, подлежащих приемке в соответствии с настоящим Порядком, определяется краткосрочным плано</w:t>
      </w:r>
      <w:r>
        <w:rPr>
          <w:rFonts w:ascii="Times New Roman" w:hAnsi="Times New Roman"/>
          <w:sz w:val="28"/>
          <w:szCs w:val="28"/>
        </w:rPr>
        <w:t xml:space="preserve">м реализации региональной программы капитального ремонта общего имущества в многоквартирных домах в Камчатском крае, утвержденным приказом Министерства строительства и жилищной политики Камчатского края на соответствующие годы (далее - краткосрочный план).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78"/>
        <w:ind w:firstLine="708"/>
        <w:jc w:val="both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В случае проведения ка</w:t>
      </w:r>
      <w:r>
        <w:rPr>
          <w:sz w:val="28"/>
          <w:szCs w:val="28"/>
        </w:rPr>
        <w:t xml:space="preserve">питального ремонта общего имущества в многоквартирном доме в целях восстановления технического состояния этого многоквартирного дома в объеме, необходимом для ликвидации последствий аварии, иной чрезвычайной ситуации природного или техногенного характера, </w:t>
      </w:r>
      <w:r>
        <w:rPr>
          <w:sz w:val="28"/>
          <w:szCs w:val="28"/>
        </w:rPr>
        <w:t xml:space="preserve">решение о проведении капитального ремонта общего имущества в многоквартирном доме в соответствии с пунктом 6</w:t>
      </w:r>
      <w:r>
        <w:rPr>
          <w:sz w:val="28"/>
          <w:szCs w:val="28"/>
          <w:vertAlign w:val="superscript"/>
        </w:rPr>
        <w:t xml:space="preserve">1</w:t>
      </w:r>
      <w:r>
        <w:rPr>
          <w:sz w:val="28"/>
          <w:szCs w:val="28"/>
        </w:rPr>
        <w:t xml:space="preserve"> статьи 189 Жилищного кодекса Российской Федерации (далее - Жилищный кодекс), принимается в соответствии с </w:t>
      </w:r>
      <w:hyperlink r:id="rId13" w:tooltip="Постановление Правительства Камчатского края от 18.10.2017 N 436-П &quot;Об утверждении Порядка принятия решения о проведении капитального ремонта общего имущества в многоквартирном доме в Камчатском крае в случае возникновения аварии, иных чрезвычайных ситуаций пр" w:history="1">
        <w:r>
          <w:rPr>
            <w:sz w:val="28"/>
            <w:szCs w:val="28"/>
          </w:rPr>
          <w:t xml:space="preserve">Постановлением</w:t>
        </w:r>
      </w:hyperlink>
      <w:r>
        <w:rPr>
          <w:sz w:val="28"/>
          <w:szCs w:val="28"/>
        </w:rPr>
        <w:t xml:space="preserve"> Правительства Камчатского к</w:t>
      </w:r>
      <w:r>
        <w:rPr>
          <w:sz w:val="28"/>
          <w:szCs w:val="28"/>
        </w:rPr>
        <w:t xml:space="preserve">рая от 18.10.2017 № 436-П «Об утверждении Порядка принятия решения о проведении капитального ремонта общего имущества в многоквартирном доме в Камчатском крае в случае возникновения аварии, иных чрезвычайных ситуаций природного или техногенного характера».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8"/>
        <w:jc w:val="both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В указанном случае работы по капитальному ремонту, проведение которого необходимо для ликвидации последств</w:t>
      </w:r>
      <w:r>
        <w:rPr>
          <w:sz w:val="28"/>
          <w:szCs w:val="28"/>
        </w:rPr>
        <w:t xml:space="preserve">ий, возникших вследствие аварии, иной чрезвычайной ситуации природного или техногенного характера, проводятся без проведения общего собрания собственников помещений в этом многоквартирном доме без включения этого многоквартирного дома в краткосрочный план.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части 3 слова «договоров на выполнение работ и (или) оказание услуг по  капитальному ремонту» заменить словами «</w:t>
      </w:r>
      <w:hyperlink r:id="rId14" w:tooltip="https://www.consultant.ru/document/cons_doc_LAW_508506/8fe63ce19dd278f2d373fa49197570aff9157802/#dst101172" w:anchor="dst101172" w:history="1">
        <w:r>
          <w:rPr>
            <w:rStyle w:val="84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договоров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 строительного подряда, заключенных с индивидуальными предпринимателями или юридическ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ими лицами, являющимися членами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строительства, за исключением лиц, указанных в </w:t>
      </w:r>
      <w:hyperlink r:id="rId15" w:tooltip="https://www.consultant.ru/document/cons_doc_LAW_541132/df32b8231cf067c4d4e864c717eb6b398358b504/#dst1698" w:anchor="dst1698" w:history="1">
        <w:r>
          <w:rPr>
            <w:rStyle w:val="84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пункте 1 части 2</w:t>
        </w:r>
        <w:r>
          <w:rPr>
            <w:rStyle w:val="84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 xml:space="preserve">2</w:t>
        </w:r>
        <w:r>
          <w:rPr>
            <w:rStyle w:val="84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 статьи 52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 Градостроительного кодекса Российской Федерации в соответствии с частью 7 статьи 166 ЖК РФ</w:t>
      </w:r>
      <w:r>
        <w:rPr>
          <w:rFonts w:ascii="Times New Roman" w:hAnsi="Times New Roman"/>
          <w:sz w:val="28"/>
          <w:szCs w:val="28"/>
        </w:rPr>
        <w:t xml:space="preserve">»;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73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части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слова «</w:t>
      </w:r>
      <w:r>
        <w:rPr>
          <w:rFonts w:ascii="Times New Roman" w:hAnsi="Times New Roman"/>
          <w:sz w:val="28"/>
          <w:szCs w:val="28"/>
        </w:rPr>
        <w:t xml:space="preserve">возникших вследствие аварии, чрезвычайной ситуации</w:t>
      </w:r>
      <w:r>
        <w:rPr>
          <w:rFonts w:ascii="Times New Roman" w:hAnsi="Times New Roman"/>
          <w:sz w:val="28"/>
          <w:szCs w:val="28"/>
        </w:rPr>
        <w:t xml:space="preserve">» заменить словами «</w:t>
      </w:r>
      <w:r>
        <w:rPr>
          <w:rFonts w:ascii="Times New Roman" w:hAnsi="Times New Roman"/>
          <w:sz w:val="28"/>
          <w:szCs w:val="28"/>
        </w:rPr>
        <w:t xml:space="preserve">аварии, иной </w:t>
      </w:r>
      <w:r>
        <w:rPr>
          <w:rFonts w:ascii="Times New Roman" w:hAnsi="Times New Roman"/>
          <w:sz w:val="28"/>
          <w:szCs w:val="28"/>
        </w:rPr>
        <w:t xml:space="preserve">чрезвычайной ситуации природного или техногенного характера</w:t>
      </w:r>
      <w:r>
        <w:rPr>
          <w:rFonts w:ascii="Times New Roman" w:hAnsi="Times New Roman"/>
          <w:sz w:val="28"/>
          <w:szCs w:val="28"/>
        </w:rPr>
        <w:t xml:space="preserve">»;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9650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3536"/>
        <w:gridCol w:w="2544"/>
      </w:tblGrid>
      <w:tr>
        <w:tblPrEx/>
        <w:trPr>
          <w:trHeight w:val="1706"/>
        </w:trPr>
        <w:tc>
          <w:tcPr>
            <w:tcMar>
              <w:left w:w="0" w:type="dxa"/>
              <w:right w:w="0" w:type="dxa"/>
            </w:tcMar>
            <w:tcW w:w="3570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tcMar>
              <w:left w:w="0" w:type="dxa"/>
              <w:right w:w="0" w:type="dxa"/>
            </w:tcMar>
            <w:tcW w:w="3536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tcMar>
              <w:left w:w="0" w:type="dxa"/>
              <w:right w:w="0" w:type="dxa"/>
            </w:tcMar>
            <w:tcW w:w="2544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Arial">
    <w:panose1 w:val="020B0604020202020204"/>
  </w:font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7"/>
      <w:jc w:val="center"/>
    </w:pPr>
    <w:fldSimple w:instr="PAGE \* MERGEFORMAT">
      <w:r>
        <w:t xml:space="preserve">1</w:t>
      </w:r>
    </w:fldSimple>
    <w:r/>
    <w:r/>
  </w:p>
  <w:p>
    <w:pPr>
      <w:pStyle w:val="837"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)"/>
      <w:lvlJc w:val="left"/>
      <w:pPr/>
      <w:rPr>
        <w:rFonts w:hint="default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)"/>
      <w:lvlJc w:val="left"/>
      <w:pPr/>
      <w:rPr>
        <w:rFonts w:hint="default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1">
    <w:name w:val="Heading 1 Char"/>
    <w:basedOn w:val="824"/>
    <w:link w:val="81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2">
    <w:name w:val="Heading 2 Char"/>
    <w:basedOn w:val="824"/>
    <w:link w:val="820"/>
    <w:uiPriority w:val="9"/>
    <w:rPr>
      <w:rFonts w:ascii="Liberation Sans" w:hAnsi="Liberation Sans" w:eastAsia="Liberation Sans" w:cs="Liberation Sans"/>
      <w:sz w:val="34"/>
    </w:rPr>
  </w:style>
  <w:style w:type="character" w:styleId="663">
    <w:name w:val="Heading 3 Char"/>
    <w:basedOn w:val="824"/>
    <w:link w:val="82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64">
    <w:name w:val="Heading 4 Char"/>
    <w:basedOn w:val="824"/>
    <w:link w:val="82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5">
    <w:name w:val="Heading 5 Char"/>
    <w:basedOn w:val="824"/>
    <w:link w:val="8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6">
    <w:name w:val="Heading 6"/>
    <w:basedOn w:val="818"/>
    <w:next w:val="818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7">
    <w:name w:val="Heading 6 Char"/>
    <w:basedOn w:val="824"/>
    <w:link w:val="66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8">
    <w:name w:val="Heading 7"/>
    <w:basedOn w:val="818"/>
    <w:next w:val="818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9">
    <w:name w:val="Heading 7 Char"/>
    <w:basedOn w:val="824"/>
    <w:link w:val="66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0">
    <w:name w:val="Heading 8"/>
    <w:basedOn w:val="818"/>
    <w:next w:val="818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1">
    <w:name w:val="Heading 8 Char"/>
    <w:basedOn w:val="824"/>
    <w:link w:val="67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2">
    <w:name w:val="Heading 9"/>
    <w:basedOn w:val="818"/>
    <w:next w:val="818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3">
    <w:name w:val="Heading 9 Char"/>
    <w:basedOn w:val="824"/>
    <w:link w:val="67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character" w:styleId="675">
    <w:name w:val="Title Char"/>
    <w:basedOn w:val="824"/>
    <w:link w:val="866"/>
    <w:uiPriority w:val="10"/>
    <w:rPr>
      <w:sz w:val="48"/>
      <w:szCs w:val="48"/>
    </w:rPr>
  </w:style>
  <w:style w:type="character" w:styleId="676">
    <w:name w:val="Subtitle Char"/>
    <w:basedOn w:val="824"/>
    <w:link w:val="862"/>
    <w:uiPriority w:val="11"/>
    <w:rPr>
      <w:sz w:val="24"/>
      <w:szCs w:val="24"/>
    </w:rPr>
  </w:style>
  <w:style w:type="paragraph" w:styleId="677">
    <w:name w:val="Quote"/>
    <w:basedOn w:val="818"/>
    <w:next w:val="818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18"/>
    <w:next w:val="818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character" w:styleId="681">
    <w:name w:val="Header Char"/>
    <w:basedOn w:val="824"/>
    <w:link w:val="837"/>
    <w:uiPriority w:val="99"/>
  </w:style>
  <w:style w:type="character" w:styleId="682">
    <w:name w:val="Footer Char"/>
    <w:basedOn w:val="824"/>
    <w:link w:val="864"/>
    <w:uiPriority w:val="99"/>
  </w:style>
  <w:style w:type="paragraph" w:styleId="683">
    <w:name w:val="Caption"/>
    <w:basedOn w:val="818"/>
    <w:next w:val="818"/>
    <w:link w:val="6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4">
    <w:name w:val="Caption Char"/>
    <w:basedOn w:val="824"/>
    <w:link w:val="683"/>
    <w:uiPriority w:val="35"/>
    <w:rPr>
      <w:b/>
      <w:bCs/>
      <w:color w:val="4f81bd" w:themeColor="accent1"/>
      <w:sz w:val="18"/>
      <w:szCs w:val="18"/>
    </w:rPr>
  </w:style>
  <w:style w:type="table" w:styleId="685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7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8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1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3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4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5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6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7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8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9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6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27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28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29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0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1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2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3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8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9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0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1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2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3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4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9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0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1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6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7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9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1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2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3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4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5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6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87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88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89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0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1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2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3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4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5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6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4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5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6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7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8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9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0">
    <w:name w:val="footnote text"/>
    <w:basedOn w:val="818"/>
    <w:link w:val="811"/>
    <w:uiPriority w:val="99"/>
    <w:semiHidden/>
    <w:unhideWhenUsed/>
    <w:pPr>
      <w:spacing w:after="40" w:line="240" w:lineRule="auto"/>
    </w:pPr>
    <w:rPr>
      <w:sz w:val="18"/>
    </w:rPr>
  </w:style>
  <w:style w:type="character" w:styleId="811">
    <w:name w:val="Footnote Text Char"/>
    <w:link w:val="810"/>
    <w:uiPriority w:val="99"/>
    <w:rPr>
      <w:sz w:val="18"/>
    </w:rPr>
  </w:style>
  <w:style w:type="character" w:styleId="812">
    <w:name w:val="footnote reference"/>
    <w:basedOn w:val="824"/>
    <w:uiPriority w:val="99"/>
    <w:unhideWhenUsed/>
    <w:rPr>
      <w:vertAlign w:val="superscript"/>
    </w:rPr>
  </w:style>
  <w:style w:type="paragraph" w:styleId="813">
    <w:name w:val="endnote text"/>
    <w:basedOn w:val="818"/>
    <w:link w:val="814"/>
    <w:uiPriority w:val="99"/>
    <w:semiHidden/>
    <w:unhideWhenUsed/>
    <w:pPr>
      <w:spacing w:after="0" w:line="240" w:lineRule="auto"/>
    </w:pPr>
    <w:rPr>
      <w:sz w:val="20"/>
    </w:rPr>
  </w:style>
  <w:style w:type="character" w:styleId="814">
    <w:name w:val="Endnote Text Char"/>
    <w:link w:val="813"/>
    <w:uiPriority w:val="99"/>
    <w:rPr>
      <w:sz w:val="20"/>
    </w:rPr>
  </w:style>
  <w:style w:type="character" w:styleId="815">
    <w:name w:val="endnote reference"/>
    <w:basedOn w:val="824"/>
    <w:uiPriority w:val="99"/>
    <w:semiHidden/>
    <w:unhideWhenUsed/>
    <w:rPr>
      <w:vertAlign w:val="superscript"/>
    </w:rPr>
  </w:style>
  <w:style w:type="paragraph" w:styleId="816">
    <w:name w:val="TOC Heading"/>
    <w:uiPriority w:val="39"/>
    <w:unhideWhenUsed/>
  </w:style>
  <w:style w:type="paragraph" w:styleId="817">
    <w:name w:val="table of figures"/>
    <w:basedOn w:val="818"/>
    <w:next w:val="818"/>
    <w:uiPriority w:val="99"/>
    <w:unhideWhenUsed/>
    <w:pPr>
      <w:spacing w:after="0" w:afterAutospacing="0"/>
    </w:pPr>
  </w:style>
  <w:style w:type="paragraph" w:styleId="818" w:default="1">
    <w:name w:val="Normal"/>
    <w:qFormat/>
  </w:style>
  <w:style w:type="paragraph" w:styleId="819">
    <w:name w:val="Heading 1"/>
    <w:next w:val="818"/>
    <w:link w:val="828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20">
    <w:name w:val="Heading 2"/>
    <w:next w:val="818"/>
    <w:link w:val="829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21">
    <w:name w:val="Heading 3"/>
    <w:next w:val="818"/>
    <w:link w:val="830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22">
    <w:name w:val="Heading 4"/>
    <w:next w:val="818"/>
    <w:link w:val="831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23">
    <w:name w:val="Heading 5"/>
    <w:next w:val="818"/>
    <w:link w:val="832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character" w:styleId="827" w:customStyle="1">
    <w:name w:val="Обычный1"/>
  </w:style>
  <w:style w:type="character" w:styleId="828" w:customStyle="1">
    <w:name w:val="Заголовок 1 Знак"/>
    <w:link w:val="819"/>
    <w:rPr>
      <w:rFonts w:ascii="XO Thames" w:hAnsi="XO Thames"/>
      <w:b/>
      <w:sz w:val="32"/>
    </w:rPr>
  </w:style>
  <w:style w:type="character" w:styleId="829" w:customStyle="1">
    <w:name w:val="Заголовок 2 Знак"/>
    <w:link w:val="820"/>
    <w:rPr>
      <w:rFonts w:ascii="XO Thames" w:hAnsi="XO Thames"/>
      <w:b/>
      <w:sz w:val="28"/>
    </w:rPr>
  </w:style>
  <w:style w:type="character" w:styleId="830" w:customStyle="1">
    <w:name w:val="Заголовок 3 Знак"/>
    <w:link w:val="821"/>
    <w:rPr>
      <w:rFonts w:ascii="XO Thames" w:hAnsi="XO Thames"/>
      <w:b/>
      <w:sz w:val="26"/>
    </w:rPr>
  </w:style>
  <w:style w:type="character" w:styleId="831" w:customStyle="1">
    <w:name w:val="Заголовок 4 Знак"/>
    <w:link w:val="822"/>
    <w:rPr>
      <w:rFonts w:ascii="XO Thames" w:hAnsi="XO Thames"/>
      <w:b/>
      <w:sz w:val="24"/>
    </w:rPr>
  </w:style>
  <w:style w:type="character" w:styleId="832" w:customStyle="1">
    <w:name w:val="Заголовок 5 Знак"/>
    <w:link w:val="823"/>
    <w:rPr>
      <w:rFonts w:ascii="XO Thames" w:hAnsi="XO Thames"/>
      <w:b/>
      <w:sz w:val="22"/>
    </w:rPr>
  </w:style>
  <w:style w:type="paragraph" w:styleId="833">
    <w:name w:val="toc 2"/>
    <w:next w:val="818"/>
    <w:link w:val="834"/>
    <w:uiPriority w:val="39"/>
    <w:pPr>
      <w:ind w:left="200"/>
    </w:pPr>
    <w:rPr>
      <w:rFonts w:ascii="XO Thames" w:hAnsi="XO Thames"/>
      <w:sz w:val="28"/>
    </w:rPr>
  </w:style>
  <w:style w:type="character" w:styleId="834" w:customStyle="1">
    <w:name w:val="Оглавление 2 Знак"/>
    <w:link w:val="833"/>
    <w:rPr>
      <w:rFonts w:ascii="XO Thames" w:hAnsi="XO Thames"/>
      <w:sz w:val="28"/>
    </w:rPr>
  </w:style>
  <w:style w:type="paragraph" w:styleId="835">
    <w:name w:val="toc 4"/>
    <w:next w:val="818"/>
    <w:link w:val="836"/>
    <w:uiPriority w:val="39"/>
    <w:pPr>
      <w:ind w:left="600"/>
    </w:pPr>
    <w:rPr>
      <w:rFonts w:ascii="XO Thames" w:hAnsi="XO Thames"/>
      <w:sz w:val="28"/>
    </w:rPr>
  </w:style>
  <w:style w:type="character" w:styleId="836" w:customStyle="1">
    <w:name w:val="Оглавление 4 Знак"/>
    <w:link w:val="835"/>
    <w:rPr>
      <w:rFonts w:ascii="XO Thames" w:hAnsi="XO Thames"/>
      <w:sz w:val="28"/>
    </w:rPr>
  </w:style>
  <w:style w:type="paragraph" w:styleId="837">
    <w:name w:val="Header"/>
    <w:basedOn w:val="818"/>
    <w:link w:val="838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8" w:customStyle="1">
    <w:name w:val="Верхний колонтитул Знак"/>
    <w:basedOn w:val="827"/>
    <w:link w:val="837"/>
    <w:uiPriority w:val="99"/>
  </w:style>
  <w:style w:type="paragraph" w:styleId="839">
    <w:name w:val="toc 6"/>
    <w:next w:val="818"/>
    <w:link w:val="840"/>
    <w:uiPriority w:val="39"/>
    <w:pPr>
      <w:ind w:left="1000"/>
    </w:pPr>
    <w:rPr>
      <w:rFonts w:ascii="XO Thames" w:hAnsi="XO Thames"/>
      <w:sz w:val="28"/>
    </w:rPr>
  </w:style>
  <w:style w:type="character" w:styleId="840" w:customStyle="1">
    <w:name w:val="Оглавление 6 Знак"/>
    <w:link w:val="839"/>
    <w:rPr>
      <w:rFonts w:ascii="XO Thames" w:hAnsi="XO Thames"/>
      <w:sz w:val="28"/>
    </w:rPr>
  </w:style>
  <w:style w:type="paragraph" w:styleId="841">
    <w:name w:val="toc 7"/>
    <w:next w:val="818"/>
    <w:link w:val="842"/>
    <w:uiPriority w:val="39"/>
    <w:pPr>
      <w:ind w:left="1200"/>
    </w:pPr>
    <w:rPr>
      <w:rFonts w:ascii="XO Thames" w:hAnsi="XO Thames"/>
      <w:sz w:val="28"/>
    </w:rPr>
  </w:style>
  <w:style w:type="character" w:styleId="842" w:customStyle="1">
    <w:name w:val="Оглавление 7 Знак"/>
    <w:link w:val="841"/>
    <w:rPr>
      <w:rFonts w:ascii="XO Thames" w:hAnsi="XO Thames"/>
      <w:sz w:val="28"/>
    </w:rPr>
  </w:style>
  <w:style w:type="paragraph" w:styleId="843">
    <w:name w:val="Plain Text"/>
    <w:basedOn w:val="818"/>
    <w:link w:val="844"/>
    <w:pPr>
      <w:spacing w:after="0" w:line="240" w:lineRule="auto"/>
    </w:pPr>
    <w:rPr>
      <w:rFonts w:ascii="Calibri" w:hAnsi="Calibri"/>
    </w:rPr>
  </w:style>
  <w:style w:type="character" w:styleId="844" w:customStyle="1">
    <w:name w:val="Текст Знак"/>
    <w:basedOn w:val="827"/>
    <w:link w:val="843"/>
    <w:rPr>
      <w:rFonts w:ascii="Calibri" w:hAnsi="Calibri"/>
    </w:rPr>
  </w:style>
  <w:style w:type="paragraph" w:styleId="845">
    <w:name w:val="toc 3"/>
    <w:next w:val="818"/>
    <w:link w:val="846"/>
    <w:uiPriority w:val="39"/>
    <w:pPr>
      <w:ind w:left="400"/>
    </w:pPr>
    <w:rPr>
      <w:rFonts w:ascii="XO Thames" w:hAnsi="XO Thames"/>
      <w:sz w:val="28"/>
    </w:rPr>
  </w:style>
  <w:style w:type="character" w:styleId="846" w:customStyle="1">
    <w:name w:val="Оглавление 3 Знак"/>
    <w:link w:val="845"/>
    <w:rPr>
      <w:rFonts w:ascii="XO Thames" w:hAnsi="XO Thames"/>
      <w:sz w:val="28"/>
    </w:rPr>
  </w:style>
  <w:style w:type="paragraph" w:styleId="847" w:customStyle="1">
    <w:name w:val="Гиперссылка1"/>
    <w:basedOn w:val="848"/>
    <w:link w:val="849"/>
    <w:rPr>
      <w:color w:val="0563c1" w:themeColor="hyperlink"/>
      <w:u w:val="single"/>
    </w:rPr>
  </w:style>
  <w:style w:type="paragraph" w:styleId="848" w:customStyle="1">
    <w:name w:val="Основной шрифт абзаца1"/>
  </w:style>
  <w:style w:type="character" w:styleId="849">
    <w:name w:val="Hyperlink"/>
    <w:basedOn w:val="824"/>
    <w:link w:val="847"/>
    <w:uiPriority w:val="99"/>
    <w:rPr>
      <w:color w:val="0563c1" w:themeColor="hyperlink"/>
      <w:u w:val="single"/>
    </w:rPr>
  </w:style>
  <w:style w:type="paragraph" w:styleId="850" w:customStyle="1">
    <w:name w:val="Footnote"/>
    <w:link w:val="851"/>
    <w:pPr>
      <w:ind w:firstLine="851"/>
      <w:jc w:val="both"/>
    </w:pPr>
    <w:rPr>
      <w:rFonts w:ascii="XO Thames" w:hAnsi="XO Thames"/>
    </w:rPr>
  </w:style>
  <w:style w:type="character" w:styleId="851" w:customStyle="1">
    <w:name w:val="Footnote"/>
    <w:link w:val="850"/>
    <w:rPr>
      <w:rFonts w:ascii="XO Thames" w:hAnsi="XO Thames"/>
      <w:sz w:val="22"/>
    </w:rPr>
  </w:style>
  <w:style w:type="paragraph" w:styleId="852">
    <w:name w:val="toc 1"/>
    <w:next w:val="818"/>
    <w:link w:val="853"/>
    <w:uiPriority w:val="39"/>
    <w:rPr>
      <w:rFonts w:ascii="XO Thames" w:hAnsi="XO Thames"/>
      <w:b/>
      <w:sz w:val="28"/>
    </w:rPr>
  </w:style>
  <w:style w:type="character" w:styleId="853" w:customStyle="1">
    <w:name w:val="Оглавление 1 Знак"/>
    <w:link w:val="852"/>
    <w:rPr>
      <w:rFonts w:ascii="XO Thames" w:hAnsi="XO Thames"/>
      <w:b/>
      <w:sz w:val="28"/>
    </w:rPr>
  </w:style>
  <w:style w:type="paragraph" w:styleId="854" w:customStyle="1">
    <w:name w:val="Header and Footer"/>
    <w:link w:val="855"/>
    <w:pPr>
      <w:jc w:val="both"/>
      <w:spacing w:line="240" w:lineRule="auto"/>
    </w:pPr>
    <w:rPr>
      <w:rFonts w:ascii="XO Thames" w:hAnsi="XO Thames"/>
      <w:sz w:val="20"/>
    </w:rPr>
  </w:style>
  <w:style w:type="character" w:styleId="855" w:customStyle="1">
    <w:name w:val="Header and Footer"/>
    <w:link w:val="854"/>
    <w:rPr>
      <w:rFonts w:ascii="XO Thames" w:hAnsi="XO Thames"/>
      <w:sz w:val="20"/>
    </w:rPr>
  </w:style>
  <w:style w:type="paragraph" w:styleId="856">
    <w:name w:val="toc 9"/>
    <w:next w:val="818"/>
    <w:link w:val="857"/>
    <w:uiPriority w:val="39"/>
    <w:pPr>
      <w:ind w:left="1600"/>
    </w:pPr>
    <w:rPr>
      <w:rFonts w:ascii="XO Thames" w:hAnsi="XO Thames"/>
      <w:sz w:val="28"/>
    </w:rPr>
  </w:style>
  <w:style w:type="character" w:styleId="857" w:customStyle="1">
    <w:name w:val="Оглавление 9 Знак"/>
    <w:link w:val="856"/>
    <w:rPr>
      <w:rFonts w:ascii="XO Thames" w:hAnsi="XO Thames"/>
      <w:sz w:val="28"/>
    </w:rPr>
  </w:style>
  <w:style w:type="paragraph" w:styleId="858">
    <w:name w:val="toc 8"/>
    <w:next w:val="818"/>
    <w:link w:val="859"/>
    <w:uiPriority w:val="39"/>
    <w:pPr>
      <w:ind w:left="1400"/>
    </w:pPr>
    <w:rPr>
      <w:rFonts w:ascii="XO Thames" w:hAnsi="XO Thames"/>
      <w:sz w:val="28"/>
    </w:rPr>
  </w:style>
  <w:style w:type="character" w:styleId="859" w:customStyle="1">
    <w:name w:val="Оглавление 8 Знак"/>
    <w:link w:val="858"/>
    <w:rPr>
      <w:rFonts w:ascii="XO Thames" w:hAnsi="XO Thames"/>
      <w:sz w:val="28"/>
    </w:rPr>
  </w:style>
  <w:style w:type="paragraph" w:styleId="860">
    <w:name w:val="toc 5"/>
    <w:next w:val="818"/>
    <w:link w:val="861"/>
    <w:uiPriority w:val="39"/>
    <w:pPr>
      <w:ind w:left="800"/>
    </w:pPr>
    <w:rPr>
      <w:rFonts w:ascii="XO Thames" w:hAnsi="XO Thames"/>
      <w:sz w:val="28"/>
    </w:rPr>
  </w:style>
  <w:style w:type="character" w:styleId="861" w:customStyle="1">
    <w:name w:val="Оглавление 5 Знак"/>
    <w:link w:val="860"/>
    <w:rPr>
      <w:rFonts w:ascii="XO Thames" w:hAnsi="XO Thames"/>
      <w:sz w:val="28"/>
    </w:rPr>
  </w:style>
  <w:style w:type="paragraph" w:styleId="862">
    <w:name w:val="Subtitle"/>
    <w:next w:val="818"/>
    <w:link w:val="863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63" w:customStyle="1">
    <w:name w:val="Подзаголовок Знак"/>
    <w:link w:val="862"/>
    <w:rPr>
      <w:rFonts w:ascii="XO Thames" w:hAnsi="XO Thames"/>
      <w:i/>
      <w:sz w:val="24"/>
    </w:rPr>
  </w:style>
  <w:style w:type="paragraph" w:styleId="864">
    <w:name w:val="Footer"/>
    <w:basedOn w:val="818"/>
    <w:link w:val="865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65" w:customStyle="1">
    <w:name w:val="Нижний колонтитул Знак"/>
    <w:basedOn w:val="827"/>
    <w:link w:val="864"/>
    <w:rPr>
      <w:rFonts w:ascii="Times New Roman" w:hAnsi="Times New Roman"/>
      <w:sz w:val="28"/>
    </w:rPr>
  </w:style>
  <w:style w:type="paragraph" w:styleId="866">
    <w:name w:val="Title"/>
    <w:next w:val="818"/>
    <w:link w:val="867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67" w:customStyle="1">
    <w:name w:val="Заголовок Знак"/>
    <w:link w:val="866"/>
    <w:rPr>
      <w:rFonts w:ascii="XO Thames" w:hAnsi="XO Thames"/>
      <w:b/>
      <w:caps/>
      <w:sz w:val="40"/>
    </w:rPr>
  </w:style>
  <w:style w:type="paragraph" w:styleId="868">
    <w:name w:val="Balloon Text"/>
    <w:basedOn w:val="818"/>
    <w:link w:val="869"/>
    <w:pPr>
      <w:spacing w:after="0" w:line="240" w:lineRule="auto"/>
    </w:pPr>
    <w:rPr>
      <w:rFonts w:ascii="Segoe UI" w:hAnsi="Segoe UI"/>
      <w:sz w:val="18"/>
    </w:rPr>
  </w:style>
  <w:style w:type="character" w:styleId="869" w:customStyle="1">
    <w:name w:val="Текст выноски Знак"/>
    <w:basedOn w:val="827"/>
    <w:link w:val="868"/>
    <w:rPr>
      <w:rFonts w:ascii="Segoe UI" w:hAnsi="Segoe UI"/>
      <w:sz w:val="18"/>
    </w:rPr>
  </w:style>
  <w:style w:type="table" w:styleId="870">
    <w:name w:val="Table Grid"/>
    <w:basedOn w:val="825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71" w:customStyle="1">
    <w:name w:val="Сетка таблицы1"/>
    <w:basedOn w:val="825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72" w:customStyle="1">
    <w:name w:val="Сетка таблицы2"/>
    <w:basedOn w:val="825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3">
    <w:name w:val="List Paragraph"/>
    <w:basedOn w:val="818"/>
    <w:uiPriority w:val="99"/>
    <w:pPr>
      <w:contextualSpacing/>
      <w:ind w:left="720"/>
    </w:pPr>
  </w:style>
  <w:style w:type="paragraph" w:styleId="874" w:customStyle="1">
    <w:name w:val="ConsPlusNormal"/>
    <w:pPr>
      <w:spacing w:after="0" w:line="240" w:lineRule="auto"/>
      <w:widowControl w:val="off"/>
    </w:pPr>
    <w:rPr>
      <w:rFonts w:ascii="Times New Roman" w:hAnsi="Times New Roman" w:eastAsiaTheme="minorEastAsia"/>
      <w:color w:val="auto"/>
      <w:sz w:val="24"/>
    </w:rPr>
  </w:style>
  <w:style w:type="paragraph" w:styleId="875" w:customStyle="1">
    <w:name w:val="ConsPlusTitle"/>
    <w:qFormat/>
    <w:pPr>
      <w:spacing w:after="0" w:line="240" w:lineRule="auto"/>
      <w:widowControl w:val="off"/>
    </w:pPr>
    <w:rPr>
      <w:rFonts w:ascii="Arial" w:hAnsi="Arial" w:cs="Arial" w:eastAsiaTheme="minorEastAsia"/>
      <w:b/>
      <w:color w:val="auto"/>
      <w:sz w:val="24"/>
    </w:rPr>
  </w:style>
  <w:style w:type="character" w:styleId="876">
    <w:name w:val="line number"/>
    <w:basedOn w:val="824"/>
    <w:uiPriority w:val="99"/>
    <w:semiHidden/>
    <w:unhideWhenUsed/>
  </w:style>
  <w:style w:type="character" w:styleId="877" w:customStyle="1">
    <w:name w:val="Unresolved Mention"/>
    <w:basedOn w:val="824"/>
    <w:uiPriority w:val="99"/>
    <w:semiHidden/>
    <w:unhideWhenUsed/>
    <w:rPr>
      <w:color w:val="605e5c"/>
      <w:shd w:val="clear" w:color="auto" w:fill="e1dfdd"/>
    </w:rPr>
  </w:style>
  <w:style w:type="paragraph" w:styleId="878">
    <w:name w:val="Normal (Web)"/>
    <w:basedOn w:val="81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jpg"/><Relationship Id="rId13" Type="http://schemas.openxmlformats.org/officeDocument/2006/relationships/hyperlink" Target="https://login.consultant.ru/link/?req=doc&amp;base=RLAW296&amp;n=156458&amp;date=17.08.2026" TargetMode="External"/><Relationship Id="rId14" Type="http://schemas.openxmlformats.org/officeDocument/2006/relationships/hyperlink" Target="https://www.consultant.ru/document/cons_doc_LAW_508506/8fe63ce19dd278f2d373fa49197570aff9157802/" TargetMode="External"/><Relationship Id="rId15" Type="http://schemas.openxmlformats.org/officeDocument/2006/relationships/hyperlink" Target="https://www.consultant.ru/document/cons_doc_LAW_541132/df32b8231cf067c4d4e864c717eb6b398358b50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lozovojaa</cp:lastModifiedBy>
  <cp:revision>53</cp:revision>
  <dcterms:created xsi:type="dcterms:W3CDTF">2025-01-31T01:52:00Z</dcterms:created>
  <dcterms:modified xsi:type="dcterms:W3CDTF">2026-09-13T22:17:14Z</dcterms:modified>
</cp:coreProperties>
</file>