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pStyle w:val="Style_2"/>
        <w:spacing w:after="0" w:before="0" w:line="276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647700" cy="806450"/>
            <wp:effectExtent b="0" l="0" r="0" t="0"/>
            <wp:wrapTight distL="114300" distR="114300" wrapText="bothSides">
              <wp:wrapPolygon>
                <wp:start x="-2" y="0"/>
                <wp:lineTo x="-2" y="20883"/>
                <wp:lineTo x="20966" y="20883"/>
                <wp:lineTo x="20966" y="0"/>
                <wp:lineTo x="-2" y="0"/>
              </wp:wrapPolygon>
            </wp:wrapTight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647700" cy="80645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5000000">
      <w:pPr>
        <w:pStyle w:val="Style_2"/>
        <w:spacing w:after="0" w:before="0" w:line="360" w:lineRule="auto"/>
        <w:ind/>
        <w:jc w:val="center"/>
        <w:rPr>
          <w:rFonts w:ascii="Times New Roman" w:hAnsi="Times New Roman"/>
          <w:sz w:val="32"/>
        </w:rPr>
      </w:pPr>
    </w:p>
    <w:p w14:paraId="06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32"/>
        </w:rPr>
      </w:pPr>
    </w:p>
    <w:p w14:paraId="07000000">
      <w:pPr>
        <w:pStyle w:val="Style_2"/>
        <w:spacing w:after="0" w:before="0" w:line="240" w:lineRule="auto"/>
        <w:ind/>
        <w:rPr>
          <w:rFonts w:ascii="Times New Roman" w:hAnsi="Times New Roman"/>
          <w:b w:val="1"/>
          <w:sz w:val="32"/>
        </w:rPr>
      </w:pPr>
    </w:p>
    <w:p w14:paraId="08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МИНИСТЕРСТВО ЭКОНОМИЧЕСКОГО РАЗВИТИЯ</w:t>
      </w:r>
    </w:p>
    <w:p w14:paraId="09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КАМЧАТСКОГО КРАЯ</w:t>
      </w:r>
    </w:p>
    <w:p w14:paraId="0A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ПРИКАЗ</w:t>
      </w:r>
    </w:p>
    <w:p w14:paraId="0C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sz w:val="28"/>
        </w:rPr>
      </w:pPr>
    </w:p>
    <w:p w14:paraId="0D000000">
      <w:pPr>
        <w:pStyle w:val="Style_2"/>
        <w:spacing w:after="0" w:before="0" w:line="240" w:lineRule="auto"/>
        <w:ind w:firstLine="709"/>
        <w:jc w:val="center"/>
        <w:rPr>
          <w:rFonts w:ascii="Times New Roman" w:hAnsi="Times New Roman"/>
          <w:sz w:val="20"/>
        </w:rPr>
      </w:pPr>
    </w:p>
    <w:tbl>
      <w:tblPr>
        <w:tblStyle w:val="Style_3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4253"/>
      </w:tblGrid>
      <w:tr>
        <w:trPr>
          <w:trHeight w:hRule="atLeast" w:val="232"/>
        </w:trPr>
        <w:tc>
          <w:tcPr>
            <w:tcW w:type="dxa" w:w="4253"/>
            <w:tcMar>
              <w:top w:type="dxa" w:w="0"/>
              <w:bottom w:type="dxa" w:w="0"/>
            </w:tcMar>
          </w:tcPr>
          <w:p w14:paraId="0E000000">
            <w:pPr>
              <w:pStyle w:val="Style_2"/>
              <w:widowControl w:val="1"/>
              <w:spacing w:after="0" w:before="0" w:line="240" w:lineRule="auto"/>
              <w:ind w:hanging="142"/>
              <w:rPr>
                <w:rFonts w:ascii="Times New Roman" w:hAnsi="Times New Roman"/>
                <w:sz w:val="24"/>
              </w:rPr>
            </w:pPr>
            <w:bookmarkStart w:id="1" w:name="REGNUMDATESTAMP"/>
            <w:r>
              <w:rPr>
                <w:rFonts w:ascii="Times New Roman" w:hAnsi="Times New Roman"/>
                <w:color w:val="FFFFFF"/>
                <w:sz w:val="24"/>
              </w:rPr>
              <w:t>[Дата регистрации] № [Номер</w:t>
            </w:r>
            <w:r>
              <w:rPr>
                <w:rFonts w:ascii="Times New Roman" w:hAnsi="Times New Roman"/>
                <w:color w:val="FFFFFF"/>
                <w:sz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z w:val="24"/>
              </w:rPr>
              <w:t>]</w:t>
            </w:r>
            <w:bookmarkEnd w:id="1"/>
          </w:p>
        </w:tc>
      </w:tr>
      <w:tr>
        <w:trPr>
          <w:trHeight w:hRule="atLeast" w:val="247"/>
        </w:trPr>
        <w:tc>
          <w:tcPr>
            <w:tcW w:type="dxa" w:w="4253"/>
            <w:tcMar>
              <w:top w:type="dxa" w:w="0"/>
              <w:bottom w:type="dxa" w:w="0"/>
            </w:tcMar>
          </w:tcPr>
          <w:p w14:paraId="0F000000">
            <w:pPr>
              <w:pStyle w:val="Style_2"/>
              <w:widowControl w:val="1"/>
              <w:spacing w:after="0" w:before="0" w:line="240" w:lineRule="auto"/>
              <w:ind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г. Петропавловск-Камчатский</w:t>
            </w:r>
          </w:p>
        </w:tc>
      </w:tr>
      <w:tr>
        <w:trPr>
          <w:trHeight w:hRule="atLeast" w:val="80"/>
        </w:trPr>
        <w:tc>
          <w:tcPr>
            <w:tcW w:type="dxa" w:w="4253"/>
            <w:tcMar>
              <w:top w:type="dxa" w:w="0"/>
              <w:bottom w:type="dxa" w:w="0"/>
            </w:tcMar>
          </w:tcPr>
          <w:p w14:paraId="10000000">
            <w:pPr>
              <w:pStyle w:val="Style_2"/>
              <w:widowControl w:val="1"/>
              <w:spacing w:after="0" w:before="0"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</w:p>
        </w:tc>
      </w:tr>
    </w:tbl>
    <w:p w14:paraId="11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Style w:val="Style_4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9639"/>
      </w:tblGrid>
      <w:tr>
        <w:tc>
          <w:tcPr>
            <w:tcW w:type="dxa" w:w="9639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  <w:tl2br w:color="000000" w:sz="4" w:val="nil"/>
              <w:tr2bl w:color="000000" w:sz="4" w:val="nil"/>
            </w:tcBorders>
            <w:tcMar>
              <w:top w:type="dxa" w:w="0"/>
              <w:bottom w:type="dxa" w:w="0"/>
            </w:tcMar>
          </w:tcPr>
          <w:p w14:paraId="1200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pacing w:val="0"/>
                <w:sz w:val="28"/>
              </w:rPr>
              <w:t>Об утверждении Административного регламента Министерства экономического развития Камчатского края по предоставлению государственной услуги «Лицензирование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продукцией»</w:t>
            </w:r>
          </w:p>
        </w:tc>
      </w:tr>
    </w:tbl>
    <w:p w14:paraId="13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14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15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В соответствии с Федеральным законом от 13.06.2023 № 203-ФЗ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«О государственном регулировании производства и оборота табачных изделий, табачной продукции, никотинсодержащей продукции и сырья для их производства», Федеральным законом от 26.06.2026 № 186-ФЗ</w:t>
      </w:r>
      <w:r>
        <w:rPr>
          <w:rFonts w:ascii="Times New Roman" w:hAnsi="Times New Roman"/>
          <w:color w:val="000000"/>
          <w:sz w:val="28"/>
        </w:rPr>
        <w:t xml:space="preserve"> «О внесении изменений в отдельные законодательные акты Российской Федерации», </w:t>
      </w:r>
      <w:r>
        <w:rPr>
          <w:rFonts w:ascii="Times New Roman" w:hAnsi="Times New Roman"/>
          <w:color w:val="000000"/>
          <w:sz w:val="28"/>
        </w:rPr>
        <w:t>Федеральным законом от 27.07.2010 № 210-ФЗ «Об организации предоставления государственных</w:t>
      </w:r>
      <w:r>
        <w:rPr/>
        <w:t xml:space="preserve"> </w:t>
      </w:r>
      <w:r>
        <w:rPr>
          <w:rFonts w:ascii="Times New Roman" w:hAnsi="Times New Roman"/>
          <w:color w:val="000000"/>
          <w:sz w:val="28"/>
        </w:rPr>
        <w:t xml:space="preserve">и муниципальных услуг», постановлением Правительства Камчатского края </w:t>
      </w:r>
      <w:r>
        <w:rPr>
          <w:rFonts w:ascii="Times New Roman" w:hAnsi="Times New Roman"/>
          <w:color w:val="000000"/>
          <w:spacing w:val="0"/>
          <w:sz w:val="28"/>
        </w:rPr>
        <w:t>от 14.10.2024 № 497-П «Об утверждении Порядка разработки и утверждения административных регламентов предоставления государственных услуг исполнительными органами Камчатского края»,</w:t>
      </w:r>
      <w:r>
        <w:rPr>
          <w:rFonts w:ascii="Times New Roman" w:hAnsi="Times New Roman"/>
          <w:color w:val="000000"/>
          <w:sz w:val="28"/>
        </w:rPr>
        <w:t xml:space="preserve"> постановлением Правительства Камчатского края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от 27.12.2024 № 677-П «Об утверждении Положения о Министерстве экономического развития Камчатского края»</w:t>
      </w:r>
    </w:p>
    <w:p w14:paraId="16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17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ПРИКАЗЫВАЮ:</w:t>
      </w:r>
    </w:p>
    <w:p w14:paraId="18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19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 Утвердить прилагаемый Административный регламент Министерства экономического развития Камчатского края по предоставлению государственной услуги «Лицензирование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продукцией».</w:t>
      </w:r>
    </w:p>
    <w:p w14:paraId="1A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2. Настоящий приказ вступает в силу с 1 октября 2026 года, за исключением:</w:t>
      </w:r>
    </w:p>
    <w:p w14:paraId="1B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1)</w:t>
      </w:r>
      <w:r>
        <w:rPr>
          <w:rFonts w:ascii="Times New Roman" w:hAnsi="Times New Roman"/>
          <w:color w:val="000000"/>
          <w:sz w:val="28"/>
        </w:rPr>
        <w:t xml:space="preserve"> пункта 2 части 32, пункта 2 части 33 п</w:t>
      </w:r>
      <w:r>
        <w:rPr>
          <w:rFonts w:ascii="Times New Roman" w:hAnsi="Times New Roman"/>
          <w:color w:val="000000"/>
          <w:sz w:val="28"/>
        </w:rPr>
        <w:t>ри</w:t>
      </w:r>
      <w:r>
        <w:rPr>
          <w:rFonts w:ascii="Times New Roman" w:hAnsi="Times New Roman"/>
          <w:color w:val="000000"/>
          <w:sz w:val="28"/>
        </w:rPr>
        <w:t xml:space="preserve">ложения к настоящему приказу в части лицензионного требования в отношении наличия в собственности, хозяйственном ведении, оперативном управлении, в аренде, договор о которой зарегистрирован в соответствии с Федеральным законом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от 13.07.2015 </w:t>
      </w:r>
      <w:r>
        <w:rPr>
          <w:rFonts w:ascii="Times New Roman" w:hAnsi="Times New Roman"/>
          <w:color w:val="000000"/>
          <w:sz w:val="28"/>
        </w:rPr>
        <w:t xml:space="preserve">№ 218-ФЗ «О государственной регистрации недвижимости»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 xml:space="preserve">(за исключением аренды торговых объектов, не являющихся недвижимым имуществом), или безвозмездном пользовании акционерного общества «Почта России» торгового объекта и требований к его площади, которые вступают в силу </w:t>
      </w:r>
      <w:r>
        <w:rPr>
          <w:rFonts w:ascii="Times New Roman" w:hAnsi="Times New Roman"/>
          <w:color w:val="000000"/>
          <w:sz w:val="28"/>
        </w:rPr>
        <w:t>с 1 марта 2028 года;</w:t>
      </w:r>
    </w:p>
    <w:p w14:paraId="1C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пункта 9 части 33</w:t>
      </w:r>
      <w:r>
        <w:rPr>
          <w:rFonts w:ascii="Times New Roman" w:hAnsi="Times New Roman"/>
          <w:color w:val="000000"/>
          <w:sz w:val="28"/>
        </w:rPr>
        <w:t xml:space="preserve"> приложения к настоящему приказу, который вступает в силу с 1 марта 2028 года;</w:t>
      </w:r>
    </w:p>
    <w:p w14:paraId="1D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</w:t>
      </w:r>
      <w:r>
        <w:rPr>
          <w:rFonts w:ascii="Times New Roman" w:hAnsi="Times New Roman"/>
          <w:color w:val="000000"/>
          <w:sz w:val="28"/>
        </w:rPr>
        <w:t>)</w:t>
      </w:r>
      <w:r>
        <w:rPr>
          <w:rFonts w:ascii="Times New Roman" w:hAnsi="Times New Roman"/>
          <w:color w:val="000000"/>
          <w:sz w:val="28"/>
        </w:rPr>
        <w:t xml:space="preserve"> строки 1.1. таблицы 2, строк 2.2., 3.2. таблицы 3</w:t>
      </w:r>
      <w:r>
        <w:rPr>
          <w:rFonts w:ascii="Times New Roman" w:hAnsi="Times New Roman"/>
          <w:color w:val="000000"/>
          <w:sz w:val="28"/>
        </w:rPr>
        <w:t xml:space="preserve"> приложения </w:t>
      </w:r>
      <w:r>
        <w:rPr>
          <w:rFonts w:ascii="Times New Roman" w:hAnsi="Times New Roman"/>
          <w:color w:val="000000"/>
          <w:sz w:val="28"/>
        </w:rPr>
        <w:t xml:space="preserve">к Административному регламенту Министерства экономического развития Камчатского края по предоставлению государственной услуги «Лицензирование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продукцией» в части лицензионного требования в отношении наличия в собственности, хозяйственном ведении, оперативном управлении, в аренде, договор о которой зарегистрирован в соответствии с Федеральным законом от 13.07.2015 </w:t>
      </w:r>
      <w:r>
        <w:rPr>
          <w:rFonts w:ascii="Times New Roman" w:hAnsi="Times New Roman"/>
          <w:color w:val="000000"/>
          <w:sz w:val="28"/>
        </w:rPr>
        <w:t xml:space="preserve">№ 218-ФЗ «О государственной регистрации недвижимости» (за исключением аренды торговых объектов, не являющихся недвижимым имуществом), или безвозмездном пользовании акционерного общества «Почта России» торгового объекта и требований к его площади, которые вступают в силу </w:t>
      </w:r>
      <w:r>
        <w:rPr>
          <w:rFonts w:ascii="Times New Roman" w:hAnsi="Times New Roman"/>
          <w:color w:val="000000"/>
          <w:sz w:val="28"/>
        </w:rPr>
        <w:t>с 1 марта 2028 года;</w:t>
      </w:r>
    </w:p>
    <w:p w14:paraId="1E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4) </w:t>
      </w:r>
      <w:r>
        <w:rPr>
          <w:rFonts w:ascii="Times New Roman" w:hAnsi="Times New Roman"/>
          <w:color w:val="000000"/>
          <w:sz w:val="28"/>
        </w:rPr>
        <w:t>строки 3.9. таблицы 3 приложения</w:t>
      </w:r>
      <w:r>
        <w:rPr>
          <w:rFonts w:ascii="Times New Roman" w:hAnsi="Times New Roman"/>
          <w:color w:val="000000"/>
          <w:sz w:val="28"/>
        </w:rPr>
        <w:t xml:space="preserve"> к</w:t>
      </w:r>
      <w:r>
        <w:rPr>
          <w:rFonts w:ascii="Times New Roman" w:hAnsi="Times New Roman"/>
          <w:color w:val="000000"/>
          <w:sz w:val="28"/>
        </w:rPr>
        <w:t xml:space="preserve"> Административному регламенту Министерства экономического развития Камчатского края по предоставлению государственной услуги «Лицензирование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продукцией», которая вступает в силу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 1 марта 2028 года.</w:t>
      </w:r>
    </w:p>
    <w:p w14:paraId="1F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3. Контроль за исполнением настоящего приказа возложить на заместителя Министра – начальника отдела торговли, лицензирования и контроля алкогольной продукции Министерства экономического развития Камчатского края.</w:t>
      </w:r>
    </w:p>
    <w:p w14:paraId="20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1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22000000">
      <w:pPr>
        <w:pStyle w:val="Style_2"/>
        <w:spacing w:after="0" w:before="0" w:line="240" w:lineRule="auto"/>
        <w:ind w:firstLine="709"/>
        <w:jc w:val="both"/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2975"/>
        <w:gridCol w:w="4394"/>
        <w:gridCol w:w="2270"/>
      </w:tblGrid>
      <w:tr>
        <w:trPr>
          <w:trHeight w:hRule="atLeast" w:val="2220"/>
        </w:trPr>
        <w:tc>
          <w:tcPr>
            <w:tcW w:type="dxa" w:w="2975"/>
            <w:shd w:fill="auto" w:val="clear"/>
            <w:tcMar>
              <w:top w:type="dxa" w:w="0"/>
              <w:bottom w:type="dxa" w:w="0"/>
            </w:tcMar>
          </w:tcPr>
          <w:p w14:paraId="23000000">
            <w:pPr>
              <w:pStyle w:val="Style_2"/>
              <w:widowControl w:val="1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Министр</w:t>
            </w:r>
          </w:p>
          <w:p w14:paraId="24000000">
            <w:pPr>
              <w:pStyle w:val="Style_2"/>
              <w:widowControl w:val="1"/>
              <w:spacing w:after="0" w:before="0" w:line="240" w:lineRule="auto"/>
              <w:ind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4394"/>
            <w:shd w:fill="auto" w:val="clear"/>
            <w:tcMar>
              <w:top w:type="dxa" w:w="0"/>
              <w:bottom w:type="dxa" w:w="0"/>
            </w:tcMar>
          </w:tcPr>
          <w:p w14:paraId="25000000">
            <w:pPr>
              <w:pStyle w:val="Style_2"/>
              <w:widowControl w:val="1"/>
              <w:spacing w:after="0" w:before="0" w:line="240" w:lineRule="auto"/>
              <w:ind/>
              <w:rPr>
                <w:rFonts w:ascii="Times New Roman" w:hAnsi="Times New Roman"/>
                <w:color w:themeColor="text1" w:val="000000"/>
                <w:sz w:val="24"/>
              </w:rPr>
            </w:pPr>
            <w:bookmarkStart w:id="2" w:name="SIGNERSTAMP1"/>
            <w:r>
              <w:rPr>
                <w:rFonts w:ascii="Times New Roman" w:hAnsi="Times New Roman"/>
                <w:color w:themeColor="background1" w:val="FFFFFF"/>
                <w:sz w:val="24"/>
              </w:rPr>
              <w:t>[горизонтальный штамп подписи 1]</w:t>
            </w:r>
            <w:bookmarkEnd w:id="2"/>
          </w:p>
        </w:tc>
        <w:tc>
          <w:tcPr>
            <w:tcW w:type="dxa" w:w="2270"/>
            <w:shd w:fill="auto" w:val="clear"/>
            <w:tcMar>
              <w:top w:type="dxa" w:w="0"/>
              <w:bottom w:type="dxa" w:w="0"/>
            </w:tcMar>
          </w:tcPr>
          <w:p w14:paraId="26000000">
            <w:pPr>
              <w:pStyle w:val="Style_2"/>
              <w:widowControl w:val="1"/>
              <w:spacing w:after="0" w:before="0" w:line="240" w:lineRule="auto"/>
              <w:ind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Г.А. Басова</w:t>
            </w:r>
          </w:p>
        </w:tc>
      </w:tr>
    </w:tbl>
    <w:p w14:paraId="27000000">
      <w:pPr>
        <w:pStyle w:val="Style_2"/>
        <w:spacing w:line="240" w:lineRule="auto"/>
        <w:ind/>
        <w:rPr/>
      </w:pPr>
      <w:r>
        <w:rPr/>
        <w:br w:type="page"/>
      </w:r>
    </w:p>
    <w:p w14:paraId="28000000">
      <w:pPr>
        <w:pStyle w:val="Style_2"/>
        <w:widowControl w:val="0"/>
        <w:tabs>
          <w:tab w:leader="none" w:pos="708" w:val="clear"/>
          <w:tab w:leader="none" w:pos="8222" w:val="left"/>
        </w:tabs>
        <w:spacing w:after="0" w:before="0" w:line="240" w:lineRule="auto"/>
        <w:ind w:firstLine="510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 к приказу Министерства</w:t>
      </w:r>
    </w:p>
    <w:p w14:paraId="29000000">
      <w:pPr>
        <w:pStyle w:val="Style_2"/>
        <w:widowControl w:val="0"/>
        <w:spacing w:after="0" w:before="0" w:line="240" w:lineRule="auto"/>
        <w:ind w:firstLine="0" w:left="510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экономического развития Камчатского края</w:t>
      </w:r>
    </w:p>
    <w:p w14:paraId="2A000000">
      <w:pPr>
        <w:pStyle w:val="Style_2"/>
        <w:widowControl w:val="0"/>
        <w:spacing w:after="0" w:before="0" w:line="240" w:lineRule="auto"/>
        <w:ind w:firstLine="0" w:left="5102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от_________________№___________</w:t>
      </w:r>
    </w:p>
    <w:p w14:paraId="2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2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2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Административный регламент Министерства экономического развития Камчатского края по предоставлению государственной услуги «Лицензирование розничной торговли табачной продукцией и никотинсодержащей продукцией и развозной торговли </w:t>
      </w:r>
    </w:p>
    <w:p w14:paraId="2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табачной продукцией и никотинсодержащей продукцией» </w:t>
      </w:r>
    </w:p>
    <w:p w14:paraId="2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(далее – Административный регламент)</w:t>
      </w:r>
    </w:p>
    <w:p w14:paraId="3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rPr>
          <w:rFonts w:ascii="Times New Roman" w:hAnsi="Times New Roman"/>
          <w:color w:val="000000"/>
          <w:sz w:val="28"/>
        </w:rPr>
      </w:pPr>
    </w:p>
    <w:p w14:paraId="3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rPr>
          <w:rFonts w:ascii="Times New Roman" w:hAnsi="Times New Roman"/>
          <w:color w:val="000000"/>
          <w:sz w:val="28"/>
        </w:rPr>
      </w:pPr>
    </w:p>
    <w:p w14:paraId="3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bookmarkStart w:id="3" w:name="undefined"/>
      <w:r>
        <w:rPr>
          <w:rFonts w:ascii="Times New Roman" w:hAnsi="Times New Roman"/>
          <w:b w:val="0"/>
          <w:color w:val="000000"/>
          <w:sz w:val="28"/>
        </w:rPr>
        <w:t>1. Общие положения</w:t>
      </w:r>
      <w:bookmarkEnd w:id="3"/>
    </w:p>
    <w:p w14:paraId="3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34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Настоящий Административный регламент устанавливает порядок и стандарт предоставления государственной услуги «Лицензирование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продукцией» (далее – Услуга).</w:t>
      </w:r>
    </w:p>
    <w:p w14:paraId="35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Услуга предоставляется следующей категории заявителей: </w:t>
      </w:r>
    </w:p>
    <w:p w14:paraId="36000000">
      <w:pPr>
        <w:pStyle w:val="Style_2"/>
        <w:widowControl w:val="1"/>
        <w:tabs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юридическим лицам, созданным в соответствии с законодательством Российской Федерации;</w:t>
      </w:r>
    </w:p>
    <w:p w14:paraId="37000000">
      <w:pPr>
        <w:pStyle w:val="Style_2"/>
        <w:widowControl w:val="1"/>
        <w:tabs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2) индивидуальным предпринимателям, зарегистрированным в порядке, установленном </w:t>
      </w:r>
      <w:r>
        <w:rPr>
          <w:rFonts w:ascii="Times New Roman" w:hAnsi="Times New Roman"/>
          <w:b w:val="0"/>
          <w:color w:val="000000"/>
          <w:sz w:val="28"/>
        </w:rPr>
        <w:t>законодательством Российской Федерации.</w:t>
      </w:r>
    </w:p>
    <w:p w14:paraId="38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Услуга должна быть предоставлена заявителю в соответствии с категориями (признаками) заявителя, которые размещаются в федеральной государственной информационной системе «Единый портал государственных и муниципальных услуг (функций)» (далее – Единый портал).</w:t>
      </w:r>
    </w:p>
    <w:p w14:paraId="3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</w:p>
    <w:p w14:paraId="3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2. </w:t>
      </w:r>
      <w:bookmarkStart w:id="4" w:name="undefined_Копия_1"/>
      <w:r>
        <w:rPr>
          <w:rFonts w:ascii="Times New Roman" w:hAnsi="Times New Roman"/>
          <w:b w:val="0"/>
          <w:color w:val="000000"/>
          <w:sz w:val="28"/>
        </w:rPr>
        <w:t>Стандарт предоставления Услуги</w:t>
      </w:r>
      <w:bookmarkEnd w:id="4"/>
    </w:p>
    <w:p w14:paraId="3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3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2.1. Наименование Услуги</w:t>
      </w:r>
    </w:p>
    <w:p w14:paraId="3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3E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продукцией.</w:t>
      </w:r>
    </w:p>
    <w:p w14:paraId="3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4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2.2. Наименование органа, предоставляющего Услугу</w:t>
      </w:r>
    </w:p>
    <w:p w14:paraId="4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42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Услугу предоставляет Министерство экономического развития Камчатского края (далее – орган власти, лицензирующий орган).</w:t>
      </w:r>
    </w:p>
    <w:p w14:paraId="43000000">
      <w:pPr>
        <w:pStyle w:val="Style_2"/>
        <w:widowControl w:val="1"/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44000000">
      <w:pPr>
        <w:pStyle w:val="Style_2"/>
        <w:widowControl w:val="1"/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4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2.3. Результат предоставления Услуги</w:t>
      </w:r>
    </w:p>
    <w:p w14:paraId="4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47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При обращении заявителя за предоставлением лицензии на розничную торговлю табачной продукцией и никотинсодержащей продукцией или развозную торговлю табачной продукцией и никотинсодержащей продукцией результатами оказания Услуги являются: </w:t>
      </w:r>
    </w:p>
    <w:p w14:paraId="4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выдача лицензии на розничную торговлю табачной продукцией и никотинсодержащей продукцией;</w:t>
      </w:r>
    </w:p>
    <w:p w14:paraId="4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2) выдача лицензии на развозную торговлю табачной продукцией и никотинсодержащей продукцией;</w:t>
      </w:r>
    </w:p>
    <w:p w14:paraId="4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3) отказ в выдаче лицензии на розничную торговлю табачной продукцией и никотинсодержащей продукцией;</w:t>
      </w:r>
    </w:p>
    <w:p w14:paraId="4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4) отказ в выдаче лицензии на развозную торговлю табачной продукцией и никотинсодержащей продукцией;</w:t>
      </w:r>
    </w:p>
    <w:p w14:paraId="4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5) реестровая запись, вносимая в «Государственный реестр выданных, приостановленных и аннулированных лицензий на производство и оборот табачной продукции, никотинсодержащей продукции и сырья для их производства» (далее – реестр лицензий).</w:t>
      </w:r>
    </w:p>
    <w:p w14:paraId="4D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При обращении заявителя за продлением срока действия лицензии на розничную торговлю табачной продукцией и никотинсодержащей продукцией или развозную торговлю табачной продукцией и никотинсодержащей продукцией результатами предоставления Услуги являются: </w:t>
      </w:r>
    </w:p>
    <w:p w14:paraId="4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продление срока действия лицензии на розничную торговлю табачной продукцией и никотинсодержащей продукцией;</w:t>
      </w:r>
    </w:p>
    <w:p w14:paraId="4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2) продление срока действия лицензии на развозную торговлю табачной продукцией и никотинсодержащей продукцией;</w:t>
      </w:r>
    </w:p>
    <w:p w14:paraId="5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3) отказ в продлении срока действия лицензии на розничную торговлю табачной продукцией и никотинсодержащей продукцией;</w:t>
      </w:r>
    </w:p>
    <w:p w14:paraId="5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4) отказ в продлении срока действия лицензии на развозную торговлю табачной продукцией и никотинсодержащей продукцией;</w:t>
      </w:r>
    </w:p>
    <w:p w14:paraId="5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5) реестровая запись, вносимая в реестр лицензий.</w:t>
      </w:r>
    </w:p>
    <w:p w14:paraId="53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При обращении заявителя за прекращением действия лицензии на розничную торговлю табачной продукцией и никотинсодержащей продукцией или развозную торговлю табачной продукцией и никотинсодержащей продукцией результатами предоставления Услуги являются: </w:t>
      </w:r>
    </w:p>
    <w:p w14:paraId="5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1) 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прекращение действия лицензии </w:t>
      </w:r>
      <w:r>
        <w:rPr>
          <w:rFonts w:ascii="Times New Roman" w:hAnsi="Times New Roman"/>
          <w:b w:val="0"/>
          <w:color w:val="000000"/>
          <w:sz w:val="28"/>
        </w:rPr>
        <w:t>на розничную торговлю табачной продукцией и никотинсодержащей продукцией</w:t>
      </w:r>
      <w:r>
        <w:rPr>
          <w:rFonts w:ascii="Times New Roman" w:hAnsi="Times New Roman"/>
          <w:b w:val="0"/>
          <w:i w:val="0"/>
          <w:color w:val="000000"/>
          <w:sz w:val="28"/>
        </w:rPr>
        <w:t>;</w:t>
      </w:r>
    </w:p>
    <w:p w14:paraId="5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2) </w:t>
      </w:r>
      <w:r>
        <w:rPr>
          <w:rFonts w:ascii="Times New Roman" w:hAnsi="Times New Roman"/>
          <w:b w:val="0"/>
          <w:i w:val="0"/>
          <w:color w:val="000000"/>
          <w:sz w:val="28"/>
        </w:rPr>
        <w:t xml:space="preserve">прекращение действия лицензии на </w:t>
      </w:r>
      <w:r>
        <w:rPr>
          <w:rFonts w:ascii="Times New Roman" w:hAnsi="Times New Roman"/>
          <w:b w:val="0"/>
          <w:color w:val="000000"/>
          <w:sz w:val="28"/>
        </w:rPr>
        <w:t>развозную торговлю табачной продукцией и никотинсодержащей продукцией;</w:t>
      </w:r>
    </w:p>
    <w:p w14:paraId="5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3) отказ в предоставлении Услуги;</w:t>
      </w:r>
    </w:p>
    <w:p w14:paraId="5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4) реестровая запись, вносимая в реестр лицензий.</w:t>
      </w:r>
    </w:p>
    <w:p w14:paraId="58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При обращении заявителя за внесением изменений в реестр лицензий результатом предоставления Услуги являются: </w:t>
      </w:r>
    </w:p>
    <w:p w14:paraId="5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внесение изменений в реестр лицензий;</w:t>
      </w:r>
    </w:p>
    <w:p w14:paraId="5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2) отказ во внесении изменений в реестр лицензий;</w:t>
      </w:r>
    </w:p>
    <w:p w14:paraId="5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3) реестровая запись, вносимая в реестр лицензий.</w:t>
      </w:r>
    </w:p>
    <w:p w14:paraId="5C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При обращении заявителя за исправлением допущенных опечаток и (или) ошибок в выданных в результате предоставления Услуги документах и (или) созданных реестровых записях результатами предоставления Услуги являются: </w:t>
      </w:r>
    </w:p>
    <w:p w14:paraId="5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исправление допущенных опечаток и (или) ошибок в выданных в результате предоставления Услуги документах и (или) созданных реестровых записях;</w:t>
      </w:r>
    </w:p>
    <w:p w14:paraId="5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2) отказ в предоставлении Услуги;</w:t>
      </w:r>
    </w:p>
    <w:p w14:paraId="5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3) реестровая запись, вносимая в реестр лицензий.</w:t>
      </w:r>
    </w:p>
    <w:p w14:paraId="60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Способом получения результата Услуги является подписанный в соответствии с действующим законодательством электронный документ, направленный посредством Единого портала.</w:t>
      </w:r>
    </w:p>
    <w:p w14:paraId="6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themeColor="text1" w:val="000000"/>
          <w:sz w:val="28"/>
        </w:rPr>
      </w:pPr>
    </w:p>
    <w:p w14:paraId="6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themeColor="text1" w:val="000000"/>
          <w:sz w:val="28"/>
        </w:rPr>
      </w:pPr>
      <w:r>
        <w:rPr>
          <w:rFonts w:ascii="Times New Roman" w:hAnsi="Times New Roman"/>
          <w:b w:val="0"/>
          <w:color w:themeColor="text1" w:val="000000"/>
          <w:sz w:val="28"/>
        </w:rPr>
        <w:t>2.4. Срок предоставления Услуги</w:t>
      </w:r>
    </w:p>
    <w:p w14:paraId="6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themeColor="text1" w:val="000000"/>
          <w:sz w:val="28"/>
        </w:rPr>
      </w:pPr>
    </w:p>
    <w:p w14:paraId="64000000">
      <w:pPr>
        <w:pStyle w:val="Style_2"/>
        <w:widowControl w:val="1"/>
        <w:numPr>
          <w:ilvl w:val="6"/>
          <w:numId w:val="1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themeColor="text1" w:val="000000"/>
          <w:sz w:val="28"/>
        </w:rPr>
      </w:pPr>
      <w:r>
        <w:rPr>
          <w:rFonts w:ascii="Times New Roman" w:hAnsi="Times New Roman"/>
          <w:b w:val="0"/>
          <w:i w:val="0"/>
          <w:caps w:val="0"/>
          <w:smallCaps w:val="0"/>
          <w:color w:themeColor="text1" w:val="000000"/>
          <w:spacing w:val="0"/>
          <w:sz w:val="28"/>
        </w:rPr>
        <w:t xml:space="preserve">Независимо от категории (признаков) заявителя срок оказания Услуги с даты регистрации запроса о предоставлении Услуги </w:t>
      </w:r>
      <w:r>
        <w:rPr>
          <w:rFonts w:ascii="Times New Roman" w:hAnsi="Times New Roman"/>
          <w:b w:val="0"/>
          <w:color w:themeColor="text1" w:val="000000"/>
          <w:sz w:val="28"/>
        </w:rPr>
        <w:t>(далее – заявление)</w:t>
      </w:r>
      <w:r>
        <w:rPr>
          <w:rFonts w:ascii="Times New Roman" w:hAnsi="Times New Roman"/>
          <w:b w:val="0"/>
          <w:i w:val="0"/>
          <w:caps w:val="0"/>
          <w:smallCaps w:val="0"/>
          <w:color w:themeColor="text1" w:val="000000"/>
          <w:spacing w:val="0"/>
          <w:sz w:val="28"/>
        </w:rPr>
        <w:t xml:space="preserve"> и необходимых документов, представленных заявителем посредством Единого портала,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 составляет 10 </w:t>
      </w:r>
      <w:r>
        <w:rPr>
          <w:rFonts w:ascii="Times New Roman" w:hAnsi="Times New Roman"/>
          <w:b w:val="0"/>
          <w:color w:val="000000"/>
          <w:sz w:val="28"/>
        </w:rPr>
        <w:t>рабочих дней. С учетом продления максимальный срок предоставления Ус</w:t>
      </w:r>
      <w:r>
        <w:rPr>
          <w:rFonts w:ascii="Times New Roman" w:hAnsi="Times New Roman"/>
          <w:b w:val="0"/>
          <w:color w:themeColor="text1" w:val="000000"/>
          <w:sz w:val="28"/>
        </w:rPr>
        <w:t>луги – 20 рабочих дней.</w:t>
      </w:r>
    </w:p>
    <w:p w14:paraId="6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jc w:val="both"/>
        <w:rPr/>
      </w:pPr>
      <w:r>
        <w:rPr>
          <w:rFonts w:ascii="Times New Roman" w:hAnsi="Times New Roman"/>
          <w:b w:val="0"/>
          <w:color w:val="000000"/>
          <w:sz w:val="28"/>
        </w:rPr>
        <w:t xml:space="preserve">13. При получении документов на выдачу или продление срока действия соответствующей лицензии </w:t>
      </w:r>
      <w:r>
        <w:rPr>
          <w:rFonts w:ascii="Times New Roman" w:hAnsi="Times New Roman"/>
          <w:b w:val="0"/>
          <w:i w:val="0"/>
          <w:caps w:val="0"/>
          <w:smallCaps w:val="0"/>
          <w:color w:themeColor="text1" w:val="000000"/>
          <w:spacing w:val="0"/>
          <w:sz w:val="28"/>
        </w:rPr>
        <w:t>срок оказания Услуги</w:t>
      </w:r>
      <w:r>
        <w:rPr>
          <w:rFonts w:ascii="Times New Roman" w:hAnsi="Times New Roman"/>
          <w:b w:val="0"/>
          <w:color w:val="000000"/>
          <w:sz w:val="28"/>
        </w:rPr>
        <w:t xml:space="preserve"> может быть увеличен решением лицензирующего органа не более чем на 10 рабочих дней в одном из следующих случаев:</w:t>
      </w:r>
    </w:p>
    <w:p w14:paraId="6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место осуществления предполагаемой лицензируемой деятельности находится за пределами территории населенного пункта, на которой расположен лицензирующий орган;</w:t>
      </w:r>
    </w:p>
    <w:p w14:paraId="6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2) неполучение в установленный срок по межведомственному запросу лицензирующего органа, направленному с использованием единой системы межведомственного электронного взаимодействия, либо в письменной форме на бумажном носителе, либо в форме электронного документа, сведений и документов, которые необходимы для предоставления государственной услуги и находятся в распоряжении других государственных и иных органов.</w:t>
      </w:r>
    </w:p>
    <w:p w14:paraId="6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>14. Приказ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о продлении срока </w:t>
      </w:r>
      <w:r>
        <w:rPr>
          <w:rFonts w:ascii="Times New Roman" w:hAnsi="Times New Roman"/>
          <w:b w:val="0"/>
          <w:color w:val="000000"/>
          <w:sz w:val="28"/>
        </w:rPr>
        <w:t>предоставления Ус</w:t>
      </w:r>
      <w:r>
        <w:rPr>
          <w:rFonts w:ascii="Times New Roman" w:hAnsi="Times New Roman"/>
          <w:b w:val="0"/>
          <w:color w:themeColor="text1" w:val="000000"/>
          <w:sz w:val="28"/>
        </w:rPr>
        <w:t>луги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направляется заявителю в форме электронного документа посредством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Единого портала,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br/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а также по адресу электронной почты, указанному в заявлении.</w:t>
      </w:r>
    </w:p>
    <w:p w14:paraId="6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>15. В случае направления заявителю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, в соответствии с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разделом 3.5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настоящего </w:t>
      </w:r>
      <w:r>
        <w:rPr>
          <w:rStyle w:val="Style_2_ch"/>
          <w:rFonts w:ascii="Times New Roman" w:hAnsi="Times New Roman"/>
          <w:b w:val="0"/>
          <w:strike w:val="0"/>
          <w:color w:val="000000"/>
          <w:sz w:val="28"/>
        </w:rPr>
        <w:t>Административного регламента</w:t>
      </w:r>
      <w:r>
        <w:rPr>
          <w:rStyle w:val="Style_2_ch"/>
          <w:rFonts w:ascii="Times New Roman" w:hAnsi="Times New Roman"/>
          <w:b w:val="0"/>
          <w:strike w:val="0"/>
          <w:color w:val="000000"/>
          <w:sz w:val="28"/>
        </w:rPr>
        <w:t>,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уведомления о необходимости устранения выявленных нарушений,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срок предоставления Услуги исчисляется со дня, следующего за днем получения лицензирующим органом от заявителя информации об устранении выявленных нарушений, или в случае неполучения информации от заявителя со дня, следующего за днем истечения срока для устранения выявленных нарушений.</w:t>
      </w:r>
    </w:p>
    <w:p w14:paraId="6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16. В случае получения заявления о досрочном прекращении действия лицензии максимальный срок оказания Услуги с даты регистрации запроса составляет 5 рабочих дней.</w:t>
      </w:r>
    </w:p>
    <w:p w14:paraId="6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 </w:t>
      </w:r>
    </w:p>
    <w:p w14:paraId="6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2.5. Размер платы, взимаемой с заявителя при предоставлении Услуги, и способы ее взимания</w:t>
      </w:r>
    </w:p>
    <w:p w14:paraId="6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6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17. За предоставление Услуги уплачивается государственная пошлина в размере, предусмотренном подпунктом 146 пункта 1 статьи 333</w:t>
      </w:r>
      <w:r>
        <w:rPr>
          <w:rFonts w:ascii="Times New Roman" w:hAnsi="Times New Roman"/>
          <w:b w:val="0"/>
          <w:color w:val="000000"/>
          <w:sz w:val="28"/>
          <w:vertAlign w:val="superscript"/>
        </w:rPr>
        <w:t>33</w:t>
      </w:r>
      <w:r>
        <w:rPr>
          <w:rFonts w:ascii="Times New Roman" w:hAnsi="Times New Roman"/>
          <w:b w:val="0"/>
          <w:color w:val="000000"/>
          <w:sz w:val="28"/>
        </w:rPr>
        <w:t xml:space="preserve"> Налогового Кодекса Российской Федерации.</w:t>
      </w:r>
    </w:p>
    <w:p w14:paraId="6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18. Информация о размере государственной пошлины, взимаемой за предоставление Услуги, размещена на Едином портале.</w:t>
      </w:r>
    </w:p>
    <w:p w14:paraId="7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19. Государственная пошлина уплачивается по квитанции, сформированной на Едином портале, по реквизитам в банке, посредством Единого портала.</w:t>
      </w:r>
    </w:p>
    <w:p w14:paraId="7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>20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.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Государственная пошлина не взимается в следующих случаях:</w:t>
      </w:r>
    </w:p>
    <w:p w14:paraId="7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1)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подача заявления о прекращении действия лицензии;</w:t>
      </w:r>
    </w:p>
    <w:p w14:paraId="7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2)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внесение изменений в выданный по результатам предоставления государственной услуги документ, направленных на исправление ошибок, допущенных по вине лицензирующего органа и (или) должностного лица лицензирующего органа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.</w:t>
      </w:r>
    </w:p>
    <w:p w14:paraId="7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</w:p>
    <w:p w14:paraId="7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2.6. Срок регистрации запроса заявителя о предоставлении Услуги</w:t>
      </w:r>
    </w:p>
    <w:p w14:paraId="7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77000000">
      <w:pPr>
        <w:pStyle w:val="Style_2"/>
        <w:widowControl w:val="1"/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21. Срок регистрации заявления и документов о предоставлении Услуги с учетом способа подачи заявления составляет 1 рабочий день с даты поступления заявления и документов в лицензирующий орган.</w:t>
      </w:r>
    </w:p>
    <w:p w14:paraId="78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</w:p>
    <w:p w14:paraId="7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2.7. Показатели доступности и качества Услуги</w:t>
      </w:r>
    </w:p>
    <w:p w14:paraId="7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7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22. Показатели доступности и качества Услуги размещены на официальном сайте органа власти в сети «Интернет» во вкладке «Бизнес», а также на Едином портале.</w:t>
      </w:r>
    </w:p>
    <w:p w14:paraId="7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7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2.8. Иные требования к предоставлению Услуги</w:t>
      </w:r>
    </w:p>
    <w:p w14:paraId="7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</w:p>
    <w:p w14:paraId="7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23. Услуги, которые являются необходимыми и обязательными для предоставления Услуги, законодательством Российской Федерации не предусмотрены. </w:t>
      </w:r>
    </w:p>
    <w:p w14:paraId="8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24. Информационные системы, используемые для предоставления Услуги:</w:t>
      </w:r>
    </w:p>
    <w:p w14:paraId="8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единая система межведомственного электронного взаимодействия;</w:t>
      </w:r>
    </w:p>
    <w:p w14:paraId="8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2) реестр лицензий;</w:t>
      </w:r>
    </w:p>
    <w:p w14:paraId="8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3) государственная информационная система о государственных и муниципальных платежах (далее – ГИС ГМП);</w:t>
      </w:r>
    </w:p>
    <w:p w14:paraId="8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4) Единый портал.</w:t>
      </w:r>
    </w:p>
    <w:p w14:paraId="8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25. Невозможность предоставления законному представителю несовершеннолетнего, не являющемуся заявителем, результатов предоставления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Услуги в отношении несовершеннолетнего лично, обусловлена оказанием Услуги только юридическим лицам и индивидуальным предпринимателям.</w:t>
      </w:r>
    </w:p>
    <w:p w14:paraId="8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26. Порядок предоставления результатов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Услуга оказывается только юридическим лицам и индивидуальным предпринимателям.</w:t>
      </w:r>
    </w:p>
    <w:p w14:paraId="8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27. Возможность получения Услуги в Многофункциональном центре предоставления государственных и муниципальных услуг не предусмотрена.</w:t>
      </w:r>
    </w:p>
    <w:p w14:paraId="8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28. Возможность (невозможность) выдачи заявителю результата оказания Услуги в Многофункциональном центре </w:t>
      </w:r>
      <w:r>
        <w:rPr>
          <w:rFonts w:ascii="Times New Roman" w:hAnsi="Times New Roman"/>
          <w:b w:val="0"/>
          <w:color w:val="000000"/>
          <w:sz w:val="28"/>
        </w:rPr>
        <w:t>предоставления государственных и муниципальных услуг не предусмотрена.</w:t>
      </w:r>
    </w:p>
    <w:p w14:paraId="8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</w:p>
    <w:p w14:paraId="8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2.9. Исчерпывающий перечень документов, необходимых для предоставления Услуги</w:t>
      </w:r>
    </w:p>
    <w:p w14:paraId="8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8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29. В таблице 2 приложения к настоящему Административному регламенту приведен исчерпывающий перечень документов, необходимых для предоставления Услуги, с разделением на:</w:t>
      </w:r>
    </w:p>
    <w:p w14:paraId="8D000000">
      <w:pPr>
        <w:pStyle w:val="Style_2"/>
        <w:widowControl w:val="1"/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исчерпывающий перечень документов, необходимых в соответствии с законодательными или иными нормативными правовыми актами Российской Федерации для предоставления Услуги, которые заявитель должен представить самостоятельно (далее – обязательный документ);</w:t>
      </w:r>
    </w:p>
    <w:p w14:paraId="8E000000">
      <w:pPr>
        <w:pStyle w:val="Style_2"/>
        <w:widowControl w:val="1"/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2) исчерпывающий перечень документов, необходимых в соответствии с законодательными или иными нормативными правовыми актами Российской Федерации для предоставления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 (далее – документ, предоставляемый по собственной инициативе). </w:t>
      </w:r>
    </w:p>
    <w:p w14:paraId="8F000000">
      <w:pPr>
        <w:pStyle w:val="Style_2"/>
        <w:widowControl w:val="1"/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30.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Подача заявления о предоставлении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государственной у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слуги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осуществляется исключительно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в электронной форме посредством Единого портала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. </w:t>
      </w:r>
    </w:p>
    <w:p w14:paraId="90000000">
      <w:pPr>
        <w:pStyle w:val="Style_2"/>
        <w:widowControl w:val="1"/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>Ф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ормирование заявления осуществляется посредством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внесения данных, предусмотренных частью 10 статьи 8 Федерального закона № 203-ФЗ, в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интерактивную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форму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на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Едино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м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портал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е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, в связи с чем отдельная форма заявления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настоящим Административным регламентом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не предусмотрена.</w:t>
      </w:r>
    </w:p>
    <w:p w14:paraId="9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9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2.10. Исчерпывающий перечень оснований для отказа в приеме</w:t>
      </w:r>
      <w:r>
        <w:rPr>
          <w:rFonts w:ascii="Times New Roman" w:hAnsi="Times New Roman"/>
          <w:b w:val="0"/>
          <w:color w:val="000000"/>
        </w:rPr>
        <w:br/>
      </w:r>
      <w:r>
        <w:rPr>
          <w:rFonts w:ascii="Times New Roman" w:hAnsi="Times New Roman"/>
          <w:b w:val="0"/>
          <w:color w:val="000000"/>
          <w:sz w:val="28"/>
        </w:rPr>
        <w:t>заявления и документов, необходимых для предоставления Услуги и исчерпывающий перечень оснований для приостановления предоставления Услуги или для отказа в предоставлении Услуги</w:t>
      </w:r>
    </w:p>
    <w:p w14:paraId="9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9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31. Решение об отказе в приеме заявления и документов, необходимых для предоставления Услуги, принимает орган власти при наличии следующих оснований:</w:t>
      </w:r>
    </w:p>
    <w:p w14:paraId="9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электронная подпись не соответствует требованиям, установленным статьей 11 Федерального закона от 06.04.2011 № 63-ФЗ «Об электронной подписи»;</w:t>
      </w:r>
    </w:p>
    <w:p w14:paraId="9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2) предоставленные документы или сведения утратили силу на момент обращения за Услугой;</w:t>
      </w:r>
    </w:p>
    <w:p w14:paraId="9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3) некорректное заполнение обязательных полей в форме заявления на Едином портале (неправильное и (или) неполное заполнение обязательных полей);</w:t>
      </w:r>
    </w:p>
    <w:p w14:paraId="9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4) подписание заявления о предоставлении Услуги электронной подписью, не принадлежащей заявителю или представителю заявителя;</w:t>
      </w:r>
    </w:p>
    <w:p w14:paraId="9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5) по инициативе заявителя.</w:t>
      </w:r>
    </w:p>
    <w:p w14:paraId="9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32. Решение о приостановлении предоставления Услуги принимает орган власти при наличии следующих оснований:</w:t>
      </w:r>
    </w:p>
    <w:p w14:paraId="9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1) наличие у заявителя на 1-е число месяца поступления в лицензирующий орган заявления о выдаче лицензии задолженности в размере отрицательного сальдо единого налогового счета, превышающего 3000 рублей, информация о которой получена в форме электронного документа с использованием единой системы межведомственного электронного взаимодействия;</w:t>
      </w:r>
    </w:p>
    <w:p w14:paraId="9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2) выявление в представленных документах недостоверной информации и (или) неполной информации в случае, если такая неполная информация не позволяет установить соответствие заявителя лицензионным требованиям, определенным пунктами 3, 12 части 32 и пунктом 1 части 33.2 статьи 8 Федерального закона от 13.06.2023 № 203-ФЗ «О государственном регулировании производства и оборота табачных изделий, табачной продукции, никотинсодержащей продукции и сырья для их производства» (далее – Федеральный закон № 203-ФЗ), либо представление заявителем неполного комплекта документов, предусмотренных для выдачи лицензии;</w:t>
      </w:r>
    </w:p>
    <w:p w14:paraId="9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b w:val="0"/>
          <w:sz w:val="28"/>
        </w:rPr>
        <w:t>3) наличие сведений об отсутствии факта внесения сведений о заявителе в единый государственный реестр юридических лиц (далее – ЕГРЮЛ), единый государственный реестр индивидуальных предпринимателей (далее – ЕГРИП) или факта постановки заявителя на учет в налоговом органе;</w:t>
      </w:r>
    </w:p>
    <w:p w14:paraId="9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4) отсутствие уплаты (неполная уплата) государственной пошлины за действия, связанные с лицензированием деятельности по производству и обороту табачной продукции, никотинсодержащей продукции и сырья для производства такой продукции;</w:t>
      </w:r>
    </w:p>
    <w:p w14:paraId="9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5) отсутствие регистрации заявителя в информационной системе мониторинга;</w:t>
      </w:r>
    </w:p>
    <w:p w14:paraId="A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6) наличие у заявителя на 1-е число месяца, в котором лицензирующим органом зарегистрировано заявление о выдаче лицензии, не уплаченного, по данным ГИС ГМП, в установленный законодательством Российской Федерации срок административного штрафа, назначенного за административное правонарушение, предусмотренное статьей 14.43, 14.45, 14.53 или 14.67, частью 3 или 4 статьи 15.12, статьей 15.12.1 или 17.7, частью 6 статьи 19.4, частью 1 или 2 статьи 19.4.1, частью 15 или 22 статьи 19.5, статьей 19.6 или 19.7 Кодекса Российской Федерации об административных правонарушениях (далее – КоАП РФ), совершенное в области производства и оборота табачных изделий, табачной продукции, никотинсодержащей продукции и сырья для их производства.</w:t>
      </w:r>
    </w:p>
    <w:p w14:paraId="A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33. Решение об отказе в предоставлении Услуги принимает орган власти при наличии следующих оснований: </w:t>
      </w:r>
    </w:p>
    <w:p w14:paraId="A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color w:val="000000"/>
          <w:sz w:val="28"/>
        </w:rPr>
        <w:t xml:space="preserve">1) несоответствие заявителя лицензионному требованию, определенному пунктом 12 части 32 статьи 8 </w:t>
      </w:r>
      <w:r>
        <w:rPr>
          <w:rFonts w:ascii="Times New Roman" w:hAnsi="Times New Roman"/>
          <w:b w:val="0"/>
          <w:sz w:val="28"/>
        </w:rPr>
        <w:t>Федерального закона № 203-ФЗ</w:t>
      </w:r>
      <w:r>
        <w:rPr>
          <w:rFonts w:ascii="Times New Roman" w:hAnsi="Times New Roman"/>
          <w:color w:val="000000"/>
          <w:sz w:val="28"/>
        </w:rPr>
        <w:t>;</w:t>
      </w:r>
    </w:p>
    <w:p w14:paraId="A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color w:val="000000"/>
          <w:sz w:val="28"/>
        </w:rPr>
        <w:t xml:space="preserve">2) несоответствие заявителя лицензионным требованиям, определенным пунктами 1 - 3 части 33.2 статьи 8 </w:t>
      </w:r>
      <w:r>
        <w:rPr>
          <w:rFonts w:ascii="Times New Roman" w:hAnsi="Times New Roman"/>
          <w:b w:val="0"/>
          <w:sz w:val="28"/>
        </w:rPr>
        <w:t>Федерального закона № 203-ФЗ</w:t>
      </w:r>
      <w:r>
        <w:rPr>
          <w:rFonts w:ascii="Times New Roman" w:hAnsi="Times New Roman"/>
          <w:color w:val="000000"/>
          <w:sz w:val="28"/>
        </w:rPr>
        <w:t>; (в отношении заявителя, осуществляющего (планирующего осуществлять) деятельность по розничной торговли табачной продукцией и никотинсодержащей продукцией);</w:t>
      </w:r>
    </w:p>
    <w:p w14:paraId="A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color w:val="000000"/>
          <w:sz w:val="28"/>
        </w:rPr>
        <w:t>3)  непредставление заявителем уведомления об устранении выявленных нарушений в лицензирующий орган в двадцатидневный срок со дня направления такого уведомления;</w:t>
      </w:r>
    </w:p>
    <w:p w14:paraId="A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color w:val="000000"/>
          <w:sz w:val="28"/>
        </w:rPr>
        <w:t>4) неустранение заявителем нарушений, выявленных в порядке, определенном частями 16, 17 статьи 8 Федерального закона № 203-ФЗ;</w:t>
      </w:r>
    </w:p>
    <w:p w14:paraId="A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color w:val="000000"/>
          <w:sz w:val="28"/>
        </w:rPr>
        <w:t>5) отсутствие регистрации заявителя в информационной системе мониторинга;</w:t>
      </w:r>
    </w:p>
    <w:p w14:paraId="A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color w:val="000000"/>
          <w:sz w:val="28"/>
        </w:rPr>
        <w:t>6) не истечение 1 года после дня аннулирования лицензии;</w:t>
      </w:r>
    </w:p>
    <w:p w14:paraId="A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color w:val="000000"/>
          <w:sz w:val="28"/>
        </w:rPr>
        <w:t>7) несоответствие указанных в заявлении о выдаче лицензии адресов мест осуществления лицензируемого вида деятельности (адресов или сведений о местах размещения торговых объектов, не являющихся недвижимым имуществом) фактическим адресам мест осуществления лицензируемого вида деятельности (адресам или сведениям о местах размещения торговых объектов, не являющихся недвижимым имуществом), установленное лицензирующим органом по результатам выездной оценки соответствия заявителя обязательным требованиям;</w:t>
      </w:r>
    </w:p>
    <w:p w14:paraId="A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/>
      </w:pPr>
      <w:r>
        <w:rPr>
          <w:rFonts w:ascii="Times New Roman" w:hAnsi="Times New Roman"/>
          <w:color w:val="000000"/>
          <w:sz w:val="28"/>
        </w:rPr>
        <w:t>8) наличие у заявителя на 1-е число месяца, в котором лицензирующим органом зарегистрировано заявление о выдаче лицензии, не уплаченного, по данным ГИС ГМП, в установленный законодательством Российской Федерации срок административного штрафа, который назначен за административное правонарушение, предусмотренное статьей 14.43, 14.45, 14.53 или 14.67, частью 3 или 4 статьи 15.12, статьей 15.12.1 или 17.7, частью 6 статьи 19.4, частью 1 или 2 статьи 19.4.1, частью 15 или 22 статьи 19.5, статьей 19.6 или 19.7</w:t>
      </w:r>
      <w:r>
        <w:rPr>
          <w:rFonts w:ascii="XO Thames" w:hAnsi="XO Thames"/>
          <w:color w:val="000000"/>
          <w:spacing w:val="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КоАП</w:t>
      </w:r>
      <w:r>
        <w:rPr>
          <w:rFonts w:ascii="XO Thames" w:hAnsi="XO Thames"/>
          <w:color w:val="000000"/>
          <w:spacing w:val="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РФ, совершенное в области производства и оборота табачных изделий, табачной продукции, никотинсодержащей продукции и сырья для их производства, и задолженность по уплате которого не погашена на дату истечения двадцатидневного срока, установленного уведомлением об устранении выявленных нарушений;</w:t>
      </w:r>
    </w:p>
    <w:p w14:paraId="A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9) срок действия договора аренды торгового объекта меньше срока действия лицензии, указанного заявителем в заявлении о выдаче лицензии (в отношении заявителя, осуществляющего (планирующего осуществлять) деятельность по розничной торговли табачной продукцией и никотинсодержащей продукцией).</w:t>
      </w:r>
    </w:p>
    <w:p w14:paraId="A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34. Основания для отказа в приеме заявления и документов, необходимых для предоставления Услуги, основания для приостановления предоставления Услуги, основания для отказа в предоставлении Услуги с учетом категории (признаков) заявителя приведены в таблице 3 приложения к настоящему Административному регламенту. </w:t>
      </w:r>
    </w:p>
    <w:p w14:paraId="AC000000">
      <w:pPr>
        <w:pStyle w:val="Style_2"/>
        <w:widowControl w:val="1"/>
        <w:spacing w:after="0" w:before="0" w:line="240" w:lineRule="auto"/>
        <w:ind w:firstLine="0"/>
        <w:contextualSpacing w:val="1"/>
        <w:jc w:val="both"/>
        <w:rPr>
          <w:rFonts w:ascii="Times New Roman" w:hAnsi="Times New Roman"/>
          <w:color w:val="000000"/>
          <w:sz w:val="28"/>
        </w:rPr>
      </w:pPr>
    </w:p>
    <w:p w14:paraId="AD000000">
      <w:pPr>
        <w:pStyle w:val="Style_2"/>
        <w:widowControl w:val="1"/>
        <w:spacing w:after="0" w:before="0" w:line="240" w:lineRule="auto"/>
        <w:ind w:firstLine="0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3. </w:t>
      </w:r>
      <w:bookmarkStart w:id="5" w:name="undefined_Копия_2"/>
      <w:r>
        <w:rPr>
          <w:rFonts w:ascii="Times New Roman" w:hAnsi="Times New Roman"/>
          <w:b w:val="0"/>
          <w:color w:val="000000"/>
          <w:sz w:val="28"/>
        </w:rPr>
        <w:t>Состав, последовательность и сроки выполнения административных процедур</w:t>
      </w:r>
      <w:bookmarkEnd w:id="5"/>
    </w:p>
    <w:p w14:paraId="AE000000">
      <w:pPr>
        <w:pStyle w:val="Style_2"/>
        <w:widowControl w:val="1"/>
        <w:spacing w:after="0" w:before="0" w:line="240" w:lineRule="auto"/>
        <w:ind w:firstLine="709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A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3.1. Перечень осуществляемых при предоставлении Услуги </w:t>
      </w:r>
    </w:p>
    <w:p w14:paraId="B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административных процедур</w:t>
      </w:r>
    </w:p>
    <w:p w14:paraId="B1000000">
      <w:pPr>
        <w:pStyle w:val="Style_2"/>
        <w:widowControl w:val="1"/>
        <w:spacing w:after="0" w:before="0" w:line="240" w:lineRule="auto"/>
        <w:ind w:firstLine="709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B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35. При предоставлении Услуги осуществляются следующие административные процедуры: </w:t>
      </w:r>
    </w:p>
    <w:p w14:paraId="B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1) профилирование заявителя;</w:t>
      </w:r>
    </w:p>
    <w:p w14:paraId="B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2) прием заявления и документов, необходимых для предоставления Услуги;</w:t>
      </w:r>
    </w:p>
    <w:p w14:paraId="B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3) межведомственное информационное взаимодействие;</w:t>
      </w:r>
    </w:p>
    <w:p w14:paraId="B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4) приостановление предоставления Услуги;</w:t>
      </w:r>
    </w:p>
    <w:p w14:paraId="B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5) получение дополнительных сведений от заявителя;</w:t>
      </w:r>
    </w:p>
    <w:p w14:paraId="B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6) проведение процедуры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оценки соответствия заявителя обязательным требованиям</w:t>
      </w:r>
      <w:r>
        <w:rPr>
          <w:rFonts w:ascii="Times New Roman" w:hAnsi="Times New Roman"/>
          <w:color w:val="000000"/>
          <w:sz w:val="28"/>
        </w:rPr>
        <w:t>, предусмотренных статьями 4, 8 и частью 5 статьи 9 Федерального закона № 203-ФЗ</w:t>
      </w:r>
      <w:r>
        <w:rPr>
          <w:rFonts w:ascii="Times New Roman" w:hAnsi="Times New Roman"/>
          <w:color w:val="000000"/>
          <w:sz w:val="28"/>
        </w:rPr>
        <w:t xml:space="preserve"> (далее – процедура оценки);</w:t>
      </w:r>
    </w:p>
    <w:p w14:paraId="B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7) принятие решения о предоставлении (об отказе в предоставлении) Услуги;</w:t>
      </w:r>
    </w:p>
    <w:p w14:paraId="B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8) предоставление результата Услуги.</w:t>
      </w:r>
    </w:p>
    <w:p w14:paraId="B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B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3.2. Профилирование заявителя</w:t>
      </w:r>
    </w:p>
    <w:p w14:paraId="B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B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36. По результатам получения ответов от заявителя на вопросы анкетирования определяется перечень комбинаций значений признаков заявителя. Идентификатор категорий (признаков) заявителя приведен в </w:t>
      </w:r>
      <w:r>
        <w:rPr/>
        <w:br/>
      </w:r>
      <w:r>
        <w:rPr>
          <w:rFonts w:ascii="Times New Roman" w:hAnsi="Times New Roman"/>
          <w:color w:val="000000"/>
          <w:sz w:val="28"/>
        </w:rPr>
        <w:t>таблице 1 приложения к настоящему Административному регламенту.</w:t>
      </w:r>
    </w:p>
    <w:p w14:paraId="B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37. Профилирование осуществляется посредством Единого портала.</w:t>
      </w:r>
    </w:p>
    <w:p w14:paraId="C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hanging="142"/>
        <w:contextualSpacing w:val="1"/>
        <w:jc w:val="both"/>
        <w:rPr>
          <w:rFonts w:ascii="Times New Roman" w:hAnsi="Times New Roman"/>
          <w:color w:val="000000"/>
          <w:sz w:val="28"/>
        </w:rPr>
      </w:pPr>
    </w:p>
    <w:p w14:paraId="C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3.3. Прием заявления и документов и (или) информации, необходимых </w:t>
      </w:r>
    </w:p>
    <w:p w14:paraId="C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для предоставления Услуги</w:t>
      </w:r>
    </w:p>
    <w:p w14:paraId="C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C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38. Состав заявления и перечень документов и (или) информации, необходимых для предоставления Услуги в соответствии с категорией (признаками) заявителя, а также способы подачи указанных документов и (или) информации приведены в таблице 2 приложения к настоящему Административному регламенту.</w:t>
      </w:r>
    </w:p>
    <w:p w14:paraId="C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strike w:val="0"/>
          <w:color w:val="000000"/>
          <w:sz w:val="28"/>
        </w:rPr>
      </w:pPr>
      <w:r>
        <w:rPr>
          <w:rFonts w:ascii="Times New Roman" w:hAnsi="Times New Roman"/>
          <w:strike w:val="0"/>
          <w:color w:val="000000"/>
          <w:sz w:val="28"/>
        </w:rPr>
        <w:t xml:space="preserve">39. </w:t>
      </w:r>
      <w:r>
        <w:rPr>
          <w:rFonts w:ascii="Times New Roman" w:hAnsi="Times New Roman"/>
          <w:sz w:val="28"/>
        </w:rPr>
        <w:t>Способами установления личности (идентификации) заявителя посредством Единого портала являются – Единая система идентификации и аутентификации, а также усиленная квалифицированная электронная подпись, усиленная неквалифицированная электронная подпись,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порядке.</w:t>
      </w:r>
    </w:p>
    <w:p w14:paraId="C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40. Основания для принятия решения об отказе в приеме заявления и документов, необходимых для предоставления Услуги, приведены в таблице 3 приложения к настоящему Административному регламенту.</w:t>
      </w:r>
    </w:p>
    <w:p w14:paraId="C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strike w:val="0"/>
          <w:color w:val="000000"/>
          <w:sz w:val="28"/>
        </w:rPr>
      </w:pPr>
      <w:r>
        <w:rPr>
          <w:rFonts w:ascii="Times New Roman" w:hAnsi="Times New Roman"/>
          <w:strike w:val="0"/>
          <w:color w:val="000000"/>
          <w:sz w:val="28"/>
        </w:rPr>
        <w:t xml:space="preserve">41. </w:t>
      </w:r>
      <w:r>
        <w:rPr>
          <w:rFonts w:ascii="Times New Roman" w:hAnsi="Times New Roman"/>
          <w:b w:val="0"/>
          <w:i w:val="0"/>
          <w:caps w:val="0"/>
          <w:smallCaps w:val="0"/>
          <w:color w:val="000000"/>
          <w:spacing w:val="0"/>
          <w:sz w:val="28"/>
        </w:rPr>
        <w:t>Возможность приема органом власти заявления и документов, необходимых для предоставления Услуги, по выбору заявителя независимо от его места жительства или места пребывания (для индивидуальных предпринимателей) либо места нахождения (для юридических лиц) не предусмотрена.</w:t>
      </w:r>
    </w:p>
    <w:p w14:paraId="C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42. </w:t>
      </w:r>
      <w:r>
        <w:rPr>
          <w:rFonts w:ascii="Times New Roman" w:hAnsi="Times New Roman"/>
          <w:b w:val="0"/>
          <w:color w:val="000000"/>
          <w:sz w:val="28"/>
        </w:rPr>
        <w:t>Срок регистрации заявления и документов о предоставлении Услуги с учетом способа подачи заявления составляет 1 рабочий день с даты поступления заявления и документов в лицензирующий орган.</w:t>
      </w:r>
    </w:p>
    <w:p w14:paraId="C9000000">
      <w:pPr>
        <w:tabs>
          <w:tab w:leader="none" w:pos="0" w:val="left"/>
        </w:tabs>
        <w:spacing w:after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43.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Заявление о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внесении изменений в реестр лицензий подае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тся в лицензирующий орган в течение 30 календарных дней со дня возникновения обстоятельств, вызвавших необходимость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внесения таких изменений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.</w:t>
      </w:r>
    </w:p>
    <w:p w14:paraId="C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44.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Заявление о продлении срока действия лицензии пода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е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тся в лицензирующий орган не ранее чем за 90 календарных дней до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истечения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срока действия лицензии.</w:t>
      </w:r>
    </w:p>
    <w:p w14:paraId="C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0"/>
          <w:color w:val="000000"/>
          <w:sz w:val="28"/>
        </w:rPr>
      </w:pPr>
    </w:p>
    <w:p w14:paraId="C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3.4. Межведомственное информационное взаимодействие</w:t>
      </w:r>
    </w:p>
    <w:p w14:paraId="C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C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45. Для получения Услуги необходимо направление следующих информационных запросов посредством федеральной государственной информационной системы «Единая система межведомственного электронного взаимодействия»: </w:t>
      </w:r>
    </w:p>
    <w:p w14:paraId="CF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1) информационный запрос «Информация об уплате государственной пошлины», направляемый в «Федеральное казначейство»;</w:t>
      </w:r>
    </w:p>
    <w:p w14:paraId="D0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2) информационный запрос «Выписка из ЕГРЮЛ в форме электронного документа», направляемый в «Федеральная налоговая служба»;</w:t>
      </w:r>
    </w:p>
    <w:p w14:paraId="D1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3) информационный запрос «Выписка из ЕГРИП в форме электронного документа», направляемый в «Федеральная налоговая служба»;</w:t>
      </w:r>
    </w:p>
    <w:p w14:paraId="D2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4) информационный запрос «Сведения о наличии у заявителя на 1-е число месяца регистрации лицензирующим органом заявления о выдаче (продлении) лицензии не уплаченного в установленный законодательством срок, по данным ГИС ГМП, административного штрафа, назначенного за правонарушение, предусмотренное КоАП РФ в области производства и оборота табачных изделий, табачной продукции, никотинсодержащей продукции и сырья для их производства», направляемый в «Федеральное казначейство»;</w:t>
      </w:r>
    </w:p>
    <w:p w14:paraId="D3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5) информационный запрос «Сведения о наличии (отсутствии) задолженности в размере отрицательного сальдо ЕНС, превышающего 3000 рублей», направляемый в «Федеральную налоговую службу»;</w:t>
      </w:r>
    </w:p>
    <w:p w14:paraId="D4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6) информационный запрос «Сведения о регистрации в информационной системе мониторинга участника табачного рынка», направляемый в «Центр развития перспективных технологий »;</w:t>
      </w:r>
    </w:p>
    <w:p w14:paraId="D5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7) информационный запрос «Выписка из Единого государственного реестра недвижимости об объекте недвижимости», направляемый в «Федеральная служба государственной регистрации, кадастра и картографии»;</w:t>
      </w:r>
    </w:p>
    <w:p w14:paraId="D6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8) информационный запрос «Сведения о регистрации транспортного средства», направляемый в «Министерство внутренних дел Российской Федерации».</w:t>
      </w:r>
    </w:p>
    <w:p w14:paraId="D7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46. Без использования федеральной государственной информационной системы «Единая система межведомственного электронного взаимодействия» необходимо направление информационного запроса о соответствии расположения заявленного объекта требованиям пункта 2 части 33.2 статьи 8 Федерального закона № 203-ФЗ – в органы местного самоуправления.</w:t>
      </w:r>
    </w:p>
    <w:p w14:paraId="D800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0"/>
          <w:i w:val="0"/>
          <w:caps w:val="0"/>
          <w:smallCaps w:val="0"/>
          <w:color w:val="000000"/>
          <w:spacing w:val="0"/>
          <w:sz w:val="28"/>
        </w:rPr>
        <w:t>Срок направления указанного информационного запроса составляет 3 рабочих дня с даты регистрации заявления. Срок получения ответа на указанный информационный запрос составляет не более 5 рабочих дней со дня поступления межведомственного запроса в орган, предоставляющий информацию.</w:t>
      </w:r>
    </w:p>
    <w:p w14:paraId="D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D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3.5. Приостановление предоставления Услуги </w:t>
      </w:r>
    </w:p>
    <w:p w14:paraId="D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D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47. Лицензирующий орган не позднее чем через 5 рабочих дней со дня ре</w:t>
      </w:r>
      <w:r>
        <w:rPr>
          <w:rFonts w:ascii="Times New Roman" w:hAnsi="Times New Roman"/>
          <w:color w:val="000000"/>
          <w:sz w:val="28"/>
        </w:rPr>
        <w:t xml:space="preserve">гистрации заявления о предоставлении Услуги (за исключением заявления о </w:t>
      </w:r>
      <w:r>
        <w:rPr>
          <w:rFonts w:ascii="Times New Roman" w:hAnsi="Times New Roman"/>
          <w:b w:val="0"/>
          <w:color w:val="000000"/>
          <w:sz w:val="28"/>
        </w:rPr>
        <w:t>прекращении действия лицензии на розничную торговлю табачной продукцией и никотинсодержащей продукцией или развозную торговлю табачной продукцией и никотинсодержащей продукцией) проверя</w:t>
      </w:r>
      <w:r>
        <w:rPr>
          <w:rFonts w:ascii="Times New Roman" w:hAnsi="Times New Roman"/>
          <w:color w:val="000000"/>
          <w:sz w:val="28"/>
        </w:rPr>
        <w:t>е</w:t>
      </w:r>
      <w:r>
        <w:rPr>
          <w:rFonts w:ascii="Times New Roman" w:hAnsi="Times New Roman"/>
          <w:color w:val="000000"/>
          <w:sz w:val="28"/>
        </w:rPr>
        <w:t xml:space="preserve">т представленные документы на предмет их соответствия части 10 статьи 8 Федерального закона № 203-ФЗ и </w:t>
      </w:r>
      <w:r>
        <w:rPr>
          <w:rFonts w:ascii="Times New Roman" w:hAnsi="Times New Roman"/>
          <w:color w:val="000000"/>
          <w:sz w:val="28"/>
        </w:rPr>
        <w:t xml:space="preserve">при наличии оснований, указанных в таблице 3 приложения к настоящему Административному регламенту, </w:t>
      </w:r>
      <w:r>
        <w:rPr>
          <w:rFonts w:ascii="Times New Roman" w:hAnsi="Times New Roman"/>
          <w:color w:val="000000"/>
          <w:sz w:val="28"/>
        </w:rPr>
        <w:t xml:space="preserve">приостанавливает предоставление Услуги </w:t>
      </w:r>
      <w:r>
        <w:rPr>
          <w:rFonts w:ascii="Times New Roman" w:hAnsi="Times New Roman"/>
          <w:color w:val="000000"/>
          <w:sz w:val="28"/>
        </w:rPr>
        <w:t>путем направления заявителю через Единый портал уведомления в форме электронного документа о необходимости устранения выявленных нарушений в двадцатидневный срок со дня направления данного уведомления.</w:t>
      </w:r>
    </w:p>
    <w:p w14:paraId="D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48. До устранения причин, послуживших основанием для приостановления предоставления Услуги, должностные лица органа власти административных действий не осуществляют.</w:t>
      </w:r>
    </w:p>
    <w:p w14:paraId="D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49. Предоставление Услуги возобновляется:</w:t>
      </w:r>
    </w:p>
    <w:p w14:paraId="DF000000">
      <w:pPr>
        <w:pStyle w:val="Style_2"/>
        <w:widowControl w:val="1"/>
        <w:numPr>
          <w:numId w:val="2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 w:left="0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со дня представления </w:t>
      </w:r>
      <w:r>
        <w:rPr>
          <w:rFonts w:ascii="Times New Roman" w:hAnsi="Times New Roman"/>
          <w:color w:val="000000"/>
          <w:sz w:val="28"/>
        </w:rPr>
        <w:t>от заявителя</w:t>
      </w:r>
      <w:r>
        <w:rPr>
          <w:rFonts w:ascii="Times New Roman" w:hAnsi="Times New Roman"/>
          <w:color w:val="000000"/>
          <w:sz w:val="28"/>
        </w:rPr>
        <w:t xml:space="preserve"> уведомления об устранении выявленных нарушений и подтверждающих документов, которые повторно рассматриваются лицензирующим органом в течении 5 рабочих дней </w:t>
      </w:r>
      <w:r>
        <w:rPr>
          <w:rFonts w:ascii="Times New Roman" w:hAnsi="Times New Roman"/>
          <w:color w:val="000000"/>
          <w:sz w:val="28"/>
        </w:rPr>
        <w:t>на предмет их соответствия части 10 статьи 8 Федерального закона № 203-ФЗ и устранения выявленных нарушений;</w:t>
      </w:r>
    </w:p>
    <w:p w14:paraId="E0000000">
      <w:pPr>
        <w:pStyle w:val="Style_2"/>
        <w:widowControl w:val="1"/>
        <w:numPr>
          <w:numId w:val="2"/>
        </w:numPr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 w:left="0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 истечении </w:t>
      </w:r>
      <w:r>
        <w:rPr>
          <w:rFonts w:ascii="Times New Roman" w:hAnsi="Times New Roman"/>
          <w:color w:val="000000"/>
          <w:sz w:val="28"/>
        </w:rPr>
        <w:t>двадцатидневного срока, установленного для устранения выявленных нарушений.</w:t>
      </w:r>
    </w:p>
    <w:p w14:paraId="E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E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3.6. Получение дополнительных сведений от заявителя </w:t>
      </w:r>
    </w:p>
    <w:p w14:paraId="E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b w:val="1"/>
          <w:color w:val="000000"/>
          <w:sz w:val="28"/>
        </w:rPr>
      </w:pPr>
    </w:p>
    <w:p w14:paraId="E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50. Основанием для получения от заявителя дополнительных документов и (или) информации в процессе предоставления Услуги является уведомление об устранении выявленных нарушений.</w:t>
      </w:r>
    </w:p>
    <w:p w14:paraId="E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51. Заявитель должен представить документы и (или) информацию в течение 20 календарных дней со дня получения уведомления о необходимости устранения выявленных нарушений. </w:t>
      </w:r>
    </w:p>
    <w:p w14:paraId="E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52. Предоставление Услуги приостанавливается на время осуществления настоящей административной процедуры.</w:t>
      </w:r>
    </w:p>
    <w:p w14:paraId="E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jc w:val="both"/>
        <w:rPr>
          <w:rFonts w:ascii="Times New Roman" w:hAnsi="Times New Roman"/>
          <w:b w:val="0"/>
          <w:color w:val="000000"/>
          <w:sz w:val="28"/>
        </w:rPr>
      </w:pPr>
    </w:p>
    <w:p w14:paraId="E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3.7. Процедура оценки</w:t>
      </w:r>
    </w:p>
    <w:p w14:paraId="E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E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53. Для получения Услуги необходимо проведение процедуры  оценки в соответствии с </w:t>
      </w:r>
      <w:r>
        <w:rPr>
          <w:rFonts w:ascii="Times New Roman" w:hAnsi="Times New Roman"/>
          <w:color w:val="000000"/>
          <w:sz w:val="28"/>
        </w:rPr>
        <w:t xml:space="preserve">постановлением Правительства Российской Федерации 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от 15.08.2023 № 1335 «</w:t>
      </w:r>
      <w:r>
        <w:rPr>
          <w:rFonts w:ascii="Times New Roman" w:hAnsi="Times New Roman"/>
          <w:color w:val="000000"/>
          <w:sz w:val="28"/>
        </w:rPr>
        <w:t>Об утверждении Правил проведения оценки соответствия заявителя обязательным требованиям при предоставлении федеральным органом по контролю и надзору и исполнительным органом субъекта Российской Федерации государственных услуг, предусмотренных статьями 4, 8 и частью 5 статьи 9 Федерального закона «О государственном регулировании производства и оборота табачных изделий, табачной продукции, никотинсодержащей продукции и сырья для их производства» (далее – правила проведения оценки соответствия)</w:t>
      </w:r>
      <w:r>
        <w:rPr>
          <w:rFonts w:ascii="Times New Roman" w:hAnsi="Times New Roman"/>
          <w:color w:val="000000"/>
          <w:sz w:val="28"/>
        </w:rPr>
        <w:t>.</w:t>
      </w:r>
    </w:p>
    <w:p w14:paraId="E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54. Варианты проведения процедуры оценки:</w:t>
      </w:r>
    </w:p>
    <w:p w14:paraId="E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1) оценка без выезда к заявителю;</w:t>
      </w:r>
    </w:p>
    <w:p w14:paraId="E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2) выездная оценка.</w:t>
      </w:r>
    </w:p>
    <w:p w14:paraId="E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55. Оценка без выезда к заявителю:</w:t>
      </w:r>
    </w:p>
    <w:p w14:paraId="E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1) срок процедуры оценки </w:t>
      </w:r>
      <w:r>
        <w:rPr>
          <w:rFonts w:ascii="Times New Roman" w:hAnsi="Times New Roman"/>
          <w:color w:val="000000"/>
          <w:sz w:val="28"/>
        </w:rPr>
        <w:t>без выезда к заявителю</w:t>
      </w:r>
      <w:r>
        <w:rPr>
          <w:rFonts w:ascii="Times New Roman" w:hAnsi="Times New Roman"/>
          <w:color w:val="000000"/>
          <w:sz w:val="28"/>
        </w:rPr>
        <w:t>:</w:t>
      </w:r>
    </w:p>
    <w:p w14:paraId="F0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а) не более 5 рабочих дней со дня регистрации заявления;</w:t>
      </w:r>
    </w:p>
    <w:p w14:paraId="F1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б) в случаях, когда в соответствии с частью </w:t>
      </w:r>
      <w:r>
        <w:rPr>
          <w:rFonts w:ascii="Times New Roman" w:hAnsi="Times New Roman"/>
          <w:color w:val="000000"/>
          <w:sz w:val="28"/>
        </w:rPr>
        <w:t>56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настоящего Административного регламента выездная оценка не проводится </w:t>
      </w:r>
      <w:r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не превышающий срока оказания Услуги с учетом его продления;</w:t>
      </w:r>
    </w:p>
    <w:p w14:paraId="F2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 xml:space="preserve">2) субъект, проводящий процедуру оценки </w:t>
      </w:r>
      <w:r>
        <w:rPr>
          <w:rFonts w:ascii="Times New Roman" w:hAnsi="Times New Roman"/>
          <w:color w:val="000000"/>
          <w:sz w:val="28"/>
        </w:rPr>
        <w:t>без выезда к заявителю</w:t>
      </w:r>
      <w:r>
        <w:rPr>
          <w:rFonts w:ascii="Times New Roman" w:hAnsi="Times New Roman"/>
          <w:color w:val="000000"/>
          <w:sz w:val="28"/>
        </w:rPr>
        <w:t xml:space="preserve"> – должностное лицо органа власти</w:t>
      </w:r>
      <w:r>
        <w:rPr>
          <w:rFonts w:ascii="Times New Roman" w:hAnsi="Times New Roman"/>
          <w:color w:val="000000"/>
        </w:rPr>
        <w:t>;</w:t>
      </w:r>
    </w:p>
    <w:p w14:paraId="F3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3) объект процедуры оценки </w:t>
      </w:r>
      <w:r>
        <w:rPr>
          <w:rFonts w:ascii="Times New Roman" w:hAnsi="Times New Roman"/>
          <w:color w:val="000000"/>
          <w:sz w:val="28"/>
        </w:rPr>
        <w:t xml:space="preserve">без выезда к заявителю </w:t>
      </w:r>
      <w:r>
        <w:rPr>
          <w:rFonts w:ascii="Times New Roman" w:hAnsi="Times New Roman"/>
          <w:color w:val="000000"/>
          <w:sz w:val="28"/>
        </w:rPr>
        <w:t>– сведения о заявителе, документы заявителя;</w:t>
      </w:r>
    </w:p>
    <w:p w14:paraId="F4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4) результат процедуры оценки </w:t>
      </w:r>
      <w:r>
        <w:rPr>
          <w:rFonts w:ascii="Times New Roman" w:hAnsi="Times New Roman"/>
          <w:color w:val="000000"/>
          <w:sz w:val="28"/>
        </w:rPr>
        <w:t>без выезда к заявителю</w:t>
      </w:r>
      <w:r>
        <w:rPr>
          <w:rFonts w:ascii="Times New Roman" w:hAnsi="Times New Roman"/>
          <w:color w:val="000000"/>
          <w:sz w:val="28"/>
        </w:rPr>
        <w:t xml:space="preserve">: </w:t>
      </w:r>
    </w:p>
    <w:p w14:paraId="F5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а) приказ о проведении выездной оценки;</w:t>
      </w:r>
    </w:p>
    <w:p w14:paraId="F6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б) принятие решения органа власти о предоставлении Услуги.</w:t>
      </w:r>
    </w:p>
    <w:p w14:paraId="F7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56. Выездная оценка при оказании Услуги </w:t>
      </w:r>
      <w:r>
        <w:rPr>
          <w:rFonts w:ascii="Times New Roman" w:hAnsi="Times New Roman"/>
          <w:color w:val="000000"/>
          <w:sz w:val="28"/>
        </w:rPr>
        <w:t>не проводится в следующих случаях:</w:t>
      </w:r>
    </w:p>
    <w:p w14:paraId="F8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1) при рассмотрении заявления о прекращении действия лицензии;</w:t>
      </w:r>
    </w:p>
    <w:p w14:paraId="F9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2) при рассмотрении заявления о внесении изменений в реестр лицензий в связи с изменением наименования и (или) организационно-правовой формы заявителя (без реорганизации заявителя), фамилии, имени или отчества заявителя;</w:t>
      </w:r>
    </w:p>
    <w:p w14:paraId="FA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3) при рассмотрении заявления о внесении изменений в реестр лицензий в связи с изменением места нахождения (места жительства) заявителя без изменения места осуществления лицензируемого вида деятельности;</w:t>
      </w:r>
    </w:p>
    <w:p w14:paraId="FB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4) при рассмотрении заявления о внесении изменений в реестр лицензий в связи с изменением адреса электронной почты заявителя, указанного в реестре лицензий;</w:t>
      </w:r>
    </w:p>
    <w:p w14:paraId="FC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5) при рассмотрении заявления о внесении изменений в реестр лицензий в связи с изменением адресообразующих элементов и (или) элементов планировочной структуры в соответствии с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пунктом 2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Правил присвоения, изменения и аннулирования адресов, утвержденных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постановлением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Правительства Российской Федерации от 19.11.2014 № 1221 «Об утверждении Правил присвоения, изменения и аннулирования адресов», места осуществления лицензируемого вида деятельности без фактического изменения места осуществления лицензируемого вида деятельности заявителя;</w:t>
      </w:r>
    </w:p>
    <w:p w14:paraId="FD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6) при рассмотрении заявления о внесении изменений в реестр лицензий в связи с изменением кода причины постановки на учет заявителя без фактического изменения места нахождения заявителя, места осуществления деятельности заявителя;</w:t>
      </w:r>
    </w:p>
    <w:p w14:paraId="FE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7) при рассмотрении заявления о внесении изменений в реестр лицензий в связи с исключением адреса места осуществления лицензируемого вида деятельности, в том числе адреса места хранения табачной продукции, сырья, никотинсодержащей продукции и никотинового сырья;</w:t>
      </w:r>
    </w:p>
    <w:p w14:paraId="FF00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8) при рассмотрении заявления о внесении изменений в реестр лицензий в связи с изменением сведений о торговом объекте, содержащихся в Едином государственном реестре недвижимости, предусмотренных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подпунктом «з» пункта 1 части 10 статьи 8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Федерального закона № 203-ФЗ.</w:t>
      </w:r>
    </w:p>
    <w:p w14:paraId="0001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</w:p>
    <w:p w14:paraId="0101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</w:p>
    <w:p w14:paraId="0201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57. Выездная оценка:</w:t>
      </w:r>
    </w:p>
    <w:p w14:paraId="03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1) срок процедуры оценки </w:t>
      </w:r>
      <w:r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color w:val="000000"/>
          <w:sz w:val="28"/>
        </w:rPr>
        <w:t xml:space="preserve"> не превышающий срока оказания Услуги с учетом его продления;</w:t>
      </w:r>
    </w:p>
    <w:p w14:paraId="04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2) субъект, проводящий процедуру оценки – должностное лицо органа власти</w:t>
      </w:r>
      <w:r>
        <w:rPr>
          <w:rFonts w:ascii="Times New Roman" w:hAnsi="Times New Roman"/>
          <w:color w:val="000000"/>
        </w:rPr>
        <w:t>;</w:t>
      </w:r>
    </w:p>
    <w:p w14:paraId="05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3) объект процедуры оценки – объект (объекты), принадлежащие заявителю;</w:t>
      </w:r>
    </w:p>
    <w:p w14:paraId="06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4) результат процедуры оценки: </w:t>
      </w:r>
    </w:p>
    <w:p w14:paraId="07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а)</w:t>
      </w:r>
      <w:r>
        <w:rPr>
          <w:rStyle w:val="Style_2_ch"/>
          <w:rFonts w:ascii="Times New Roman" w:hAnsi="Times New Roman"/>
          <w:color w:val="000000"/>
          <w:sz w:val="28"/>
        </w:rPr>
        <w:t xml:space="preserve"> </w:t>
      </w:r>
      <w:r>
        <w:rPr>
          <w:rStyle w:val="Style_2_ch"/>
          <w:rFonts w:ascii="Times New Roman" w:hAnsi="Times New Roman"/>
          <w:color w:val="000000"/>
          <w:sz w:val="28"/>
        </w:rPr>
        <w:t>акт оценки соответствия заявителя обязательным требованиям при предоставлении федеральным органом по контролю и надзору или  исполнительным органом субъекта Российской Федерации государственных услуг, предусмотренных статьями 4, 8 и частью 5 статьи 9 Федерального закона «О государственном регулировании производства и оборота табачных изделий, табачной продукции, никотинсодержащей продукции и сырья для их производства» (по форме согласно приложению к правилам проведения оценки соответствия)</w:t>
      </w:r>
      <w:r>
        <w:rPr>
          <w:rStyle w:val="Style_2_ch"/>
          <w:rFonts w:ascii="Times New Roman" w:hAnsi="Times New Roman"/>
          <w:color w:val="000000"/>
          <w:sz w:val="28"/>
        </w:rPr>
        <w:t xml:space="preserve">; </w:t>
      </w:r>
    </w:p>
    <w:p w14:paraId="08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strike w:val="0"/>
          <w:color w:val="000000"/>
          <w:sz w:val="28"/>
        </w:rPr>
      </w:pPr>
      <w:r>
        <w:rPr>
          <w:rStyle w:val="Style_2_ch"/>
          <w:rFonts w:ascii="Times New Roman" w:hAnsi="Times New Roman"/>
          <w:strike w:val="0"/>
          <w:color w:val="000000"/>
          <w:sz w:val="28"/>
        </w:rPr>
        <w:t>б) акт о не</w:t>
      </w:r>
      <w:r>
        <w:rPr>
          <w:rFonts w:ascii="Times New Roman" w:hAnsi="Times New Roman"/>
          <w:strike w:val="0"/>
          <w:color w:val="000000"/>
          <w:sz w:val="28"/>
        </w:rPr>
        <w:t>возможности проведения выездной оценки.</w:t>
      </w:r>
    </w:p>
    <w:p w14:paraId="09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</w:p>
    <w:p w14:paraId="0A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3.8. Принятие решения о предоставлении </w:t>
      </w:r>
    </w:p>
    <w:p w14:paraId="0B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(об отказе в предоставлении) Услуги </w:t>
      </w:r>
    </w:p>
    <w:p w14:paraId="0C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</w:p>
    <w:p w14:paraId="0D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58. Основания для отказа в предоставлении Услуги приведены в таблице</w:t>
      </w:r>
      <w:r>
        <w:rPr>
          <w:rFonts w:ascii="XO Thames" w:hAnsi="XO Thames"/>
          <w:color w:val="000000"/>
          <w:spacing w:val="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3 приложения к настоящему Административному регламенту.</w:t>
      </w:r>
    </w:p>
    <w:p w14:paraId="0E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59. Принятие решения о предоставлении (об отказе в предоставлении) Услуги осуществляется в срок, не превышающий 2 рабочих дней со дня получения органом власти всех сведений, необходимых для принятия решения.</w:t>
      </w:r>
    </w:p>
    <w:p w14:paraId="0F010000">
      <w:pPr>
        <w:pStyle w:val="Style_2"/>
        <w:widowControl w:val="1"/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</w:p>
    <w:p w14:paraId="10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3.9. Предоставление результата Услуги</w:t>
      </w:r>
    </w:p>
    <w:p w14:paraId="11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12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60. Предоставление результата Услуги осуществляется в день принятия решения о предоставлении Услуги посредством Единого портала, а также по адресу электронной почты, указанному в заявлении.</w:t>
      </w:r>
    </w:p>
    <w:p w14:paraId="13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709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61. </w:t>
      </w:r>
      <w:r>
        <w:rPr>
          <w:rFonts w:ascii="Times New Roman" w:hAnsi="Times New Roman"/>
          <w:b w:val="0"/>
          <w:i w:val="0"/>
          <w:caps w:val="0"/>
          <w:smallCaps w:val="0"/>
          <w:color w:val="000000"/>
          <w:spacing w:val="0"/>
          <w:sz w:val="28"/>
        </w:rPr>
        <w:t>Результат предоставления Услуги не может быть предоставлен по выбору заявителя независимо от его места жительства или места пребывания (для индивидуальных предпринимателей) либо места нахождения (для юридических лиц).</w:t>
      </w:r>
    </w:p>
    <w:p w14:paraId="1401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14:paraId="15010000">
      <w:pPr>
        <w:pStyle w:val="Style_2"/>
        <w:widowControl w:val="1"/>
        <w:spacing w:after="0" w:before="0" w:line="240" w:lineRule="auto"/>
        <w:ind w:firstLine="0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4. </w:t>
      </w:r>
      <w:bookmarkStart w:id="6" w:name="undefined_Копия_3"/>
      <w:r>
        <w:rPr>
          <w:rFonts w:ascii="Times New Roman" w:hAnsi="Times New Roman"/>
          <w:b w:val="0"/>
          <w:color w:val="000000"/>
          <w:sz w:val="28"/>
        </w:rPr>
        <w:t xml:space="preserve">Способы информирования заявителя об изменении </w:t>
      </w:r>
      <w:r>
        <w:rPr>
          <w:rFonts w:ascii="Times New Roman" w:hAnsi="Times New Roman"/>
          <w:b w:val="0"/>
          <w:color w:val="000000"/>
          <w:sz w:val="28"/>
        </w:rPr>
        <w:br/>
      </w:r>
      <w:r>
        <w:rPr>
          <w:rFonts w:ascii="Times New Roman" w:hAnsi="Times New Roman"/>
          <w:b w:val="0"/>
          <w:color w:val="000000"/>
          <w:sz w:val="28"/>
        </w:rPr>
        <w:t>статуса рассмотрения заявления</w:t>
      </w:r>
      <w:bookmarkEnd w:id="6"/>
    </w:p>
    <w:p w14:paraId="16010000">
      <w:pPr>
        <w:pStyle w:val="Style_2"/>
        <w:widowControl w:val="1"/>
        <w:spacing w:after="0" w:before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</w:p>
    <w:p w14:paraId="17010000">
      <w:pPr>
        <w:pStyle w:val="Style_2"/>
        <w:spacing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</w:rPr>
        <w:t>62. Информация об изменении статуса рассмотрения заявления направляется заявителю посредством Единого портала.</w:t>
      </w:r>
      <w:r>
        <w:rPr/>
        <w:br w:type="page"/>
      </w:r>
    </w:p>
    <w:p w14:paraId="18010000">
      <w:pPr>
        <w:pStyle w:val="Style_2"/>
        <w:widowControl w:val="0"/>
        <w:tabs>
          <w:tab w:leader="none" w:pos="708" w:val="clear"/>
          <w:tab w:leader="none" w:pos="8222" w:val="left"/>
        </w:tabs>
        <w:spacing w:after="0" w:before="0" w:line="240" w:lineRule="auto"/>
        <w:ind w:firstLine="0" w:left="5102"/>
        <w:rPr/>
      </w:pPr>
      <w:bookmarkStart w:id="7" w:name="undefined_Копия_4"/>
      <w:r>
        <w:rPr>
          <w:rFonts w:ascii="Times New Roman" w:hAnsi="Times New Roman"/>
          <w:sz w:val="28"/>
        </w:rPr>
        <w:t>Приложение</w:t>
      </w:r>
      <w:r>
        <w:rPr>
          <w:rFonts w:ascii="Times New Roman" w:hAnsi="Times New Roman"/>
          <w:sz w:val="28"/>
        </w:rPr>
        <w:t xml:space="preserve"> к Административному регламенту Министерства экономического развития Камчатского края по предоставлению государственной услуги «Лицензирование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продукцией»</w:t>
      </w:r>
      <w:bookmarkEnd w:id="7"/>
    </w:p>
    <w:p w14:paraId="19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1"/>
        <w:rPr>
          <w:rFonts w:ascii="Times New Roman" w:hAnsi="Times New Roman"/>
          <w:b w:val="0"/>
          <w:sz w:val="28"/>
        </w:rPr>
      </w:pPr>
    </w:p>
    <w:p w14:paraId="1A010000">
      <w:pPr>
        <w:pStyle w:val="Style_2"/>
        <w:spacing w:after="0" w:line="240" w:lineRule="auto"/>
        <w:ind w:firstLine="0"/>
        <w:rPr>
          <w:rFonts w:ascii="Times New Roman" w:hAnsi="Times New Roman"/>
          <w:b w:val="0"/>
          <w:sz w:val="28"/>
        </w:rPr>
      </w:pPr>
    </w:p>
    <w:p w14:paraId="1B010000">
      <w:pPr>
        <w:spacing w:after="0" w:before="0" w:line="240" w:lineRule="auto"/>
        <w:ind w:firstLine="0" w:left="0" w:right="0"/>
        <w:jc w:val="center"/>
        <w:rPr>
          <w:b w:val="0"/>
          <w:sz w:val="48"/>
        </w:rPr>
      </w:pPr>
      <w:r>
        <w:rPr>
          <w:rFonts w:ascii="Times New Roman" w:hAnsi="Times New Roman"/>
          <w:b w:val="0"/>
          <w:color w:val="000000"/>
          <w:sz w:val="28"/>
        </w:rPr>
        <w:t>П</w:t>
      </w:r>
      <w:r>
        <w:rPr>
          <w:rFonts w:ascii="Times New Roman" w:hAnsi="Times New Roman"/>
          <w:b w:val="0"/>
          <w:color w:val="000000"/>
          <w:sz w:val="28"/>
        </w:rPr>
        <w:t>еречень условных обозначений и сокращений</w:t>
      </w:r>
    </w:p>
    <w:p w14:paraId="1C010000">
      <w:pPr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color w:val="000000"/>
          <w:sz w:val="28"/>
        </w:rPr>
      </w:pPr>
    </w:p>
    <w:p w14:paraId="1D010000">
      <w:pPr>
        <w:spacing w:after="0" w:before="0" w:line="240" w:lineRule="auto"/>
        <w:ind w:firstLine="709" w:right="0"/>
        <w:jc w:val="both"/>
        <w:rPr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1) АО – акционерное общество</w:t>
      </w:r>
      <w:r>
        <w:rPr>
          <w:rFonts w:ascii="Times New Roman" w:hAnsi="Times New Roman"/>
          <w:b w:val="0"/>
          <w:color w:val="000000"/>
          <w:sz w:val="28"/>
        </w:rPr>
        <w:t>;</w:t>
      </w:r>
    </w:p>
    <w:p w14:paraId="1E01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2) </w:t>
      </w:r>
      <w:r>
        <w:rPr>
          <w:rFonts w:ascii="Times New Roman" w:hAnsi="Times New Roman"/>
          <w:b w:val="0"/>
          <w:color w:val="000000"/>
          <w:sz w:val="28"/>
        </w:rPr>
        <w:t xml:space="preserve">ГИС ГМП –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Государственная информационная система о государственных и муниципальных платежах;</w:t>
      </w:r>
    </w:p>
    <w:p w14:paraId="1F01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3) ЕГРИП –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Единый государственный реестр индивидуальных предпринимателей;</w:t>
      </w:r>
    </w:p>
    <w:p w14:paraId="2001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pacing w:val="0"/>
          <w:sz w:val="24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4)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ЕГРЮЛ –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Единый государственный реестр юридических лиц;</w:t>
      </w:r>
    </w:p>
    <w:p w14:paraId="2101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pacing w:val="0"/>
          <w:sz w:val="24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5) </w:t>
      </w:r>
      <w:r>
        <w:rPr>
          <w:rFonts w:ascii="Times New Roman" w:hAnsi="Times New Roman"/>
          <w:b w:val="0"/>
          <w:color w:val="000000"/>
          <w:sz w:val="28"/>
        </w:rPr>
        <w:t>ЕПГУ – Единый портал государственных и муниципальных услуг (функций)</w:t>
      </w:r>
      <w:r>
        <w:rPr>
          <w:rFonts w:ascii="Times New Roman" w:hAnsi="Times New Roman"/>
          <w:b w:val="0"/>
          <w:color w:val="000000"/>
          <w:sz w:val="28"/>
        </w:rPr>
        <w:t>;</w:t>
      </w:r>
    </w:p>
    <w:p w14:paraId="2201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6) ИП – </w:t>
      </w:r>
      <w:r>
        <w:rPr>
          <w:rFonts w:ascii="Times New Roman" w:hAnsi="Times New Roman"/>
          <w:b w:val="0"/>
          <w:color w:val="000000"/>
          <w:sz w:val="28"/>
        </w:rPr>
        <w:t>индивидуальные предприниматели, зарегистрированные в порядке, установлен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ном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законодательством Российской Федерации; </w:t>
      </w:r>
    </w:p>
    <w:p w14:paraId="23010000">
      <w:pPr>
        <w:pStyle w:val="Style_2"/>
        <w:spacing w:after="0" w:before="0" w:line="240" w:lineRule="auto"/>
        <w:ind w:firstLine="709" w:left="0" w:right="0"/>
        <w:jc w:val="both"/>
        <w:rPr>
          <w:b w:val="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>7)</w:t>
      </w:r>
      <w:r>
        <w:rPr>
          <w:b w:val="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 xml:space="preserve">КоАП РФ – </w:t>
      </w:r>
      <w:r>
        <w:rPr>
          <w:rFonts w:ascii="Times New Roman" w:hAnsi="Times New Roman"/>
          <w:b w:val="0"/>
          <w:color w:val="000000"/>
          <w:sz w:val="28"/>
        </w:rPr>
        <w:t>Кодекс Российской Федерации об административных правонарушениях</w:t>
      </w:r>
      <w:r>
        <w:rPr>
          <w:rFonts w:ascii="Times New Roman" w:hAnsi="Times New Roman"/>
          <w:b w:val="0"/>
          <w:color w:val="000000"/>
          <w:sz w:val="28"/>
        </w:rPr>
        <w:t>;</w:t>
      </w:r>
    </w:p>
    <w:p w14:paraId="24010000">
      <w:pPr>
        <w:spacing w:after="0" w:before="0" w:line="240" w:lineRule="auto"/>
        <w:ind w:firstLine="709" w:left="0" w:right="0"/>
        <w:jc w:val="both"/>
        <w:rPr>
          <w:b w:val="0"/>
          <w:sz w:val="48"/>
        </w:rPr>
      </w:pPr>
      <w:r>
        <w:rPr>
          <w:rFonts w:ascii="Times New Roman" w:hAnsi="Times New Roman"/>
          <w:b w:val="0"/>
          <w:color w:val="000000"/>
          <w:sz w:val="28"/>
        </w:rPr>
        <w:t>8) Услуга –</w:t>
      </w:r>
      <w:r>
        <w:rPr>
          <w:rFonts w:ascii="Times New Roman" w:hAnsi="Times New Roman"/>
          <w:b w:val="0"/>
          <w:color w:val="000000"/>
          <w:sz w:val="28"/>
        </w:rPr>
        <w:t xml:space="preserve">  </w:t>
      </w:r>
      <w:r>
        <w:rPr>
          <w:rFonts w:ascii="Times New Roman" w:hAnsi="Times New Roman"/>
          <w:b w:val="0"/>
          <w:color w:val="000000"/>
          <w:sz w:val="28"/>
        </w:rPr>
        <w:t>государственная услуга «Лицензирование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продукцией»;</w:t>
      </w:r>
    </w:p>
    <w:p w14:paraId="2501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9)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ФЗ № 63 – 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Федеральный закон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от 06.04.2011 № 63-ФЗ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br/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«Об элек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тронной подписи»;</w:t>
      </w:r>
    </w:p>
    <w:p w14:paraId="2601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10)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ФЗ № 203 –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Федеральный закон от 13.06.2023 № 203-ФЗ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br/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«О государственном регулировании производства и оборота табачных изделий, табачной продукции, никотинсодержащей продукции и сырья для их производства»;</w:t>
      </w:r>
    </w:p>
    <w:p w14:paraId="2701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11) </w:t>
      </w:r>
      <w:r>
        <w:rPr>
          <w:rFonts w:ascii="Times New Roman" w:hAnsi="Times New Roman"/>
          <w:b w:val="0"/>
          <w:color w:val="000000"/>
          <w:sz w:val="28"/>
        </w:rPr>
        <w:t xml:space="preserve">ЭФ(д) </w:t>
      </w:r>
      <w:r>
        <w:rPr>
          <w:rFonts w:ascii="Times New Roman" w:hAnsi="Times New Roman"/>
          <w:b w:val="0"/>
          <w:color w:val="000000"/>
          <w:sz w:val="28"/>
        </w:rPr>
        <w:t>–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электронная форма документа, заверенная усиленной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квалифицированной электронной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подписью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заявителя либо усиленной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>неквалифицированной электронной подписью</w:t>
      </w:r>
      <w:r>
        <w:rPr>
          <w:rStyle w:val="Style_2_ch"/>
          <w:rFonts w:ascii="Times New Roman" w:hAnsi="Times New Roman"/>
          <w:b w:val="0"/>
          <w:color w:val="000000"/>
          <w:sz w:val="28"/>
        </w:rPr>
        <w:t xml:space="preserve"> гражданина, действующего по доверенности;</w:t>
      </w:r>
    </w:p>
    <w:p w14:paraId="2801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12) ЮЛ – юридические</w:t>
      </w:r>
      <w:r>
        <w:rPr>
          <w:rFonts w:ascii="Times New Roman" w:hAnsi="Times New Roman"/>
          <w:b w:val="0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</w:rPr>
        <w:t>лица, созданные в соответствии с законодательством Российской Федерации.</w:t>
      </w:r>
    </w:p>
    <w:p w14:paraId="29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1"/>
        <w:rPr>
          <w:rFonts w:ascii="Times New Roman" w:hAnsi="Times New Roman"/>
          <w:b w:val="0"/>
          <w:sz w:val="28"/>
        </w:rPr>
      </w:pPr>
    </w:p>
    <w:p w14:paraId="2A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1"/>
        <w:rPr>
          <w:rFonts w:ascii="Times New Roman" w:hAnsi="Times New Roman"/>
          <w:b w:val="0"/>
          <w:sz w:val="28"/>
        </w:rPr>
      </w:pPr>
    </w:p>
    <w:p w14:paraId="2B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1"/>
        <w:rPr>
          <w:rFonts w:ascii="Times New Roman" w:hAnsi="Times New Roman"/>
          <w:b w:val="0"/>
          <w:sz w:val="28"/>
        </w:rPr>
      </w:pPr>
    </w:p>
    <w:p w14:paraId="2C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1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Идентификаторы категорий </w:t>
      </w:r>
    </w:p>
    <w:p w14:paraId="2D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1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(признаков) заявителей</w:t>
      </w:r>
    </w:p>
    <w:p w14:paraId="2E010000">
      <w:pPr>
        <w:pStyle w:val="Style_2"/>
        <w:spacing w:after="0" w:line="240" w:lineRule="auto"/>
        <w:ind/>
        <w:rPr>
          <w:rFonts w:ascii="Times New Roman" w:hAnsi="Times New Roman"/>
          <w:b w:val="0"/>
          <w:sz w:val="28"/>
        </w:rPr>
      </w:pPr>
    </w:p>
    <w:p w14:paraId="2F010000">
      <w:pPr>
        <w:pStyle w:val="Style_2"/>
        <w:spacing w:after="0" w:line="240" w:lineRule="auto"/>
        <w:ind w:firstLine="0" w:left="0"/>
        <w:jc w:val="right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Таблица 1</w:t>
      </w:r>
    </w:p>
    <w:tbl>
      <w:tblPr>
        <w:tblStyle w:val="Style_3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565"/>
        <w:gridCol w:w="4254"/>
        <w:gridCol w:w="2976"/>
        <w:gridCol w:w="1842"/>
      </w:tblGrid>
      <w:tr>
        <w:trPr>
          <w:trHeight w:hRule="atLeast" w:val="952"/>
        </w:trPr>
        <w:tc>
          <w:tcPr>
            <w:tcW w:type="dxa" w:w="5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0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п/п</w:t>
            </w:r>
          </w:p>
        </w:tc>
        <w:tc>
          <w:tcPr>
            <w:tcW w:type="dxa" w:w="425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1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Результат предоставления 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Услуги</w:t>
            </w:r>
          </w:p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2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Наименования отдельного признака заявителя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3010000">
            <w:pPr>
              <w:pStyle w:val="Style_2"/>
              <w:widowControl w:val="1"/>
              <w:tabs>
                <w:tab w:leader="none" w:pos="708" w:val="clear"/>
                <w:tab w:leader="none" w:pos="5950" w:val="left"/>
              </w:tabs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Идентификатор отдельного признака заявителей</w:t>
            </w:r>
          </w:p>
        </w:tc>
      </w:tr>
    </w:tbl>
    <w:p w14:paraId="34010000">
      <w:pPr>
        <w:pStyle w:val="Style_2"/>
        <w:spacing w:after="0" w:before="0" w:line="240" w:lineRule="auto"/>
        <w:ind w:firstLine="0" w:left="0"/>
        <w:rPr>
          <w:rFonts w:ascii="Times New Roman" w:hAnsi="Times New Roman"/>
          <w:b w:val="0"/>
          <w:sz w:val="2"/>
        </w:rPr>
      </w:pPr>
    </w:p>
    <w:tbl>
      <w:tblPr>
        <w:tblStyle w:val="Style_3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565"/>
        <w:gridCol w:w="4254"/>
        <w:gridCol w:w="2976"/>
        <w:gridCol w:w="1842"/>
      </w:tblGrid>
      <w:tr>
        <w:trPr>
          <w:trHeight w:hRule="atLeast" w:val="322"/>
          <w:tblHeader/>
        </w:trPr>
        <w:tc>
          <w:tcPr>
            <w:tcW w:type="dxa" w:w="5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5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</w:t>
            </w:r>
          </w:p>
        </w:tc>
        <w:tc>
          <w:tcPr>
            <w:tcW w:type="dxa" w:w="425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6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</w:t>
            </w:r>
          </w:p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7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8010000">
            <w:pPr>
              <w:pStyle w:val="Style_2"/>
              <w:widowControl w:val="1"/>
              <w:tabs>
                <w:tab w:leader="none" w:pos="708" w:val="clear"/>
                <w:tab w:leader="none" w:pos="5950" w:val="left"/>
              </w:tabs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</w:t>
            </w:r>
          </w:p>
        </w:tc>
      </w:tr>
      <w:tr>
        <w:trPr>
          <w:trHeight w:hRule="atLeast" w:val="325"/>
        </w:trPr>
        <w:tc>
          <w:tcPr>
            <w:tcW w:type="dxa" w:w="565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39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</w:t>
            </w:r>
          </w:p>
        </w:tc>
        <w:tc>
          <w:tcPr>
            <w:tcW w:type="dxa" w:w="4254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3A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Предоставление лицензии на розничную торговлю табачной продукцией и никотинсодержащей продукцией или лицензии на развозную торговлю табачной продукцией и никотинсодержащей продукцией</w:t>
            </w:r>
          </w:p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B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ЮЛ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C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</w:t>
            </w:r>
          </w:p>
        </w:tc>
      </w:tr>
      <w:tr>
        <w:trPr>
          <w:trHeight w:hRule="atLeast" w:val="330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D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ИП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E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spacing w:val="0"/>
                <w:sz w:val="24"/>
              </w:rPr>
              <w:t>2А</w:t>
            </w:r>
          </w:p>
        </w:tc>
      </w:tr>
      <w:tr>
        <w:trPr>
          <w:trHeight w:hRule="atLeast" w:val="200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3F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лично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0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3А</w:t>
            </w:r>
          </w:p>
        </w:tc>
      </w:tr>
      <w:tr>
        <w:trPr>
          <w:trHeight w:hRule="atLeast" w:val="300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1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через представителя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2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4А</w:t>
            </w:r>
          </w:p>
        </w:tc>
      </w:tr>
      <w:tr>
        <w:trPr>
          <w:trHeight w:hRule="atLeast" w:val="148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3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получение лицензии на розничную торговлю табачной продукцией и никотинсодержащей продукцией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4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5А</w:t>
            </w:r>
          </w:p>
        </w:tc>
      </w:tr>
      <w:tr>
        <w:trPr>
          <w:trHeight w:hRule="atLeast" w:val="1400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5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получение лицензии на развозную торговлю табачной продукцией и никотинсодержащей продукцией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6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6А</w:t>
            </w:r>
          </w:p>
        </w:tc>
      </w:tr>
      <w:tr>
        <w:trPr>
          <w:trHeight w:hRule="atLeast" w:val="304"/>
        </w:trPr>
        <w:tc>
          <w:tcPr>
            <w:tcW w:type="dxa" w:w="565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47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</w:t>
            </w:r>
          </w:p>
        </w:tc>
        <w:tc>
          <w:tcPr>
            <w:tcW w:type="dxa" w:w="4254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48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Продление срока действия лицензии на розничную торговлю табачной продукцией и никотинсодержащей продукцией или лицензии на развозную торговлю табачной продукцией и никотинсодержащей продукцией</w:t>
            </w:r>
          </w:p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ЮЛ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A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1Б</w:t>
            </w:r>
          </w:p>
        </w:tc>
      </w:tr>
      <w:tr>
        <w:trPr>
          <w:trHeight w:hRule="atLeast" w:val="31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ИП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C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spacing w:val="0"/>
                <w:sz w:val="24"/>
              </w:rPr>
              <w:t>2Б</w:t>
            </w:r>
          </w:p>
        </w:tc>
      </w:tr>
      <w:tr>
        <w:trPr>
          <w:trHeight w:hRule="atLeast" w:val="239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D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лично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E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3Б</w:t>
            </w:r>
          </w:p>
        </w:tc>
      </w:tr>
      <w:tr>
        <w:trPr>
          <w:trHeight w:hRule="atLeast" w:val="263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4F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через представителя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0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4Б</w:t>
            </w:r>
          </w:p>
        </w:tc>
      </w:tr>
      <w:tr>
        <w:trPr>
          <w:trHeight w:hRule="atLeast" w:val="142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1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продление лицензии на розничную торговлю табачной продукцией и никотинсодержащей продукцией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2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5Б</w:t>
            </w:r>
          </w:p>
        </w:tc>
      </w:tr>
      <w:tr>
        <w:trPr>
          <w:trHeight w:hRule="atLeast" w:val="145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3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продление лицензии на развозную торговлю табачной продукцией и никотинсодержащей продукцией 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4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6Б</w:t>
            </w:r>
          </w:p>
        </w:tc>
      </w:tr>
      <w:tr>
        <w:trPr>
          <w:trHeight w:hRule="atLeast" w:val="423"/>
        </w:trPr>
        <w:tc>
          <w:tcPr>
            <w:tcW w:type="dxa" w:w="565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55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</w:t>
            </w:r>
          </w:p>
        </w:tc>
        <w:tc>
          <w:tcPr>
            <w:tcW w:type="dxa" w:w="4254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56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Досрочное прекращение действия лицензии на розничную торговлю табачной продукцией и никотинсодержащей продукцией или лицензии на развозную торговлю табачной продукцией и никотинсодержащей продукцией</w:t>
            </w:r>
          </w:p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ЮЛ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8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1В</w:t>
            </w:r>
          </w:p>
        </w:tc>
      </w:tr>
      <w:tr>
        <w:trPr>
          <w:trHeight w:hRule="atLeast" w:val="46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ИП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A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spacing w:val="0"/>
                <w:sz w:val="24"/>
              </w:rPr>
              <w:t>2В</w:t>
            </w:r>
          </w:p>
        </w:tc>
      </w:tr>
      <w:tr>
        <w:trPr>
          <w:trHeight w:hRule="atLeast" w:val="480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B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лично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C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3В</w:t>
            </w:r>
          </w:p>
        </w:tc>
      </w:tr>
      <w:tr>
        <w:trPr>
          <w:trHeight w:hRule="atLeast" w:val="418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D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через представителя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5E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4В</w:t>
            </w:r>
          </w:p>
        </w:tc>
      </w:tr>
      <w:tr>
        <w:trPr>
          <w:trHeight w:hRule="atLeast" w:val="276"/>
        </w:trPr>
        <w:tc>
          <w:tcPr>
            <w:tcW w:type="dxa" w:w="565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5F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4.</w:t>
            </w:r>
          </w:p>
        </w:tc>
        <w:tc>
          <w:tcPr>
            <w:tcW w:type="dxa" w:w="4254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60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Внесение изменений в реестр лицензий</w:t>
            </w:r>
          </w:p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ЮЛ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2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1Г</w:t>
            </w:r>
          </w:p>
        </w:tc>
      </w:tr>
      <w:tr>
        <w:trPr>
          <w:trHeight w:hRule="atLeast" w:val="330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ИП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4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spacing w:val="0"/>
                <w:sz w:val="24"/>
              </w:rPr>
              <w:t>2Г</w:t>
            </w:r>
          </w:p>
        </w:tc>
      </w:tr>
      <w:tr>
        <w:trPr>
          <w:trHeight w:hRule="atLeast" w:val="249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5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лично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6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3Г</w:t>
            </w:r>
          </w:p>
        </w:tc>
      </w:tr>
      <w:tr>
        <w:trPr>
          <w:trHeight w:hRule="atLeast" w:val="303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7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через представителя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8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4Г</w:t>
            </w:r>
          </w:p>
        </w:tc>
      </w:tr>
      <w:tr>
        <w:trPr>
          <w:trHeight w:hRule="atLeast" w:val="840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9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изменение сведений в связи с реорганизацией ЮЛ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A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5Г</w:t>
            </w:r>
          </w:p>
        </w:tc>
      </w:tr>
      <w:tr>
        <w:trPr>
          <w:trHeight w:hRule="atLeast" w:val="792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B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изменение иных сведений, содержащихся в реестре лицензий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C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6Г</w:t>
            </w:r>
          </w:p>
        </w:tc>
      </w:tr>
      <w:tr>
        <w:trPr>
          <w:trHeight w:hRule="atLeast" w:val="115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D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розничная торговля табачной продукцией и никотинсодержащей продукцией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E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7Г</w:t>
            </w:r>
          </w:p>
        </w:tc>
      </w:tr>
      <w:tr>
        <w:trPr>
          <w:trHeight w:hRule="atLeast" w:val="118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6F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развозная торговля табачной продукцией и никотинсодержащей продукцией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70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8Г</w:t>
            </w:r>
          </w:p>
        </w:tc>
      </w:tr>
      <w:tr>
        <w:trPr>
          <w:trHeight w:hRule="atLeast" w:val="312"/>
        </w:trPr>
        <w:tc>
          <w:tcPr>
            <w:tcW w:type="dxa" w:w="565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71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5.</w:t>
            </w:r>
          </w:p>
        </w:tc>
        <w:tc>
          <w:tcPr>
            <w:tcW w:type="dxa" w:w="4254"/>
            <w:vMerge w:val="restart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72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Исправление допущенных опечаток и (или) ошибок в выданных в результате предоставления Услуги документах и (или) созданных реестровых записях</w:t>
            </w:r>
          </w:p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ЮЛ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74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1Д</w:t>
            </w:r>
          </w:p>
        </w:tc>
      </w:tr>
      <w:tr>
        <w:trPr>
          <w:trHeight w:hRule="atLeast" w:val="31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ИП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76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spacing w:val="0"/>
                <w:sz w:val="24"/>
              </w:rPr>
              <w:t>2Д</w:t>
            </w:r>
          </w:p>
        </w:tc>
      </w:tr>
      <w:tr>
        <w:trPr>
          <w:trHeight w:hRule="atLeast" w:val="279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77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лично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78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3Д</w:t>
            </w:r>
          </w:p>
        </w:tc>
      </w:tr>
      <w:tr>
        <w:trPr>
          <w:trHeight w:hRule="atLeast" w:val="345"/>
        </w:trPr>
        <w:tc>
          <w:tcPr>
            <w:tcW w:type="dxa" w:w="565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4254"/>
            <w:gridSpan w:val="1"/>
            <w:vMerge w:val="continue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/>
        </w:tc>
        <w:tc>
          <w:tcPr>
            <w:tcW w:type="dxa" w:w="297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79010000">
            <w:pPr>
              <w:pStyle w:val="Style_2"/>
              <w:widowControl w:val="1"/>
              <w:spacing w:after="0" w:before="0" w:line="240" w:lineRule="auto"/>
              <w:ind w:firstLine="0" w:left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через представителя</w:t>
            </w:r>
          </w:p>
        </w:tc>
        <w:tc>
          <w:tcPr>
            <w:tcW w:type="dxa" w:w="184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7A010000">
            <w:pPr>
              <w:pStyle w:val="Style_2"/>
              <w:widowControl w:val="1"/>
              <w:spacing w:after="0" w:before="0" w:line="240" w:lineRule="auto"/>
              <w:ind w:firstLine="0" w:left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4Д</w:t>
            </w:r>
          </w:p>
        </w:tc>
      </w:tr>
    </w:tbl>
    <w:p w14:paraId="7B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2"/>
        <w:rPr>
          <w:rFonts w:ascii="Times New Roman" w:hAnsi="Times New Roman"/>
          <w:b w:val="0"/>
          <w:sz w:val="28"/>
        </w:rPr>
      </w:pPr>
    </w:p>
    <w:p w14:paraId="7C010000">
      <w:pPr>
        <w:pStyle w:val="Style_2"/>
        <w:rPr>
          <w:rFonts w:ascii="Times New Roman" w:hAnsi="Times New Roman"/>
          <w:b w:val="0"/>
          <w:sz w:val="28"/>
        </w:rPr>
      </w:pPr>
    </w:p>
    <w:p w14:paraId="7D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2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Исчерпывающий перечень </w:t>
      </w:r>
    </w:p>
    <w:p w14:paraId="7E010000">
      <w:pPr>
        <w:pStyle w:val="Style_5"/>
        <w:numPr>
          <w:ilvl w:val="0"/>
          <w:numId w:val="0"/>
        </w:numPr>
        <w:spacing w:after="0" w:before="0" w:line="240" w:lineRule="auto"/>
        <w:ind w:firstLine="0" w:left="0"/>
        <w:jc w:val="center"/>
        <w:outlineLvl w:val="2"/>
        <w:rPr>
          <w:rFonts w:ascii="Times New Roman" w:hAnsi="Times New Roman"/>
          <w:b w:val="0"/>
          <w:color w:val="000000"/>
          <w:spacing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документов, необходимых для предоставления </w:t>
      </w:r>
      <w:r>
        <w:rPr>
          <w:rFonts w:ascii="Times New Roman" w:hAnsi="Times New Roman"/>
          <w:b w:val="0"/>
          <w:color w:val="000000"/>
          <w:spacing w:val="0"/>
          <w:sz w:val="28"/>
        </w:rPr>
        <w:t>государственной услуги «</w:t>
      </w:r>
      <w:r>
        <w:rPr>
          <w:rFonts w:ascii="Times New Roman" w:hAnsi="Times New Roman"/>
          <w:b w:val="0"/>
          <w:sz w:val="28"/>
        </w:rPr>
        <w:t>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</w:t>
      </w:r>
      <w:r>
        <w:rPr>
          <w:rFonts w:ascii="Times New Roman" w:hAnsi="Times New Roman"/>
          <w:b w:val="0"/>
          <w:color w:val="000000"/>
          <w:spacing w:val="0"/>
          <w:sz w:val="28"/>
        </w:rPr>
        <w:t>»</w:t>
      </w:r>
    </w:p>
    <w:p w14:paraId="7F010000">
      <w:pPr>
        <w:pStyle w:val="Style_2"/>
        <w:rPr>
          <w:rFonts w:ascii="Times New Roman" w:hAnsi="Times New Roman"/>
          <w:b w:val="0"/>
          <w:color w:val="000000"/>
          <w:spacing w:val="0"/>
          <w:sz w:val="28"/>
        </w:rPr>
      </w:pPr>
    </w:p>
    <w:p w14:paraId="80010000">
      <w:pPr>
        <w:pStyle w:val="Style_2"/>
        <w:spacing w:after="0" w:line="240" w:lineRule="auto"/>
        <w:ind/>
        <w:jc w:val="right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i w:val="0"/>
          <w:strike w:val="0"/>
          <w:sz w:val="24"/>
        </w:rPr>
        <w:t>Таблица 2</w:t>
      </w:r>
    </w:p>
    <w:tbl>
      <w:tblPr>
        <w:tblStyle w:val="Style_3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708"/>
        <w:gridCol w:w="1984"/>
        <w:gridCol w:w="4560"/>
        <w:gridCol w:w="2387"/>
      </w:tblGrid>
      <w:tr>
        <w:trPr>
          <w:trHeight w:hRule="atLeast" w:val="1252"/>
        </w:trP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bottom w:type="dxa" w:w="0"/>
            </w:tcMar>
            <w:vAlign w:val="center"/>
          </w:tcPr>
          <w:p w14:paraId="81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п/п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bottom w:type="dxa" w:w="0"/>
            </w:tcMar>
            <w:vAlign w:val="center"/>
          </w:tcPr>
          <w:p w14:paraId="82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Идентификатор отдельного признака заявителей</w:t>
            </w:r>
          </w:p>
        </w:tc>
        <w:tc>
          <w:tcPr>
            <w:tcW w:type="dxa" w:w="456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bottom w:type="dxa" w:w="0"/>
            </w:tcMar>
            <w:vAlign w:val="center"/>
          </w:tcPr>
          <w:p w14:paraId="83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Перечень необходимых для предоставления Услуги документов</w:t>
            </w:r>
          </w:p>
        </w:tc>
        <w:tc>
          <w:tcPr>
            <w:tcW w:type="dxa" w:w="238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bottom w:type="dxa" w:w="0"/>
            </w:tcMar>
            <w:vAlign w:val="center"/>
          </w:tcPr>
          <w:p w14:paraId="84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trike w:val="1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Способ предоставления, требования</w:t>
            </w:r>
          </w:p>
        </w:tc>
      </w:tr>
    </w:tbl>
    <w:p w14:paraId="85010000">
      <w:pPr>
        <w:pStyle w:val="Style_2"/>
        <w:spacing w:after="0" w:before="0" w:line="240" w:lineRule="auto"/>
        <w:ind/>
        <w:rPr>
          <w:rFonts w:ascii="Times New Roman" w:hAnsi="Times New Roman"/>
          <w:b w:val="0"/>
          <w:i w:val="0"/>
          <w:strike w:val="0"/>
          <w:sz w:val="2"/>
        </w:rPr>
      </w:pPr>
    </w:p>
    <w:tbl>
      <w:tblPr>
        <w:tblStyle w:val="Style_3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708"/>
        <w:gridCol w:w="1984"/>
        <w:gridCol w:w="4559"/>
        <w:gridCol w:w="2388"/>
      </w:tblGrid>
      <w:tr>
        <w:trPr>
          <w:tblHeader/>
        </w:trP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bottom w:type="dxa" w:w="0"/>
            </w:tcMar>
            <w:vAlign w:val="center"/>
          </w:tcPr>
          <w:p w14:paraId="86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bottom w:type="dxa" w:w="0"/>
            </w:tcMar>
            <w:vAlign w:val="center"/>
          </w:tcPr>
          <w:p w14:paraId="87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</w:t>
            </w:r>
          </w:p>
        </w:tc>
        <w:tc>
          <w:tcPr>
            <w:tcW w:type="dxa" w:w="4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bottom w:type="dxa" w:w="0"/>
            </w:tcMar>
            <w:vAlign w:val="center"/>
          </w:tcPr>
          <w:p w14:paraId="88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</w:t>
            </w:r>
          </w:p>
        </w:tc>
        <w:tc>
          <w:tcPr>
            <w:tcW w:type="dxa" w:w="23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bottom w:type="dxa" w:w="0"/>
            </w:tcMar>
            <w:vAlign w:val="center"/>
          </w:tcPr>
          <w:p w14:paraId="89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</w:t>
            </w:r>
          </w:p>
        </w:tc>
      </w:tr>
      <w:t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8A010000">
            <w:pPr>
              <w:pStyle w:val="Style_2"/>
              <w:widowControl w:val="1"/>
              <w:spacing w:after="0" w:before="0" w:line="240" w:lineRule="auto"/>
              <w:ind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</w:t>
            </w:r>
          </w:p>
        </w:tc>
        <w:tc>
          <w:tcPr>
            <w:tcW w:type="dxa" w:w="893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8B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i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pacing w:val="0"/>
                <w:sz w:val="24"/>
              </w:rPr>
              <w:t>Документы, необходимые в соответствии с законодательными или иными нормативными правовыми актами Российской Федерации для предоставления Услуги, которые заявитель должен представить самостоятельно</w:t>
            </w:r>
          </w:p>
        </w:tc>
      </w:tr>
      <w:t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8C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1.1.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8D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5А, 5Г</w:t>
            </w:r>
          </w:p>
        </w:tc>
        <w:tc>
          <w:tcPr>
            <w:tcW w:type="dxa" w:w="4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8E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документ, подтверждающий наличие у заявителя в собственности, хозяйственном ведении, оперативном управлении, аренде или в безвозмездном пользовании (в отношении торгового объекта, находящегося в безвозмездном пользовании АО «Почта России») торгового объекта, не являющегося недвижимым имуществом, либо наличие у заявителя в безвозмездном пользовании торгового объекта - объекта недвижимого имущества, не являющегося объектом культурного наследия и находящегося в безвозмездном пользовании АО «Почта России»</w:t>
            </w:r>
          </w:p>
        </w:tc>
        <w:tc>
          <w:tcPr>
            <w:tcW w:type="dxa" w:w="23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8F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z w:val="24"/>
              </w:rPr>
            </w:pPr>
            <w:r>
              <w:rPr>
                <w:rStyle w:val="Style_2_ch"/>
                <w:rFonts w:ascii="Times New Roman" w:hAnsi="Times New Roman"/>
                <w:b w:val="0"/>
                <w:color w:val="000000"/>
                <w:sz w:val="24"/>
              </w:rPr>
              <w:t>ЭФ(д)</w:t>
            </w:r>
            <w:r>
              <w:rPr>
                <w:rStyle w:val="Style_2_ch"/>
                <w:rFonts w:ascii="Times New Roman" w:hAnsi="Times New Roman"/>
                <w:b w:val="0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4"/>
              </w:rPr>
              <w:t>=&gt;ЕПГУ</w:t>
            </w:r>
          </w:p>
        </w:tc>
      </w:tr>
      <w:t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0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1.2.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1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6Г</w:t>
            </w:r>
          </w:p>
        </w:tc>
        <w:tc>
          <w:tcPr>
            <w:tcW w:type="dxa" w:w="4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2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документ, подтверждающий изменения сведений, указанных в лицензии</w:t>
            </w:r>
          </w:p>
        </w:tc>
        <w:tc>
          <w:tcPr>
            <w:tcW w:type="dxa" w:w="23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3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z w:val="24"/>
              </w:rPr>
            </w:pPr>
            <w:r>
              <w:rPr>
                <w:rStyle w:val="Style_2_ch"/>
                <w:rFonts w:ascii="Times New Roman" w:hAnsi="Times New Roman"/>
                <w:b w:val="0"/>
                <w:color w:val="000000"/>
                <w:sz w:val="24"/>
              </w:rPr>
              <w:t>ЭФ(д)</w:t>
            </w: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 =&gt;ЕПГУ</w:t>
            </w:r>
          </w:p>
        </w:tc>
      </w:tr>
      <w:t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4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1.3.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5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4А, 4Б, 4В, 4Г, 4Д</w:t>
            </w:r>
          </w:p>
        </w:tc>
        <w:tc>
          <w:tcPr>
            <w:tcW w:type="dxa" w:w="4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6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доверенность на представление интересов соискателя лицензии (лицензиата)</w:t>
            </w:r>
          </w:p>
        </w:tc>
        <w:tc>
          <w:tcPr>
            <w:tcW w:type="dxa" w:w="23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7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z w:val="24"/>
              </w:rPr>
            </w:pPr>
            <w:r>
              <w:rPr>
                <w:rStyle w:val="Style_2_ch"/>
                <w:rFonts w:ascii="Times New Roman" w:hAnsi="Times New Roman"/>
                <w:b w:val="0"/>
                <w:color w:val="000000"/>
                <w:sz w:val="24"/>
              </w:rPr>
              <w:t>ЭФ(д)</w:t>
            </w: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 =&gt;ЕПГУ</w:t>
            </w:r>
          </w:p>
        </w:tc>
      </w:tr>
      <w:t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98010000">
            <w:pPr>
              <w:pStyle w:val="Style_2"/>
              <w:widowControl w:val="1"/>
              <w:spacing w:after="0" w:before="0" w:line="240" w:lineRule="auto"/>
              <w:ind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</w:t>
            </w:r>
          </w:p>
        </w:tc>
        <w:tc>
          <w:tcPr>
            <w:tcW w:type="dxa" w:w="8931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99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Документы, необходимые для предоставления Услуги, которые заявитель вправе представить по собственной инициативе</w:t>
            </w:r>
          </w:p>
        </w:tc>
      </w:tr>
      <w:t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A010000">
            <w:pPr>
              <w:pStyle w:val="Style_2"/>
              <w:widowControl w:val="1"/>
              <w:spacing w:after="0" w:before="0" w:line="240" w:lineRule="auto"/>
              <w:ind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spacing w:val="0"/>
                <w:sz w:val="24"/>
              </w:rPr>
              <w:t>2.1.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B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1А, 3А-6А, 1Б, 3Б-6Б, 1В, 3В, 4В, 1Г, 3Г-8Г</w:t>
            </w:r>
          </w:p>
        </w:tc>
        <w:tc>
          <w:tcPr>
            <w:tcW w:type="dxa" w:w="4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C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выписка из ЕГРЮЛ</w:t>
            </w:r>
          </w:p>
        </w:tc>
        <w:tc>
          <w:tcPr>
            <w:tcW w:type="dxa" w:w="23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D010000">
            <w:pPr>
              <w:spacing w:after="0"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Style w:val="Style_2_ch"/>
                <w:rFonts w:ascii="Times New Roman" w:hAnsi="Times New Roman"/>
                <w:b w:val="0"/>
                <w:color w:val="000000"/>
                <w:sz w:val="24"/>
              </w:rPr>
              <w:t>ЭФ(д)</w:t>
            </w: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 =&gt;ЕПГУ</w:t>
            </w:r>
          </w:p>
        </w:tc>
      </w:tr>
      <w:t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E010000">
            <w:pPr>
              <w:pStyle w:val="Style_2"/>
              <w:widowControl w:val="1"/>
              <w:spacing w:after="0" w:before="0" w:line="240" w:lineRule="auto"/>
              <w:ind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spacing w:val="0"/>
                <w:sz w:val="24"/>
              </w:rPr>
              <w:t>2.2.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9F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/>
            </w:pPr>
            <w:r>
              <w:rPr/>
              <w:t>2А-6А, 2Б-6Б, 2В-4В, 2Г-8Г</w:t>
            </w:r>
          </w:p>
        </w:tc>
        <w:tc>
          <w:tcPr>
            <w:tcW w:type="dxa" w:w="4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A0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/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выписка из </w:t>
            </w:r>
            <w:r>
              <w:rPr/>
              <w:t>ЕГРИП</w:t>
            </w:r>
          </w:p>
        </w:tc>
        <w:tc>
          <w:tcPr>
            <w:tcW w:type="dxa" w:w="23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A1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/>
            </w:pPr>
            <w:r>
              <w:rPr>
                <w:rStyle w:val="Style_2_ch"/>
                <w:rFonts w:ascii="Times New Roman" w:hAnsi="Times New Roman"/>
                <w:b w:val="0"/>
                <w:color w:val="000000"/>
                <w:sz w:val="24"/>
              </w:rPr>
              <w:t>ЭФ(д)</w:t>
            </w: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 =&gt;ЕПГУ</w:t>
            </w:r>
          </w:p>
        </w:tc>
      </w:tr>
      <w:tr>
        <w:tc>
          <w:tcPr>
            <w:tcW w:type="dxa" w:w="70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A2010000">
            <w:pPr>
              <w:pStyle w:val="Style_2"/>
              <w:widowControl w:val="1"/>
              <w:spacing w:after="0" w:before="0" w:line="240" w:lineRule="auto"/>
              <w:ind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spacing w:val="0"/>
                <w:sz w:val="24"/>
              </w:rPr>
              <w:t>2.3.</w:t>
            </w:r>
          </w:p>
        </w:tc>
        <w:tc>
          <w:tcPr>
            <w:tcW w:type="dxa" w:w="198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A3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1А-6А, 1Б-6Б, 1Г-8Г</w:t>
            </w:r>
          </w:p>
        </w:tc>
        <w:tc>
          <w:tcPr>
            <w:tcW w:type="dxa" w:w="45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A4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/>
            </w:pPr>
            <w:r>
              <w:rPr/>
              <w:t>платежное поручение об уплате государственной пошлины</w:t>
            </w:r>
          </w:p>
        </w:tc>
        <w:tc>
          <w:tcPr>
            <w:tcW w:type="dxa" w:w="238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A5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/>
            </w:pPr>
            <w:r>
              <w:rPr>
                <w:rStyle w:val="Style_2_ch"/>
                <w:rFonts w:ascii="Times New Roman" w:hAnsi="Times New Roman"/>
                <w:b w:val="0"/>
                <w:color w:val="000000"/>
                <w:sz w:val="24"/>
              </w:rPr>
              <w:t>ЭФ(д)</w:t>
            </w:r>
            <w:r>
              <w:rPr>
                <w:rFonts w:ascii="Times New Roman" w:hAnsi="Times New Roman"/>
                <w:b w:val="0"/>
                <w:color w:val="000000"/>
                <w:sz w:val="24"/>
              </w:rPr>
              <w:t xml:space="preserve"> =&gt;ЕПГУ</w:t>
            </w:r>
          </w:p>
        </w:tc>
      </w:tr>
    </w:tbl>
    <w:p w14:paraId="A6010000">
      <w:pPr>
        <w:pStyle w:val="Style_5"/>
        <w:numPr>
          <w:ilvl w:val="0"/>
          <w:numId w:val="0"/>
        </w:numPr>
        <w:spacing w:after="0" w:before="0" w:line="240" w:lineRule="auto"/>
        <w:ind w:firstLine="0"/>
        <w:jc w:val="center"/>
        <w:outlineLvl w:val="2"/>
        <w:rPr>
          <w:rFonts w:ascii="Times New Roman" w:hAnsi="Times New Roman"/>
          <w:b w:val="0"/>
          <w:sz w:val="28"/>
        </w:rPr>
      </w:pPr>
    </w:p>
    <w:p w14:paraId="A7010000">
      <w:pPr>
        <w:pStyle w:val="Style_2"/>
        <w:spacing w:after="0" w:line="240" w:lineRule="auto"/>
        <w:ind/>
        <w:rPr>
          <w:rFonts w:ascii="Times New Roman" w:hAnsi="Times New Roman"/>
          <w:b w:val="0"/>
          <w:sz w:val="28"/>
        </w:rPr>
      </w:pPr>
    </w:p>
    <w:p w14:paraId="A8010000">
      <w:pPr>
        <w:pStyle w:val="Style_5"/>
        <w:numPr>
          <w:ilvl w:val="0"/>
          <w:numId w:val="0"/>
        </w:numPr>
        <w:spacing w:after="0" w:before="0" w:line="240" w:lineRule="auto"/>
        <w:ind w:firstLine="0"/>
        <w:jc w:val="center"/>
        <w:outlineLvl w:val="2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sz w:val="28"/>
        </w:rPr>
        <w:t xml:space="preserve">Исчерпывающий </w:t>
      </w:r>
      <w:r>
        <w:rPr>
          <w:rFonts w:ascii="Times New Roman" w:hAnsi="Times New Roman"/>
          <w:b w:val="0"/>
          <w:sz w:val="28"/>
        </w:rPr>
        <w:t xml:space="preserve">перечень </w:t>
      </w:r>
    </w:p>
    <w:p w14:paraId="A9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sz w:val="28"/>
        </w:rPr>
        <w:t>оснований для отказа в приеме заявления и документов, необходимых</w:t>
      </w:r>
      <w:r>
        <w:rPr>
          <w:rFonts w:ascii="Times New Roman" w:hAnsi="Times New Roman"/>
          <w:b w:val="0"/>
          <w:sz w:val="28"/>
        </w:rPr>
        <w:br/>
      </w:r>
      <w:r>
        <w:rPr>
          <w:rFonts w:ascii="Times New Roman" w:hAnsi="Times New Roman"/>
          <w:b w:val="0"/>
          <w:sz w:val="28"/>
        </w:rPr>
        <w:t xml:space="preserve">для предоставления </w:t>
      </w:r>
      <w:r>
        <w:rPr>
          <w:rFonts w:ascii="Times New Roman" w:hAnsi="Times New Roman"/>
          <w:b w:val="0"/>
          <w:color w:val="000000"/>
          <w:spacing w:val="0"/>
          <w:sz w:val="28"/>
        </w:rPr>
        <w:t>государственной услуги «</w:t>
      </w:r>
      <w:r>
        <w:rPr>
          <w:rFonts w:ascii="Times New Roman" w:hAnsi="Times New Roman"/>
          <w:b w:val="0"/>
          <w:color w:val="000000"/>
          <w:sz w:val="28"/>
        </w:rPr>
        <w:t>Лицензирование розничной торговли табачной продукцией и никотинсодержащей продукцией и развозной торговли табачной продукцией и никотинсодержащей продукцией</w:t>
      </w:r>
      <w:r>
        <w:rPr>
          <w:rFonts w:ascii="Times New Roman" w:hAnsi="Times New Roman"/>
          <w:b w:val="0"/>
          <w:color w:val="000000"/>
          <w:spacing w:val="0"/>
          <w:sz w:val="28"/>
        </w:rPr>
        <w:t>»</w:t>
      </w:r>
      <w:r>
        <w:rPr>
          <w:rFonts w:ascii="Times New Roman" w:hAnsi="Times New Roman"/>
          <w:b w:val="0"/>
          <w:sz w:val="28"/>
        </w:rPr>
        <w:t>, оснований для приостановления предоставления Услуги, оснований для отказа в предоставлении Услуги</w:t>
      </w:r>
    </w:p>
    <w:p w14:paraId="AA010000">
      <w:pPr>
        <w:pStyle w:val="Style_2"/>
        <w:widowControl w:val="1"/>
        <w:tabs>
          <w:tab w:leader="none" w:pos="284" w:val="left"/>
          <w:tab w:leader="none" w:pos="708" w:val="clear"/>
          <w:tab w:leader="none" w:pos="1134" w:val="left"/>
        </w:tabs>
        <w:spacing w:after="0" w:before="0" w:line="240" w:lineRule="auto"/>
        <w:ind w:firstLine="0"/>
        <w:contextualSpacing w:val="1"/>
        <w:jc w:val="center"/>
        <w:rPr>
          <w:rFonts w:ascii="Times New Roman" w:hAnsi="Times New Roman"/>
          <w:b w:val="0"/>
          <w:sz w:val="28"/>
        </w:rPr>
      </w:pPr>
    </w:p>
    <w:p w14:paraId="AB010000">
      <w:pPr>
        <w:pStyle w:val="Style_2"/>
        <w:spacing w:after="0" w:line="240" w:lineRule="auto"/>
        <w:ind/>
        <w:jc w:val="right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Таблица 3</w:t>
      </w:r>
    </w:p>
    <w:tbl>
      <w:tblPr>
        <w:tblStyle w:val="Style_3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750"/>
        <w:gridCol w:w="6831"/>
        <w:gridCol w:w="2058"/>
      </w:tblGrid>
      <w:tr>
        <w:trPr>
          <w:trHeight w:hRule="atLeast" w:val="1204"/>
        </w:trP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AC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п/п</w:t>
            </w:r>
          </w:p>
        </w:tc>
        <w:tc>
          <w:tcPr>
            <w:tcW w:type="dxa" w:w="683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AD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Перечень оснований</w:t>
            </w:r>
          </w:p>
        </w:tc>
        <w:tc>
          <w:tcPr>
            <w:tcW w:type="dxa" w:w="20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AE010000">
            <w:pPr>
              <w:pStyle w:val="Style_2"/>
              <w:widowControl w:val="1"/>
              <w:tabs>
                <w:tab w:leader="none" w:pos="708" w:val="clear"/>
                <w:tab w:leader="none" w:pos="5950" w:val="left"/>
              </w:tabs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Идентификатор отдельного признака заявителей</w:t>
            </w:r>
          </w:p>
        </w:tc>
      </w:tr>
    </w:tbl>
    <w:p w14:paraId="AF010000">
      <w:pPr>
        <w:pStyle w:val="Style_2"/>
        <w:spacing w:after="0" w:before="0" w:line="240" w:lineRule="auto"/>
        <w:ind/>
        <w:rPr>
          <w:rFonts w:ascii="Times New Roman" w:hAnsi="Times New Roman"/>
          <w:b w:val="0"/>
          <w:sz w:val="2"/>
        </w:rPr>
      </w:pPr>
    </w:p>
    <w:tbl>
      <w:tblPr>
        <w:tblStyle w:val="Style_3"/>
        <w:tblW w:type="auto" w:w="0"/>
        <w:jc w:val="left"/>
        <w:tblInd w:type="dxa" w:w="0"/>
        <w:tblLayout w:type="fixed"/>
        <w:tblCellMar>
          <w:top w:type="dxa" w:w="0"/>
          <w:bottom w:type="dxa" w:w="0"/>
        </w:tblCellMar>
      </w:tblPr>
      <w:tblGrid>
        <w:gridCol w:w="750"/>
        <w:gridCol w:w="6822"/>
        <w:gridCol w:w="2067"/>
      </w:tblGrid>
      <w:tr>
        <w:trPr>
          <w:tblHeader/>
        </w:trP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B0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B1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center"/>
          </w:tcPr>
          <w:p w14:paraId="B2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</w:t>
            </w:r>
          </w:p>
        </w:tc>
      </w:tr>
      <w:tr>
        <w:trPr>
          <w:trHeight w:hRule="atLeast" w:val="219"/>
        </w:trP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3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</w:t>
            </w:r>
          </w:p>
        </w:tc>
        <w:tc>
          <w:tcPr>
            <w:tcW w:type="dxa" w:w="888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4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Исчерпывающий перечень оснований для отказа в приеме заявления и документов, необходимых для предоставления Услуги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5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1.1.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bottom w:type="dxa" w:w="0"/>
            </w:tcMar>
            <w:vAlign w:val="top"/>
          </w:tcPr>
          <w:p w14:paraId="B6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Некорректное заполнение обязательных полей в форме заявления на ЕПГУ (неправильное и (или) неполное заполнение обязательных полей)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7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1А-4Д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8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1.2.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bottom w:type="dxa" w:w="0"/>
            </w:tcMar>
            <w:vAlign w:val="top"/>
          </w:tcPr>
          <w:p w14:paraId="B9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Предоставленные документы или сведения утратили силу на момент обращения за Услугой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A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1А-4Д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B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1.3.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bottom w:type="dxa" w:w="0"/>
            </w:tcMar>
            <w:vAlign w:val="top"/>
          </w:tcPr>
          <w:p w14:paraId="BC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Подписание заявления о предоставлении государственной услуги электронной подписью, не принадлежащей заявителю или представителю заявителя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D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1А-4Д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BE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1.4.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bottom w:type="dxa" w:w="0"/>
            </w:tcMar>
            <w:vAlign w:val="top"/>
          </w:tcPr>
          <w:p w14:paraId="BF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По инициативе заявителя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0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1А-4Д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1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1.5.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themeFill="background1" w:val="clear"/>
            <w:tcMar>
              <w:top w:type="dxa" w:w="0"/>
              <w:bottom w:type="dxa" w:w="0"/>
            </w:tcMar>
            <w:vAlign w:val="top"/>
          </w:tcPr>
          <w:p w14:paraId="C2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Электронная подпись не соответствует требованиям, установленным статьей 11 ФЗ № 63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3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1А-4Д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4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</w:t>
            </w:r>
          </w:p>
        </w:tc>
        <w:tc>
          <w:tcPr>
            <w:tcW w:type="dxa" w:w="888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5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Исчерпывающий перечень оснований для приостановления предоставления Услуги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6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2.1.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7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Наличие у заявителя на 1-е число месяца поступления в лицензирующий орган заявления о выдаче лицензии задолженности в размере отрицательного сальдо единого налогового счета, превышающего 3000 рублей, информация о которой получена в форме электронного документа с использованием единой системы межведомственного электронного взаимодействия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8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4Г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9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2.2.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A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Выявление в представленных документах недостоверной информации и (или) неполной информации в случае, если такая неполная информация не позволяет установить соответствие заявителя лицензионным требованиям, определенным пунктами 3, 12 части 32 и пунктом 1 части 33.2 статьи 8 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br/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ФЗ</w:t>
            </w:r>
            <w:r>
              <w:rPr>
                <w:rFonts w:ascii="XO Thames" w:hAnsi="XO Thames"/>
                <w:b w:val="0"/>
                <w:color w:val="000000"/>
                <w:spacing w:val="0"/>
                <w:sz w:val="24"/>
              </w:rPr>
              <w:t> 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№</w:t>
            </w:r>
            <w:r>
              <w:rPr>
                <w:rFonts w:ascii="XO Thames" w:hAnsi="XO Thames"/>
                <w:b w:val="0"/>
                <w:color w:val="000000"/>
                <w:spacing w:val="0"/>
                <w:sz w:val="24"/>
              </w:rPr>
              <w:t> 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203, либо представление заявителем неполного комплекта документов, предусмотренных для выдачи лицензии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B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5Г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C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2.3.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D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Наличие сведений об отсутствии факта внесения сведений о заявителе в ЕГРЮЛ или факта постановки заявителя на учет в налоговом органе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CE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1А, 3А-6А, 1Б, </w:t>
            </w:r>
          </w:p>
          <w:p w14:paraId="CF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3Б-6Б, 5Г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0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2.4.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1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Наличие сведений об отсутствии факта внесения сведений о заявителе в ЕГРИП или факта постановки заявителя на учет в налоговом органе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2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2А-6А, 2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Б-6Б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3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2.5.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4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Отсутствие уплаты (неполная уплата) государственной пошлины за действия, связанные с лицензированием деятельности по производству и обороту табачной продукции, никотинсодержащей продукции и сырья для производства такой продукции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5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5Г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6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2.6.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7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Отсутствие регистрации заявителя в информационной системе мониторинга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8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5Г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9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2.7.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A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Наличие у заявителя на 1-е число месяца, в котором лицензирующим органом зарегистрировано заявление о выдаче лицензии, не уплаченного, по данным ГИС ГМП, в установленный законодательством Российской Федерации срок административного штрафа, назначенного за административное правонарушение, предусмотренное статьей 14.43, 14.45, 14.53 или 14.67, частью 3 или 4 статьи 15.12, статьей 15.12.1 или 17.7, частью 6 статьи 19.4, частью 1 или 2 статьи 19.4.1, частью 15 или 22 статьи 19.5, статьей 19.6 или 19.7 КоАП РФ, совершенное в области производства и оборота табачных изделий, табачной продукции, никотинсодержащей продукции и сырья для их производства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B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5Г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C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</w:t>
            </w:r>
          </w:p>
        </w:tc>
        <w:tc>
          <w:tcPr>
            <w:tcW w:type="dxa" w:w="8889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D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Исчерпывающий перечень оснований для отказа в предоставлении Услуги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E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3.1.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DF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Несоответствие заявителя лицензионному требованию, определенного пунктом 12 части 32 статьи 8 ФЗ № 203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0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5Г, 6Г</w:t>
            </w:r>
          </w:p>
          <w:p w14:paraId="E1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2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3.2.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3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Несоответствие заявителя лицензионным требованиям, определенным пунктами 1</w:t>
            </w:r>
            <w:r>
              <w:rPr>
                <w:rFonts w:ascii="Calibri" w:hAnsi="Calibri"/>
                <w:b w:val="0"/>
                <w:color w:val="000000"/>
                <w:spacing w:val="0"/>
                <w:sz w:val="22"/>
              </w:rPr>
              <w:t> 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-</w:t>
            </w:r>
            <w:r>
              <w:rPr>
                <w:rFonts w:ascii="XO Thames" w:hAnsi="XO Thames"/>
                <w:b w:val="0"/>
                <w:color w:val="000000"/>
                <w:spacing w:val="0"/>
                <w:sz w:val="24"/>
              </w:rPr>
              <w:t> 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 части 33.2 статьи 8 ФЗ № 203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4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1Г-5Г, 7Г, 8Г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5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3.3.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6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Непредставление заявителем уведомления об устранении выявленных нарушений в лицензирующий орган в установленный двадцатидневный срок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7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1Г-8Г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8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3.4.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9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Неустранение заявителем нарушений, выявленных в порядке, определенном частями 16 и 17 статьи 8 ФЗ № 203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A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1Г-8Г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B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3.5.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C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Отсутствие регистрации заявителя в информационной системе мониторинга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D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1Г-8Г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E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3.6.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EF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Неистечение срока, определенного частью 34 статьи 8 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br/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ФЗ № 203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0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1А-6А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1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3.7. 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2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/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Несоответствие указанных в заявлении о выдаче лицензии адресов мест осуществления лицензируемого вида деятельности (адресов или сведений о местах размещения торговых объектов, не являющихся недвижимым имуществом), фактическим адресам мест осуществления лицензируемого вида деятельности (адресам или сведениям о местах размещения торговых объектов, не являющихся недвижимым имуществом) установленное лицензирующим органом по результатам выездной оценки соответствия заявителя обязательным требованиям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3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1А-6А, 5Г</w:t>
            </w:r>
          </w:p>
        </w:tc>
      </w:tr>
      <w:t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4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3.8.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5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Наличие у заявителя на 1-е число месяца, в котором лицензирующим органом зарегистрировано заявление о выдаче лицензии, не уплаченного, по данным ГИС ГМП, в установленный законодательством Российской Федерации срок административного штрафа, который назначен за административное правонарушение, предусмотренное статьей 14.43, 14.45, 14.53 или 14.67, частью 3 или 4 статьи 15.12, статьей 15.12.1 или 17.7, частью 6 статьи 19.4, частью 1 или 2 статьи 19.4.1, частью 15 или 22 статьи 19.5, статьей 19.6 или 19.7 КоАП РФ, совершенное в области производства и оборота табачных изделий, табачной продукции, никотинсодержащей продукции и сырья для их производства, и задолженность по уплате которого не погашена на дату истечения срока, установленного частью 16 статьи 8 ФЗ </w:t>
            </w: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№ 203 для устранения выявленного нарушения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6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1А-6Б, 5Г</w:t>
            </w:r>
          </w:p>
        </w:tc>
      </w:tr>
      <w:tr>
        <w:trPr>
          <w:trHeight w:hRule="atLeast" w:val="783"/>
        </w:trPr>
        <w:tc>
          <w:tcPr>
            <w:tcW w:type="dxa" w:w="7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7010000">
            <w:pPr>
              <w:pStyle w:val="Style_2"/>
              <w:widowControl w:val="1"/>
              <w:spacing w:after="0" w:before="0" w:line="240" w:lineRule="auto"/>
              <w:ind w:firstLine="0"/>
              <w:jc w:val="center"/>
              <w:rPr>
                <w:rFonts w:ascii="Times New Roman" w:hAnsi="Times New Roman"/>
                <w:b w:val="0"/>
                <w:spacing w:val="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3.9.</w:t>
            </w:r>
          </w:p>
        </w:tc>
        <w:tc>
          <w:tcPr>
            <w:tcW w:type="dxa" w:w="682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8010000">
            <w:pPr>
              <w:pStyle w:val="Style_2"/>
              <w:widowControl w:val="1"/>
              <w:spacing w:after="0" w:before="0" w:line="240" w:lineRule="auto"/>
              <w:ind w:firstLine="0"/>
              <w:jc w:val="both"/>
              <w:rPr/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 xml:space="preserve">Срок действия договора аренды торгового объекта меньше срока действия лицензии, указанного заявителем в заявлении о выдаче лицензии </w:t>
            </w:r>
          </w:p>
        </w:tc>
        <w:tc>
          <w:tcPr>
            <w:tcW w:type="dxa" w:w="20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bottom w:type="dxa" w:w="0"/>
            </w:tcMar>
            <w:vAlign w:val="top"/>
          </w:tcPr>
          <w:p w14:paraId="F9010000">
            <w:pPr>
              <w:pStyle w:val="Style_2"/>
              <w:widowControl w:val="1"/>
              <w:spacing w:after="0" w:before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b w:val="0"/>
                <w:color w:val="000000"/>
                <w:spacing w:val="0"/>
                <w:sz w:val="24"/>
              </w:rPr>
              <w:t>1А-6А, 5Г</w:t>
            </w:r>
          </w:p>
        </w:tc>
      </w:tr>
    </w:tbl>
    <w:p w14:paraId="FA010000">
      <w:pPr>
        <w:pStyle w:val="Style_2"/>
        <w:spacing w:after="0" w:line="240" w:lineRule="auto"/>
        <w:ind/>
        <w:rPr>
          <w:rFonts w:ascii="Times New Roman" w:hAnsi="Times New Roman"/>
          <w:sz w:val="24"/>
        </w:rPr>
      </w:pPr>
    </w:p>
    <w:sectPr>
      <w:headerReference r:id="rId3" w:type="default"/>
      <w:headerReference r:id="rId2" w:type="first"/>
      <w:headerReference r:id="rId1" w:type="even"/>
      <w:type w:val="nextPage"/>
      <w:pgSz w:h="16838" w:orient="portrait" w:w="11906"/>
      <w:pgMar w:bottom="1134" w:footer="0" w:gutter="0" w:header="709" w:left="1417" w:right="850" w:top="1134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ind/>
      <w:jc w:val="center"/>
      <w:rPr>
        <w:rFonts w:ascii="Times New Roman" w:hAnsi="Times New Roman"/>
        <w:sz w:val="28"/>
      </w:rPr>
    </w:pPr>
    <w:r>
      <w:rPr>
        <w:rFonts w:ascii="Times New Roman" w:hAnsi="Times New Roman"/>
        <w:sz w:val="28"/>
      </w:rPr>
      <w:fldChar w:fldCharType="begin"/>
    </w:r>
    <w:r>
      <w:rPr>
        <w:rFonts w:ascii="Times New Roman" w:hAnsi="Times New Roman"/>
        <w:sz w:val="28"/>
      </w:rPr>
      <w:instrText xml:space="preserve">PAGE </w:instrText>
    </w:r>
    <w:r>
      <w:rPr>
        <w:rFonts w:ascii="Times New Roman" w:hAnsi="Times New Roman"/>
        <w:sz w:val="28"/>
      </w:rPr>
      <w:fldChar w:fldCharType="separate"/>
    </w:r>
    <w:r>
      <w:rPr>
        <w:rFonts w:ascii="Times New Roman" w:hAnsi="Times New Roman"/>
        <w:sz w:val="28"/>
      </w:rPr>
      <w:t xml:space="preserve"> </w:t>
    </w:r>
    <w:r>
      <w:rPr>
        <w:rFonts w:ascii="Times New Roman" w:hAnsi="Times New Roman"/>
        <w:sz w:val="28"/>
      </w:rPr>
      <w:fldChar w:fldCharType="end"/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0" w:val="left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leader="none" w:pos="0" w:val="left"/>
        </w:tabs>
        <w:ind w:hanging="360"/>
      </w:pPr>
    </w:lvl>
    <w:lvl w:ilvl="2">
      <w:start w:val="1"/>
      <w:numFmt w:val="lowerRoman"/>
      <w:lvlText w:val="%3."/>
      <w:lvlJc w:val="right"/>
      <w:pPr>
        <w:tabs>
          <w:tab w:leader="none" w:pos="0" w:val="left"/>
        </w:tabs>
        <w:ind w:hanging="360"/>
      </w:pPr>
    </w:lvl>
    <w:lvl w:ilvl="3">
      <w:start w:val="1"/>
      <w:numFmt w:val="decimal"/>
      <w:lvlText w:val="%4."/>
      <w:lvlJc w:val="left"/>
      <w:pPr>
        <w:tabs>
          <w:tab w:leader="none" w:pos="0" w:val="left"/>
        </w:tabs>
        <w:ind w:hanging="360"/>
      </w:pPr>
    </w:lvl>
    <w:lvl w:ilvl="4">
      <w:start w:val="1"/>
      <w:numFmt w:val="lowerLetter"/>
      <w:lvlText w:val="%5."/>
      <w:lvlJc w:val="left"/>
      <w:pPr>
        <w:tabs>
          <w:tab w:leader="none" w:pos="0" w:val="left"/>
        </w:tabs>
        <w:ind w:hanging="360"/>
      </w:pPr>
    </w:lvl>
    <w:lvl w:ilvl="5">
      <w:start w:val="1"/>
      <w:numFmt w:val="lowerRoman"/>
      <w:lvlText w:val="%6."/>
      <w:lvlJc w:val="right"/>
      <w:pPr>
        <w:tabs>
          <w:tab w:leader="none" w:pos="0" w:val="left"/>
        </w:tabs>
        <w:ind w:hanging="360"/>
      </w:pPr>
    </w:lvl>
    <w:lvl w:ilvl="6">
      <w:start w:val="1"/>
      <w:numFmt w:val="decimal"/>
      <w:lvlText w:val="%7."/>
      <w:lvlJc w:val="left"/>
      <w:pPr>
        <w:tabs>
          <w:tab w:leader="none" w:pos="0" w:val="left"/>
        </w:tabs>
        <w:ind w:hanging="360"/>
      </w:pPr>
    </w:lvl>
    <w:lvl w:ilvl="7">
      <w:start w:val="1"/>
      <w:numFmt w:val="lowerLetter"/>
      <w:lvlText w:val="%8."/>
      <w:lvlJc w:val="left"/>
      <w:pPr>
        <w:tabs>
          <w:tab w:leader="none" w:pos="0" w:val="left"/>
        </w:tabs>
        <w:ind w:hanging="360"/>
      </w:pPr>
    </w:lvl>
    <w:lvl w:ilvl="8">
      <w:start w:val="1"/>
      <w:numFmt w:val="lowerRoman"/>
      <w:lvlText w:val="%9."/>
      <w:lvlJc w:val="right"/>
      <w:pPr>
        <w:tabs>
          <w:tab w:leader="none" w:pos="0" w:val="left"/>
        </w:tabs>
        <w:ind w:hanging="360"/>
      </w:pPr>
    </w:lvl>
  </w:abstractNum>
  <w:abstractNum w:abstractNumId="1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160" w:before="0" w:line="264" w:lineRule="auto"/>
      <w:ind/>
    </w:pPr>
    <w:rPr>
      <w:rFonts w:asciiTheme="minorAscii" w:hAnsiTheme="minorHAnsi"/>
      <w:color w:val="000000"/>
      <w:sz w:val="22"/>
    </w:rPr>
  </w:style>
  <w:style w:default="1" w:styleId="Style_2_ch" w:type="character">
    <w:name w:val="Normal"/>
    <w:link w:val="Style_2"/>
    <w:rPr>
      <w:rFonts w:asciiTheme="minorAscii" w:hAnsiTheme="minorHAnsi"/>
      <w:color w:val="000000"/>
      <w:sz w:val="22"/>
    </w:rPr>
  </w:style>
  <w:style w:styleId="Style_6" w:type="paragraph">
    <w:name w:val="Internet link"/>
    <w:basedOn w:val="Style_7"/>
    <w:link w:val="Style_6_ch"/>
    <w:rPr>
      <w:color w:themeColor="hyperlink" w:val="0563C1"/>
      <w:u w:val="single"/>
    </w:rPr>
  </w:style>
  <w:style w:styleId="Style_6_ch" w:type="character">
    <w:name w:val="Internet link"/>
    <w:basedOn w:val="Style_7_ch"/>
    <w:link w:val="Style_6"/>
    <w:rPr>
      <w:color w:themeColor="hyperlink" w:val="0563C1"/>
      <w:u w:val="single"/>
    </w:rPr>
  </w:style>
  <w:style w:styleId="Style_8" w:type="paragraph">
    <w:name w:val="Heading 4 Char"/>
    <w:basedOn w:val="Style_7"/>
    <w:link w:val="Style_8_ch"/>
    <w:rPr>
      <w:rFonts w:ascii="Liberation Sans" w:hAnsi="Liberation Sans"/>
      <w:b w:val="1"/>
      <w:sz w:val="26"/>
    </w:rPr>
  </w:style>
  <w:style w:styleId="Style_8_ch" w:type="character">
    <w:name w:val="Heading 4 Char"/>
    <w:basedOn w:val="Style_7_ch"/>
    <w:link w:val="Style_8"/>
    <w:rPr>
      <w:rFonts w:ascii="Liberation Sans" w:hAnsi="Liberation Sans"/>
      <w:b w:val="1"/>
      <w:sz w:val="26"/>
    </w:rPr>
  </w:style>
  <w:style w:styleId="Style_9" w:type="paragraph">
    <w:name w:val="toc 2"/>
    <w:next w:val="Style_2"/>
    <w:link w:val="Style_9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color w:val="000000"/>
      <w:sz w:val="28"/>
    </w:rPr>
  </w:style>
  <w:style w:styleId="Style_9_ch" w:type="character">
    <w:name w:val="toc 2"/>
    <w:link w:val="Style_9"/>
    <w:rPr>
      <w:rFonts w:ascii="XO Thames" w:hAnsi="XO Thames"/>
      <w:color w:val="000000"/>
      <w:sz w:val="28"/>
    </w:rPr>
  </w:style>
  <w:style w:styleId="Style_10" w:type="paragraph">
    <w:name w:val="Endnote Text Char"/>
    <w:link w:val="Style_10_ch"/>
    <w:rPr>
      <w:sz w:val="20"/>
    </w:rPr>
  </w:style>
  <w:style w:styleId="Style_10_ch" w:type="character">
    <w:name w:val="Endnote Text Char"/>
    <w:link w:val="Style_10"/>
    <w:rPr>
      <w:sz w:val="20"/>
    </w:rPr>
  </w:style>
  <w:style w:styleId="Style_11" w:type="paragraph">
    <w:name w:val="Footer Char"/>
    <w:basedOn w:val="Style_7"/>
    <w:link w:val="Style_11_ch"/>
  </w:style>
  <w:style w:styleId="Style_11_ch" w:type="character">
    <w:name w:val="Footer Char"/>
    <w:basedOn w:val="Style_7_ch"/>
    <w:link w:val="Style_11"/>
  </w:style>
  <w:style w:styleId="Style_12" w:type="paragraph">
    <w:name w:val="toc 4"/>
    <w:next w:val="Style_2"/>
    <w:link w:val="Style_12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color w:val="000000"/>
      <w:sz w:val="28"/>
    </w:rPr>
  </w:style>
  <w:style w:styleId="Style_12_ch" w:type="character">
    <w:name w:val="toc 4"/>
    <w:link w:val="Style_12"/>
    <w:rPr>
      <w:rFonts w:ascii="XO Thames" w:hAnsi="XO Thames"/>
      <w:color w:val="000000"/>
      <w:sz w:val="28"/>
    </w:rPr>
  </w:style>
  <w:style w:styleId="Style_13" w:type="paragraph">
    <w:name w:val="Contents 8"/>
    <w:link w:val="Style_13_ch"/>
    <w:rPr>
      <w:rFonts w:ascii="XO Thames" w:hAnsi="XO Thames"/>
      <w:sz w:val="28"/>
    </w:rPr>
  </w:style>
  <w:style w:styleId="Style_13_ch" w:type="character">
    <w:name w:val="Contents 8"/>
    <w:link w:val="Style_13"/>
    <w:rPr>
      <w:rFonts w:ascii="XO Thames" w:hAnsi="XO Thames"/>
      <w:sz w:val="28"/>
    </w:rPr>
  </w:style>
  <w:style w:styleId="Style_14" w:type="paragraph">
    <w:name w:val="Heading 41"/>
    <w:link w:val="Style_14_ch"/>
    <w:rPr>
      <w:rFonts w:ascii="XO Thames" w:hAnsi="XO Thames"/>
      <w:b w:val="1"/>
      <w:sz w:val="24"/>
    </w:rPr>
  </w:style>
  <w:style w:styleId="Style_14_ch" w:type="character">
    <w:name w:val="Heading 41"/>
    <w:link w:val="Style_14"/>
    <w:rPr>
      <w:rFonts w:ascii="XO Thames" w:hAnsi="XO Thames"/>
      <w:b w:val="1"/>
      <w:sz w:val="24"/>
    </w:rPr>
  </w:style>
  <w:style w:styleId="Style_15" w:type="paragraph">
    <w:name w:val="heading 7"/>
    <w:basedOn w:val="Style_2"/>
    <w:next w:val="Style_2"/>
    <w:link w:val="Style_15_ch"/>
    <w:uiPriority w:val="9"/>
    <w:qFormat/>
    <w:pPr>
      <w:keepNext w:val="1"/>
      <w:keepLines w:val="1"/>
      <w:spacing w:after="200" w:before="320"/>
      <w:ind/>
      <w:outlineLvl w:val="6"/>
    </w:pPr>
    <w:rPr>
      <w:rFonts w:ascii="Liberation Sans" w:hAnsi="Liberation Sans"/>
      <w:b w:val="1"/>
      <w:i w:val="1"/>
      <w:sz w:val="22"/>
    </w:rPr>
  </w:style>
  <w:style w:styleId="Style_15_ch" w:type="character">
    <w:name w:val="heading 7"/>
    <w:basedOn w:val="Style_2_ch"/>
    <w:link w:val="Style_15"/>
    <w:rPr>
      <w:rFonts w:ascii="Liberation Sans" w:hAnsi="Liberation Sans"/>
      <w:b w:val="1"/>
      <w:i w:val="1"/>
      <w:sz w:val="22"/>
    </w:rPr>
  </w:style>
  <w:style w:styleId="Style_16" w:type="paragraph">
    <w:name w:val="Heading 1 Char"/>
    <w:basedOn w:val="Style_7"/>
    <w:link w:val="Style_16_ch"/>
    <w:rPr>
      <w:rFonts w:ascii="Liberation Sans" w:hAnsi="Liberation Sans"/>
      <w:sz w:val="40"/>
    </w:rPr>
  </w:style>
  <w:style w:styleId="Style_16_ch" w:type="character">
    <w:name w:val="Heading 1 Char"/>
    <w:basedOn w:val="Style_7_ch"/>
    <w:link w:val="Style_16"/>
    <w:rPr>
      <w:rFonts w:ascii="Liberation Sans" w:hAnsi="Liberation Sans"/>
      <w:sz w:val="40"/>
    </w:rPr>
  </w:style>
  <w:style w:styleId="Style_17" w:type="paragraph">
    <w:name w:val="Intense Quote"/>
    <w:basedOn w:val="Style_2"/>
    <w:next w:val="Style_2"/>
    <w:link w:val="Style_17_ch"/>
    <w:pPr>
      <w:spacing w:after="160" w:before="0"/>
      <w:ind/>
    </w:pPr>
    <w:rPr>
      <w:i w:val="1"/>
    </w:rPr>
  </w:style>
  <w:style w:styleId="Style_17_ch" w:type="character">
    <w:name w:val="Intense Quote"/>
    <w:basedOn w:val="Style_2_ch"/>
    <w:link w:val="Style_17"/>
    <w:rPr>
      <w:i w:val="1"/>
    </w:rPr>
  </w:style>
  <w:style w:styleId="Style_18" w:type="paragraph">
    <w:name w:val="toc 6"/>
    <w:next w:val="Style_2"/>
    <w:link w:val="Style_18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color w:val="000000"/>
      <w:sz w:val="28"/>
    </w:rPr>
  </w:style>
  <w:style w:styleId="Style_18_ch" w:type="character">
    <w:name w:val="toc 6"/>
    <w:link w:val="Style_18"/>
    <w:rPr>
      <w:rFonts w:ascii="XO Thames" w:hAnsi="XO Thames"/>
      <w:color w:val="000000"/>
      <w:sz w:val="28"/>
    </w:rPr>
  </w:style>
  <w:style w:styleId="Style_19" w:type="paragraph">
    <w:name w:val="toc 7"/>
    <w:next w:val="Style_2"/>
    <w:link w:val="Style_19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color w:val="000000"/>
      <w:sz w:val="28"/>
    </w:rPr>
  </w:style>
  <w:style w:styleId="Style_19_ch" w:type="character">
    <w:name w:val="toc 7"/>
    <w:link w:val="Style_19"/>
    <w:rPr>
      <w:rFonts w:ascii="XO Thames" w:hAnsi="XO Thames"/>
      <w:color w:val="000000"/>
      <w:sz w:val="28"/>
    </w:rPr>
  </w:style>
  <w:style w:styleId="Style_20" w:type="paragraph">
    <w:name w:val="Header Char"/>
    <w:basedOn w:val="Style_7"/>
    <w:link w:val="Style_20_ch"/>
  </w:style>
  <w:style w:styleId="Style_20_ch" w:type="character">
    <w:name w:val="Header Char"/>
    <w:basedOn w:val="Style_7_ch"/>
    <w:link w:val="Style_20"/>
  </w:style>
  <w:style w:styleId="Style_21" w:type="paragraph">
    <w:name w:val="footnote reference"/>
    <w:link w:val="Style_21_ch"/>
    <w:rPr>
      <w:vertAlign w:val="superscript"/>
    </w:rPr>
  </w:style>
  <w:style w:styleId="Style_21_ch" w:type="character">
    <w:name w:val="footnote reference"/>
    <w:link w:val="Style_21"/>
    <w:rPr>
      <w:vertAlign w:val="superscript"/>
    </w:rPr>
  </w:style>
  <w:style w:styleId="Style_22" w:type="paragraph">
    <w:name w:val="Heading 6 Char"/>
    <w:basedOn w:val="Style_7"/>
    <w:link w:val="Style_22_ch"/>
    <w:rPr>
      <w:rFonts w:ascii="Liberation Sans" w:hAnsi="Liberation Sans"/>
      <w:b w:val="1"/>
      <w:sz w:val="22"/>
    </w:rPr>
  </w:style>
  <w:style w:styleId="Style_22_ch" w:type="character">
    <w:name w:val="Heading 6 Char"/>
    <w:basedOn w:val="Style_7_ch"/>
    <w:link w:val="Style_22"/>
    <w:rPr>
      <w:rFonts w:ascii="Liberation Sans" w:hAnsi="Liberation Sans"/>
      <w:b w:val="1"/>
      <w:sz w:val="22"/>
    </w:rPr>
  </w:style>
  <w:style w:styleId="Style_23" w:type="paragraph">
    <w:name w:val="Caption Char"/>
    <w:basedOn w:val="Style_7"/>
    <w:link w:val="Style_23_ch"/>
    <w:rPr>
      <w:b w:val="1"/>
      <w:color w:themeColor="accent1" w:val="5B9BD5"/>
      <w:sz w:val="18"/>
    </w:rPr>
  </w:style>
  <w:style w:styleId="Style_23_ch" w:type="character">
    <w:name w:val="Caption Char"/>
    <w:basedOn w:val="Style_7_ch"/>
    <w:link w:val="Style_23"/>
    <w:rPr>
      <w:b w:val="1"/>
      <w:color w:themeColor="accent1" w:val="5B9BD5"/>
      <w:sz w:val="18"/>
    </w:rPr>
  </w:style>
  <w:style w:styleId="Style_24" w:type="paragraph">
    <w:name w:val="Endnote"/>
    <w:basedOn w:val="Style_2"/>
    <w:link w:val="Style_24_ch"/>
    <w:pPr>
      <w:spacing w:after="0" w:before="0" w:line="240" w:lineRule="auto"/>
      <w:ind/>
    </w:pPr>
    <w:rPr>
      <w:sz w:val="20"/>
    </w:rPr>
  </w:style>
  <w:style w:styleId="Style_24_ch" w:type="character">
    <w:name w:val="Endnote"/>
    <w:basedOn w:val="Style_2_ch"/>
    <w:link w:val="Style_24"/>
    <w:rPr>
      <w:sz w:val="20"/>
    </w:rPr>
  </w:style>
  <w:style w:styleId="Style_25" w:type="paragraph">
    <w:name w:val="heading 3"/>
    <w:next w:val="Style_2"/>
    <w:link w:val="Style_25_ch"/>
    <w:uiPriority w:val="9"/>
    <w:qFormat/>
    <w:pPr>
      <w:widowControl w:val="1"/>
      <w:spacing w:after="120" w:before="120" w:line="264" w:lineRule="auto"/>
      <w:ind/>
      <w:jc w:val="both"/>
      <w:outlineLvl w:val="2"/>
    </w:pPr>
    <w:rPr>
      <w:rFonts w:ascii="XO Thames" w:hAnsi="XO Thames"/>
      <w:b w:val="1"/>
      <w:color w:val="000000"/>
      <w:sz w:val="26"/>
    </w:rPr>
  </w:style>
  <w:style w:styleId="Style_25_ch" w:type="character">
    <w:name w:val="heading 3"/>
    <w:link w:val="Style_25"/>
    <w:rPr>
      <w:rFonts w:ascii="XO Thames" w:hAnsi="XO Thames"/>
      <w:b w:val="1"/>
      <w:color w:val="000000"/>
      <w:sz w:val="26"/>
    </w:rPr>
  </w:style>
  <w:style w:styleId="Style_26" w:type="paragraph">
    <w:name w:val="Символ концевой сноски"/>
    <w:link w:val="Style_26_ch"/>
    <w:rPr>
      <w:vertAlign w:val="superscript"/>
    </w:rPr>
  </w:style>
  <w:style w:styleId="Style_26_ch" w:type="character">
    <w:name w:val="Символ концевой сноски"/>
    <w:link w:val="Style_26"/>
    <w:rPr>
      <w:vertAlign w:val="superscript"/>
    </w:rPr>
  </w:style>
  <w:style w:styleId="Style_27" w:type="paragraph">
    <w:name w:val="Contents 6"/>
    <w:link w:val="Style_27_ch"/>
    <w:rPr>
      <w:rFonts w:ascii="XO Thames" w:hAnsi="XO Thames"/>
      <w:sz w:val="28"/>
    </w:rPr>
  </w:style>
  <w:style w:styleId="Style_27_ch" w:type="character">
    <w:name w:val="Contents 6"/>
    <w:link w:val="Style_27"/>
    <w:rPr>
      <w:rFonts w:ascii="XO Thames" w:hAnsi="XO Thames"/>
      <w:sz w:val="28"/>
    </w:rPr>
  </w:style>
  <w:style w:styleId="Style_28" w:type="paragraph">
    <w:name w:val="Heading 5 Char"/>
    <w:basedOn w:val="Style_7"/>
    <w:link w:val="Style_28_ch"/>
    <w:rPr>
      <w:rFonts w:ascii="Liberation Sans" w:hAnsi="Liberation Sans"/>
      <w:b w:val="1"/>
      <w:sz w:val="24"/>
    </w:rPr>
  </w:style>
  <w:style w:styleId="Style_28_ch" w:type="character">
    <w:name w:val="Heading 5 Char"/>
    <w:basedOn w:val="Style_7_ch"/>
    <w:link w:val="Style_28"/>
    <w:rPr>
      <w:rFonts w:ascii="Liberation Sans" w:hAnsi="Liberation Sans"/>
      <w:b w:val="1"/>
      <w:sz w:val="24"/>
    </w:rPr>
  </w:style>
  <w:style w:styleId="Style_29" w:type="paragraph">
    <w:name w:val="Title Char"/>
    <w:basedOn w:val="Style_7"/>
    <w:link w:val="Style_29_ch"/>
    <w:rPr>
      <w:sz w:val="48"/>
    </w:rPr>
  </w:style>
  <w:style w:styleId="Style_29_ch" w:type="character">
    <w:name w:val="Title Char"/>
    <w:basedOn w:val="Style_7_ch"/>
    <w:link w:val="Style_29"/>
    <w:rPr>
      <w:sz w:val="48"/>
    </w:rPr>
  </w:style>
  <w:style w:styleId="Style_30" w:type="paragraph">
    <w:name w:val="Subtitle1"/>
    <w:link w:val="Style_30_ch"/>
    <w:rPr>
      <w:rFonts w:ascii="XO Thames" w:hAnsi="XO Thames"/>
      <w:i w:val="1"/>
      <w:sz w:val="24"/>
    </w:rPr>
  </w:style>
  <w:style w:styleId="Style_30_ch" w:type="character">
    <w:name w:val="Subtitle1"/>
    <w:link w:val="Style_30"/>
    <w:rPr>
      <w:rFonts w:ascii="XO Thames" w:hAnsi="XO Thames"/>
      <w:i w:val="1"/>
      <w:sz w:val="24"/>
    </w:rPr>
  </w:style>
  <w:style w:styleId="Style_31" w:type="paragraph">
    <w:name w:val="Колонтитулы"/>
    <w:basedOn w:val="Style_2"/>
    <w:link w:val="Style_31_ch"/>
  </w:style>
  <w:style w:styleId="Style_31_ch" w:type="character">
    <w:name w:val="Колонтитулы"/>
    <w:basedOn w:val="Style_2_ch"/>
    <w:link w:val="Style_31"/>
  </w:style>
  <w:style w:styleId="Style_32" w:type="paragraph">
    <w:name w:val="heading 9"/>
    <w:basedOn w:val="Style_2"/>
    <w:next w:val="Style_2"/>
    <w:link w:val="Style_32_ch"/>
    <w:uiPriority w:val="9"/>
    <w:qFormat/>
    <w:pPr>
      <w:keepNext w:val="1"/>
      <w:keepLines w:val="1"/>
      <w:spacing w:after="200" w:before="320"/>
      <w:ind/>
      <w:outlineLvl w:val="8"/>
    </w:pPr>
    <w:rPr>
      <w:rFonts w:ascii="Liberation Sans" w:hAnsi="Liberation Sans"/>
      <w:i w:val="1"/>
      <w:sz w:val="21"/>
    </w:rPr>
  </w:style>
  <w:style w:styleId="Style_32_ch" w:type="character">
    <w:name w:val="heading 9"/>
    <w:basedOn w:val="Style_2_ch"/>
    <w:link w:val="Style_32"/>
    <w:rPr>
      <w:rFonts w:ascii="Liberation Sans" w:hAnsi="Liberation Sans"/>
      <w:i w:val="1"/>
      <w:sz w:val="21"/>
    </w:rPr>
  </w:style>
  <w:style w:styleId="Style_1" w:type="paragraph">
    <w:name w:val="header"/>
    <w:basedOn w:val="Style_2"/>
    <w:link w:val="Style_1_ch"/>
    <w:pPr>
      <w:tabs>
        <w:tab w:leader="none" w:pos="708" w:val="clear"/>
        <w:tab w:leader="none" w:pos="4677" w:val="center"/>
        <w:tab w:leader="none" w:pos="9355" w:val="right"/>
      </w:tabs>
      <w:spacing w:after="0" w:before="0" w:line="240" w:lineRule="auto"/>
      <w:ind/>
    </w:pPr>
  </w:style>
  <w:style w:styleId="Style_1_ch" w:type="character">
    <w:name w:val="header"/>
    <w:basedOn w:val="Style_2_ch"/>
    <w:link w:val="Style_1"/>
  </w:style>
  <w:style w:styleId="Style_33" w:type="paragraph">
    <w:name w:val="Символ концевой сноски (user)"/>
    <w:basedOn w:val="Style_7"/>
    <w:link w:val="Style_33_ch"/>
    <w:rPr>
      <w:vertAlign w:val="superscript"/>
    </w:rPr>
  </w:style>
  <w:style w:styleId="Style_33_ch" w:type="character">
    <w:name w:val="Символ концевой сноски (user)"/>
    <w:basedOn w:val="Style_7_ch"/>
    <w:link w:val="Style_33"/>
    <w:rPr>
      <w:vertAlign w:val="superscript"/>
    </w:rPr>
  </w:style>
  <w:style w:styleId="Style_34" w:type="paragraph">
    <w:name w:val="Contents 1"/>
    <w:link w:val="Style_34_ch"/>
    <w:rPr>
      <w:rFonts w:ascii="XO Thames" w:hAnsi="XO Thames"/>
      <w:b w:val="1"/>
      <w:sz w:val="28"/>
    </w:rPr>
  </w:style>
  <w:style w:styleId="Style_34_ch" w:type="character">
    <w:name w:val="Contents 1"/>
    <w:link w:val="Style_34"/>
    <w:rPr>
      <w:rFonts w:ascii="XO Thames" w:hAnsi="XO Thames"/>
      <w:b w:val="1"/>
      <w:sz w:val="28"/>
    </w:rPr>
  </w:style>
  <w:style w:styleId="Style_35" w:type="paragraph">
    <w:name w:val="Plain Text1"/>
    <w:basedOn w:val="Style_2"/>
    <w:link w:val="Style_35_ch"/>
    <w:pPr>
      <w:spacing w:after="0" w:before="0" w:line="240" w:lineRule="auto"/>
      <w:ind/>
    </w:pPr>
    <w:rPr>
      <w:rFonts w:ascii="Calibri" w:hAnsi="Calibri"/>
    </w:rPr>
  </w:style>
  <w:style w:styleId="Style_35_ch" w:type="character">
    <w:name w:val="Plain Text1"/>
    <w:basedOn w:val="Style_2_ch"/>
    <w:link w:val="Style_35"/>
    <w:rPr>
      <w:rFonts w:ascii="Calibri" w:hAnsi="Calibri"/>
    </w:rPr>
  </w:style>
  <w:style w:styleId="Style_36" w:type="paragraph">
    <w:name w:val="endnote reference"/>
    <w:link w:val="Style_36_ch"/>
    <w:rPr>
      <w:vertAlign w:val="superscript"/>
    </w:rPr>
  </w:style>
  <w:style w:styleId="Style_36_ch" w:type="character">
    <w:name w:val="endnote reference"/>
    <w:link w:val="Style_36"/>
    <w:rPr>
      <w:vertAlign w:val="superscript"/>
    </w:rPr>
  </w:style>
  <w:style w:styleId="Style_37" w:type="paragraph">
    <w:name w:val="Heading 21"/>
    <w:link w:val="Style_37_ch"/>
    <w:rPr>
      <w:rFonts w:ascii="XO Thames" w:hAnsi="XO Thames"/>
      <w:b w:val="1"/>
      <w:sz w:val="28"/>
    </w:rPr>
  </w:style>
  <w:style w:styleId="Style_37_ch" w:type="character">
    <w:name w:val="Heading 21"/>
    <w:link w:val="Style_37"/>
    <w:rPr>
      <w:rFonts w:ascii="XO Thames" w:hAnsi="XO Thames"/>
      <w:b w:val="1"/>
      <w:sz w:val="28"/>
    </w:rPr>
  </w:style>
  <w:style w:styleId="Style_38" w:type="paragraph">
    <w:name w:val="Footnote1"/>
    <w:link w:val="Style_38_ch"/>
    <w:pPr>
      <w:widowControl w:val="1"/>
      <w:spacing w:after="160" w:before="0" w:line="264" w:lineRule="auto"/>
      <w:ind w:firstLine="851"/>
      <w:jc w:val="both"/>
    </w:pPr>
    <w:rPr>
      <w:rFonts w:ascii="XO Thames" w:hAnsi="XO Thames"/>
      <w:color w:val="000000"/>
      <w:sz w:val="22"/>
    </w:rPr>
  </w:style>
  <w:style w:styleId="Style_38_ch" w:type="character">
    <w:name w:val="Footnote1"/>
    <w:link w:val="Style_38"/>
    <w:rPr>
      <w:rFonts w:ascii="XO Thames" w:hAnsi="XO Thames"/>
      <w:color w:val="000000"/>
      <w:sz w:val="22"/>
    </w:rPr>
  </w:style>
  <w:style w:styleId="Style_39" w:type="paragraph">
    <w:name w:val="Quote"/>
    <w:basedOn w:val="Style_2"/>
    <w:next w:val="Style_2"/>
    <w:link w:val="Style_39_ch"/>
    <w:rPr>
      <w:i w:val="1"/>
    </w:rPr>
  </w:style>
  <w:style w:styleId="Style_39_ch" w:type="character">
    <w:name w:val="Quote"/>
    <w:basedOn w:val="Style_2_ch"/>
    <w:link w:val="Style_39"/>
    <w:rPr>
      <w:i w:val="1"/>
    </w:rPr>
  </w:style>
  <w:style w:styleId="Style_40" w:type="paragraph">
    <w:name w:val="toc 3"/>
    <w:next w:val="Style_2"/>
    <w:link w:val="Style_40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color w:val="000000"/>
      <w:sz w:val="28"/>
    </w:rPr>
  </w:style>
  <w:style w:styleId="Style_40_ch" w:type="character">
    <w:name w:val="toc 3"/>
    <w:link w:val="Style_40"/>
    <w:rPr>
      <w:rFonts w:ascii="XO Thames" w:hAnsi="XO Thames"/>
      <w:color w:val="000000"/>
      <w:sz w:val="28"/>
    </w:rPr>
  </w:style>
  <w:style w:styleId="Style_41" w:type="paragraph">
    <w:name w:val="Footnote Text Char"/>
    <w:link w:val="Style_41_ch"/>
    <w:rPr>
      <w:sz w:val="18"/>
    </w:rPr>
  </w:style>
  <w:style w:styleId="Style_41_ch" w:type="character">
    <w:name w:val="Footnote Text Char"/>
    <w:link w:val="Style_41"/>
    <w:rPr>
      <w:sz w:val="18"/>
    </w:rPr>
  </w:style>
  <w:style w:styleId="Style_42" w:type="paragraph">
    <w:name w:val="Заголовок (user)"/>
    <w:basedOn w:val="Style_2"/>
    <w:next w:val="Style_43"/>
    <w:link w:val="Style_42_ch"/>
    <w:pPr>
      <w:keepNext w:val="1"/>
      <w:spacing w:after="120" w:before="240"/>
      <w:ind/>
    </w:pPr>
    <w:rPr>
      <w:rFonts w:ascii="Open Sans" w:hAnsi="Open Sans"/>
      <w:sz w:val="28"/>
    </w:rPr>
  </w:style>
  <w:style w:styleId="Style_42_ch" w:type="character">
    <w:name w:val="Заголовок (user)"/>
    <w:basedOn w:val="Style_2_ch"/>
    <w:link w:val="Style_42"/>
    <w:rPr>
      <w:rFonts w:ascii="Open Sans" w:hAnsi="Open Sans"/>
      <w:sz w:val="28"/>
    </w:rPr>
  </w:style>
  <w:style w:styleId="Style_44" w:type="paragraph">
    <w:name w:val="Указатель (user)"/>
    <w:basedOn w:val="Style_2"/>
    <w:link w:val="Style_44_ch"/>
  </w:style>
  <w:style w:styleId="Style_44_ch" w:type="character">
    <w:name w:val="Указатель (user)"/>
    <w:basedOn w:val="Style_2_ch"/>
    <w:link w:val="Style_44"/>
  </w:style>
  <w:style w:styleId="Style_45" w:type="paragraph">
    <w:name w:val="No Spacing"/>
    <w:link w:val="Style_45_ch"/>
    <w:pPr>
      <w:widowControl w:val="1"/>
      <w:spacing w:after="0" w:before="0" w:line="240" w:lineRule="auto"/>
      <w:ind/>
    </w:pPr>
    <w:rPr>
      <w:rFonts w:asciiTheme="minorAscii" w:hAnsiTheme="minorHAnsi"/>
      <w:color w:val="000000"/>
      <w:sz w:val="22"/>
    </w:rPr>
  </w:style>
  <w:style w:styleId="Style_45_ch" w:type="character">
    <w:name w:val="No Spacing"/>
    <w:link w:val="Style_45"/>
    <w:rPr>
      <w:rFonts w:asciiTheme="minorAscii" w:hAnsiTheme="minorHAnsi"/>
      <w:color w:val="000000"/>
      <w:sz w:val="22"/>
    </w:rPr>
  </w:style>
  <w:style w:styleId="Style_46" w:type="paragraph">
    <w:name w:val="heading 5"/>
    <w:next w:val="Style_2"/>
    <w:link w:val="Style_46_ch"/>
    <w:uiPriority w:val="9"/>
    <w:qFormat/>
    <w:pPr>
      <w:widowControl w:val="1"/>
      <w:spacing w:after="120" w:before="120" w:line="264" w:lineRule="auto"/>
      <w:ind/>
      <w:jc w:val="both"/>
      <w:outlineLvl w:val="4"/>
    </w:pPr>
    <w:rPr>
      <w:rFonts w:ascii="XO Thames" w:hAnsi="XO Thames"/>
      <w:b w:val="1"/>
      <w:color w:val="000000"/>
      <w:sz w:val="22"/>
    </w:rPr>
  </w:style>
  <w:style w:styleId="Style_46_ch" w:type="character">
    <w:name w:val="heading 5"/>
    <w:link w:val="Style_46"/>
    <w:rPr>
      <w:rFonts w:ascii="XO Thames" w:hAnsi="XO Thames"/>
      <w:b w:val="1"/>
      <w:color w:val="000000"/>
      <w:sz w:val="22"/>
    </w:rPr>
  </w:style>
  <w:style w:styleId="Style_47" w:type="paragraph">
    <w:name w:val="Heading 8 Char"/>
    <w:basedOn w:val="Style_7"/>
    <w:link w:val="Style_47_ch"/>
    <w:rPr>
      <w:rFonts w:ascii="Liberation Sans" w:hAnsi="Liberation Sans"/>
      <w:i w:val="1"/>
      <w:sz w:val="22"/>
    </w:rPr>
  </w:style>
  <w:style w:styleId="Style_47_ch" w:type="character">
    <w:name w:val="Heading 8 Char"/>
    <w:basedOn w:val="Style_7_ch"/>
    <w:link w:val="Style_47"/>
    <w:rPr>
      <w:rFonts w:ascii="Liberation Sans" w:hAnsi="Liberation Sans"/>
      <w:i w:val="1"/>
      <w:sz w:val="22"/>
    </w:rPr>
  </w:style>
  <w:style w:styleId="Style_5" w:type="paragraph">
    <w:name w:val="heading 1"/>
    <w:next w:val="Style_2"/>
    <w:link w:val="Style_5_ch"/>
    <w:uiPriority w:val="9"/>
    <w:qFormat/>
    <w:pPr>
      <w:widowControl w:val="1"/>
      <w:spacing w:after="120" w:before="120" w:line="264" w:lineRule="auto"/>
      <w:ind/>
      <w:jc w:val="both"/>
      <w:outlineLvl w:val="0"/>
    </w:pPr>
    <w:rPr>
      <w:rFonts w:ascii="XO Thames" w:hAnsi="XO Thames"/>
      <w:b w:val="1"/>
      <w:color w:val="000000"/>
      <w:sz w:val="32"/>
    </w:rPr>
  </w:style>
  <w:style w:styleId="Style_5_ch" w:type="character">
    <w:name w:val="heading 1"/>
    <w:link w:val="Style_5"/>
    <w:rPr>
      <w:rFonts w:ascii="XO Thames" w:hAnsi="XO Thames"/>
      <w:b w:val="1"/>
      <w:color w:val="000000"/>
      <w:sz w:val="32"/>
    </w:rPr>
  </w:style>
  <w:style w:styleId="Style_48" w:type="paragraph">
    <w:name w:val="TOC Heading"/>
    <w:link w:val="Style_48_ch"/>
    <w:pPr>
      <w:widowControl w:val="1"/>
      <w:spacing w:after="160" w:before="0" w:line="264" w:lineRule="auto"/>
      <w:ind/>
    </w:pPr>
    <w:rPr>
      <w:rFonts w:asciiTheme="minorAscii" w:hAnsiTheme="minorHAnsi"/>
      <w:color w:val="000000"/>
      <w:sz w:val="22"/>
    </w:rPr>
  </w:style>
  <w:style w:styleId="Style_48_ch" w:type="character">
    <w:name w:val="TOC Heading"/>
    <w:link w:val="Style_48"/>
    <w:rPr>
      <w:rFonts w:asciiTheme="minorAscii" w:hAnsiTheme="minorHAnsi"/>
      <w:color w:val="000000"/>
      <w:sz w:val="22"/>
    </w:rPr>
  </w:style>
  <w:style w:styleId="Style_49" w:type="paragraph">
    <w:name w:val="Title1"/>
    <w:link w:val="Style_49_ch"/>
    <w:rPr>
      <w:rFonts w:ascii="XO Thames" w:hAnsi="XO Thames"/>
      <w:b w:val="1"/>
      <w:caps w:val="1"/>
      <w:sz w:val="40"/>
    </w:rPr>
  </w:style>
  <w:style w:styleId="Style_49_ch" w:type="character">
    <w:name w:val="Title1"/>
    <w:link w:val="Style_49"/>
    <w:rPr>
      <w:rFonts w:ascii="XO Thames" w:hAnsi="XO Thames"/>
      <w:b w:val="1"/>
      <w:caps w:val="1"/>
      <w:sz w:val="40"/>
    </w:rPr>
  </w:style>
  <w:style w:styleId="Style_50" w:type="paragraph">
    <w:name w:val="Footer1"/>
    <w:link w:val="Style_50_ch"/>
    <w:rPr>
      <w:rFonts w:ascii="Times New Roman" w:hAnsi="Times New Roman"/>
      <w:sz w:val="28"/>
    </w:rPr>
  </w:style>
  <w:style w:styleId="Style_50_ch" w:type="character">
    <w:name w:val="Footer1"/>
    <w:link w:val="Style_50"/>
    <w:rPr>
      <w:rFonts w:ascii="Times New Roman" w:hAnsi="Times New Roman"/>
      <w:sz w:val="28"/>
    </w:rPr>
  </w:style>
  <w:style w:styleId="Style_51" w:type="paragraph">
    <w:name w:val="Hyperlink"/>
    <w:basedOn w:val="Style_7"/>
    <w:link w:val="Style_51_ch"/>
    <w:rPr>
      <w:color w:themeColor="hyperlink" w:val="0563C1"/>
      <w:u w:val="single"/>
    </w:rPr>
  </w:style>
  <w:style w:styleId="Style_51_ch" w:type="character">
    <w:name w:val="Hyperlink"/>
    <w:basedOn w:val="Style_7_ch"/>
    <w:link w:val="Style_51"/>
    <w:rPr>
      <w:color w:themeColor="hyperlink" w:val="0563C1"/>
      <w:u w:val="single"/>
    </w:rPr>
  </w:style>
  <w:style w:styleId="Style_52" w:type="paragraph">
    <w:name w:val="Footnote"/>
    <w:basedOn w:val="Style_2"/>
    <w:link w:val="Style_52_ch"/>
    <w:pPr>
      <w:spacing w:after="40" w:before="0" w:line="240" w:lineRule="auto"/>
      <w:ind/>
    </w:pPr>
    <w:rPr>
      <w:sz w:val="18"/>
    </w:rPr>
  </w:style>
  <w:style w:styleId="Style_52_ch" w:type="character">
    <w:name w:val="Footnote"/>
    <w:basedOn w:val="Style_2_ch"/>
    <w:link w:val="Style_52"/>
    <w:rPr>
      <w:sz w:val="18"/>
    </w:rPr>
  </w:style>
  <w:style w:styleId="Style_53" w:type="paragraph">
    <w:name w:val="heading 8"/>
    <w:basedOn w:val="Style_2"/>
    <w:next w:val="Style_2"/>
    <w:link w:val="Style_53_ch"/>
    <w:uiPriority w:val="9"/>
    <w:qFormat/>
    <w:pPr>
      <w:keepNext w:val="1"/>
      <w:keepLines w:val="1"/>
      <w:spacing w:after="200" w:before="320"/>
      <w:ind/>
      <w:outlineLvl w:val="7"/>
    </w:pPr>
    <w:rPr>
      <w:rFonts w:ascii="Liberation Sans" w:hAnsi="Liberation Sans"/>
      <w:i w:val="1"/>
      <w:sz w:val="22"/>
    </w:rPr>
  </w:style>
  <w:style w:styleId="Style_53_ch" w:type="character">
    <w:name w:val="heading 8"/>
    <w:basedOn w:val="Style_2_ch"/>
    <w:link w:val="Style_53"/>
    <w:rPr>
      <w:rFonts w:ascii="Liberation Sans" w:hAnsi="Liberation Sans"/>
      <w:i w:val="1"/>
      <w:sz w:val="22"/>
    </w:rPr>
  </w:style>
  <w:style w:styleId="Style_54" w:type="paragraph">
    <w:name w:val="Contents 3"/>
    <w:link w:val="Style_54_ch"/>
    <w:rPr>
      <w:rFonts w:ascii="XO Thames" w:hAnsi="XO Thames"/>
      <w:sz w:val="28"/>
    </w:rPr>
  </w:style>
  <w:style w:styleId="Style_54_ch" w:type="character">
    <w:name w:val="Contents 3"/>
    <w:link w:val="Style_54"/>
    <w:rPr>
      <w:rFonts w:ascii="XO Thames" w:hAnsi="XO Thames"/>
      <w:sz w:val="28"/>
    </w:rPr>
  </w:style>
  <w:style w:styleId="Style_55" w:type="paragraph">
    <w:name w:val="Heading 3 Char"/>
    <w:basedOn w:val="Style_7"/>
    <w:link w:val="Style_55_ch"/>
    <w:rPr>
      <w:rFonts w:ascii="Liberation Sans" w:hAnsi="Liberation Sans"/>
      <w:sz w:val="30"/>
    </w:rPr>
  </w:style>
  <w:style w:styleId="Style_55_ch" w:type="character">
    <w:name w:val="Heading 3 Char"/>
    <w:basedOn w:val="Style_7_ch"/>
    <w:link w:val="Style_55"/>
    <w:rPr>
      <w:rFonts w:ascii="Liberation Sans" w:hAnsi="Liberation Sans"/>
      <w:sz w:val="30"/>
    </w:rPr>
  </w:style>
  <w:style w:styleId="Style_56" w:type="paragraph">
    <w:name w:val="toc 1"/>
    <w:next w:val="Style_2"/>
    <w:link w:val="Style_56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b w:val="1"/>
      <w:color w:val="000000"/>
      <w:sz w:val="28"/>
    </w:rPr>
  </w:style>
  <w:style w:styleId="Style_56_ch" w:type="character">
    <w:name w:val="toc 1"/>
    <w:link w:val="Style_56"/>
    <w:rPr>
      <w:rFonts w:ascii="XO Thames" w:hAnsi="XO Thames"/>
      <w:b w:val="1"/>
      <w:color w:val="000000"/>
      <w:sz w:val="28"/>
    </w:rPr>
  </w:style>
  <w:style w:styleId="Style_57" w:type="paragraph">
    <w:name w:val="Header and Footer"/>
    <w:link w:val="Style_57_ch"/>
    <w:rPr>
      <w:rFonts w:ascii="XO Thames" w:hAnsi="XO Thames"/>
      <w:sz w:val="28"/>
    </w:rPr>
  </w:style>
  <w:style w:styleId="Style_57_ch" w:type="character">
    <w:name w:val="Header and Footer"/>
    <w:link w:val="Style_57"/>
    <w:rPr>
      <w:rFonts w:ascii="XO Thames" w:hAnsi="XO Thames"/>
      <w:sz w:val="28"/>
    </w:rPr>
  </w:style>
  <w:style w:styleId="Style_58" w:type="paragraph">
    <w:name w:val="Subtitle Char"/>
    <w:basedOn w:val="Style_7"/>
    <w:link w:val="Style_58_ch"/>
    <w:rPr>
      <w:sz w:val="24"/>
    </w:rPr>
  </w:style>
  <w:style w:styleId="Style_58_ch" w:type="character">
    <w:name w:val="Subtitle Char"/>
    <w:basedOn w:val="Style_7_ch"/>
    <w:link w:val="Style_58"/>
    <w:rPr>
      <w:sz w:val="24"/>
    </w:rPr>
  </w:style>
  <w:style w:styleId="Style_59" w:type="paragraph">
    <w:name w:val="table of figures"/>
    <w:basedOn w:val="Style_2"/>
    <w:next w:val="Style_2"/>
    <w:link w:val="Style_59_ch"/>
    <w:pPr>
      <w:spacing w:after="0" w:before="0"/>
      <w:ind/>
    </w:pPr>
  </w:style>
  <w:style w:styleId="Style_59_ch" w:type="character">
    <w:name w:val="table of figures"/>
    <w:basedOn w:val="Style_2_ch"/>
    <w:link w:val="Style_59"/>
  </w:style>
  <w:style w:styleId="Style_60" w:type="paragraph">
    <w:name w:val="Contents 4"/>
    <w:link w:val="Style_60_ch"/>
    <w:rPr>
      <w:rFonts w:ascii="XO Thames" w:hAnsi="XO Thames"/>
      <w:sz w:val="28"/>
    </w:rPr>
  </w:style>
  <w:style w:styleId="Style_60_ch" w:type="character">
    <w:name w:val="Contents 4"/>
    <w:link w:val="Style_60"/>
    <w:rPr>
      <w:rFonts w:ascii="XO Thames" w:hAnsi="XO Thames"/>
      <w:sz w:val="28"/>
    </w:rPr>
  </w:style>
  <w:style w:styleId="Style_61" w:type="paragraph">
    <w:name w:val="Heading 31"/>
    <w:link w:val="Style_61_ch"/>
    <w:rPr>
      <w:rFonts w:ascii="XO Thames" w:hAnsi="XO Thames"/>
      <w:b w:val="1"/>
      <w:sz w:val="26"/>
    </w:rPr>
  </w:style>
  <w:style w:styleId="Style_61_ch" w:type="character">
    <w:name w:val="Heading 31"/>
    <w:link w:val="Style_61"/>
    <w:rPr>
      <w:rFonts w:ascii="XO Thames" w:hAnsi="XO Thames"/>
      <w:b w:val="1"/>
      <w:sz w:val="26"/>
    </w:rPr>
  </w:style>
  <w:style w:styleId="Style_62" w:type="paragraph">
    <w:name w:val="toc 9"/>
    <w:next w:val="Style_2"/>
    <w:link w:val="Style_62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color w:val="000000"/>
      <w:sz w:val="28"/>
    </w:rPr>
  </w:style>
  <w:style w:styleId="Style_62_ch" w:type="character">
    <w:name w:val="toc 9"/>
    <w:link w:val="Style_62"/>
    <w:rPr>
      <w:rFonts w:ascii="XO Thames" w:hAnsi="XO Thames"/>
      <w:color w:val="000000"/>
      <w:sz w:val="28"/>
    </w:rPr>
  </w:style>
  <w:style w:styleId="Style_63" w:type="paragraph">
    <w:name w:val="Contents 5"/>
    <w:link w:val="Style_63_ch"/>
    <w:rPr>
      <w:rFonts w:ascii="XO Thames" w:hAnsi="XO Thames"/>
      <w:sz w:val="28"/>
    </w:rPr>
  </w:style>
  <w:style w:styleId="Style_63_ch" w:type="character">
    <w:name w:val="Contents 5"/>
    <w:link w:val="Style_63"/>
    <w:rPr>
      <w:rFonts w:ascii="XO Thames" w:hAnsi="XO Thames"/>
      <w:sz w:val="28"/>
    </w:rPr>
  </w:style>
  <w:style w:styleId="Style_64" w:type="paragraph">
    <w:name w:val="Contents 2"/>
    <w:link w:val="Style_64_ch"/>
    <w:rPr>
      <w:rFonts w:ascii="XO Thames" w:hAnsi="XO Thames"/>
      <w:sz w:val="28"/>
    </w:rPr>
  </w:style>
  <w:style w:styleId="Style_64_ch" w:type="character">
    <w:name w:val="Contents 2"/>
    <w:link w:val="Style_64"/>
    <w:rPr>
      <w:rFonts w:ascii="XO Thames" w:hAnsi="XO Thames"/>
      <w:sz w:val="28"/>
    </w:rPr>
  </w:style>
  <w:style w:styleId="Style_65" w:type="paragraph">
    <w:name w:val="toc 8"/>
    <w:next w:val="Style_2"/>
    <w:link w:val="Style_65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color w:val="000000"/>
      <w:sz w:val="28"/>
    </w:rPr>
  </w:style>
  <w:style w:styleId="Style_65_ch" w:type="character">
    <w:name w:val="toc 8"/>
    <w:link w:val="Style_65"/>
    <w:rPr>
      <w:rFonts w:ascii="XO Thames" w:hAnsi="XO Thames"/>
      <w:color w:val="000000"/>
      <w:sz w:val="28"/>
    </w:rPr>
  </w:style>
  <w:style w:styleId="Style_66" w:type="paragraph">
    <w:name w:val="Balloon Text1"/>
    <w:basedOn w:val="Style_2"/>
    <w:link w:val="Style_66_ch"/>
    <w:pPr>
      <w:spacing w:after="0" w:before="0" w:line="240" w:lineRule="auto"/>
      <w:ind/>
    </w:pPr>
    <w:rPr>
      <w:rFonts w:ascii="Segoe UI" w:hAnsi="Segoe UI"/>
      <w:sz w:val="18"/>
    </w:rPr>
  </w:style>
  <w:style w:styleId="Style_66_ch" w:type="character">
    <w:name w:val="Balloon Text1"/>
    <w:basedOn w:val="Style_2_ch"/>
    <w:link w:val="Style_66"/>
    <w:rPr>
      <w:rFonts w:ascii="Segoe UI" w:hAnsi="Segoe UI"/>
      <w:sz w:val="18"/>
    </w:rPr>
  </w:style>
  <w:style w:styleId="Style_67" w:type="paragraph">
    <w:name w:val="Heading 7 Char"/>
    <w:basedOn w:val="Style_7"/>
    <w:link w:val="Style_67_ch"/>
    <w:rPr>
      <w:rFonts w:ascii="Liberation Sans" w:hAnsi="Liberation Sans"/>
      <w:b w:val="1"/>
      <w:i w:val="1"/>
      <w:sz w:val="22"/>
    </w:rPr>
  </w:style>
  <w:style w:styleId="Style_67_ch" w:type="character">
    <w:name w:val="Heading 7 Char"/>
    <w:basedOn w:val="Style_7_ch"/>
    <w:link w:val="Style_67"/>
    <w:rPr>
      <w:rFonts w:ascii="Liberation Sans" w:hAnsi="Liberation Sans"/>
      <w:b w:val="1"/>
      <w:i w:val="1"/>
      <w:sz w:val="22"/>
    </w:rPr>
  </w:style>
  <w:style w:styleId="Style_68" w:type="paragraph">
    <w:name w:val="Contents 9"/>
    <w:link w:val="Style_68_ch"/>
    <w:rPr>
      <w:rFonts w:ascii="XO Thames" w:hAnsi="XO Thames"/>
      <w:sz w:val="28"/>
    </w:rPr>
  </w:style>
  <w:style w:styleId="Style_68_ch" w:type="character">
    <w:name w:val="Contents 9"/>
    <w:link w:val="Style_68"/>
    <w:rPr>
      <w:rFonts w:ascii="XO Thames" w:hAnsi="XO Thames"/>
      <w:sz w:val="28"/>
    </w:rPr>
  </w:style>
  <w:style w:styleId="Style_69" w:type="paragraph">
    <w:name w:val="Heading 11"/>
    <w:link w:val="Style_69_ch"/>
    <w:rPr>
      <w:rFonts w:ascii="XO Thames" w:hAnsi="XO Thames"/>
      <w:b w:val="1"/>
      <w:sz w:val="32"/>
    </w:rPr>
  </w:style>
  <w:style w:styleId="Style_69_ch" w:type="character">
    <w:name w:val="Heading 11"/>
    <w:link w:val="Style_69"/>
    <w:rPr>
      <w:rFonts w:ascii="XO Thames" w:hAnsi="XO Thames"/>
      <w:b w:val="1"/>
      <w:sz w:val="32"/>
    </w:rPr>
  </w:style>
  <w:style w:styleId="Style_70" w:type="paragraph">
    <w:name w:val="Header1"/>
    <w:link w:val="Style_70_ch"/>
  </w:style>
  <w:style w:styleId="Style_70_ch" w:type="character">
    <w:name w:val="Header1"/>
    <w:link w:val="Style_70"/>
  </w:style>
  <w:style w:styleId="Style_71" w:type="paragraph">
    <w:name w:val="toc 5"/>
    <w:next w:val="Style_2"/>
    <w:link w:val="Style_71_ch"/>
    <w:uiPriority w:val="39"/>
    <w:pPr>
      <w:widowControl w:val="1"/>
      <w:spacing w:after="160" w:before="0" w:line="264" w:lineRule="auto"/>
      <w:ind w:firstLine="0"/>
    </w:pPr>
    <w:rPr>
      <w:rFonts w:ascii="XO Thames" w:hAnsi="XO Thames"/>
      <w:color w:val="000000"/>
      <w:sz w:val="28"/>
    </w:rPr>
  </w:style>
  <w:style w:styleId="Style_71_ch" w:type="character">
    <w:name w:val="toc 5"/>
    <w:link w:val="Style_71"/>
    <w:rPr>
      <w:rFonts w:ascii="XO Thames" w:hAnsi="XO Thames"/>
      <w:color w:val="000000"/>
      <w:sz w:val="28"/>
    </w:rPr>
  </w:style>
  <w:style w:styleId="Style_72" w:type="paragraph">
    <w:name w:val="Символ сноски (user)"/>
    <w:basedOn w:val="Style_7"/>
    <w:link w:val="Style_72_ch"/>
    <w:rPr>
      <w:vertAlign w:val="superscript"/>
    </w:rPr>
  </w:style>
  <w:style w:styleId="Style_72_ch" w:type="character">
    <w:name w:val="Символ сноски (user)"/>
    <w:basedOn w:val="Style_7_ch"/>
    <w:link w:val="Style_72"/>
    <w:rPr>
      <w:vertAlign w:val="superscript"/>
    </w:rPr>
  </w:style>
  <w:style w:styleId="Style_73" w:type="paragraph">
    <w:name w:val="Колонтитулы (user)"/>
    <w:link w:val="Style_73_ch"/>
    <w:pPr>
      <w:widowControl w:val="1"/>
      <w:spacing w:after="160" w:before="0" w:line="240" w:lineRule="auto"/>
      <w:ind/>
      <w:jc w:val="both"/>
    </w:pPr>
    <w:rPr>
      <w:rFonts w:ascii="XO Thames" w:hAnsi="XO Thames"/>
      <w:color w:val="000000"/>
      <w:sz w:val="28"/>
    </w:rPr>
  </w:style>
  <w:style w:styleId="Style_73_ch" w:type="character">
    <w:name w:val="Колонтитулы (user)"/>
    <w:link w:val="Style_73"/>
    <w:rPr>
      <w:rFonts w:ascii="XO Thames" w:hAnsi="XO Thames"/>
      <w:color w:val="000000"/>
      <w:sz w:val="28"/>
    </w:rPr>
  </w:style>
  <w:style w:styleId="Style_74" w:type="paragraph">
    <w:name w:val="index heading"/>
    <w:basedOn w:val="Style_42"/>
    <w:link w:val="Style_74_ch"/>
  </w:style>
  <w:style w:styleId="Style_74_ch" w:type="character">
    <w:name w:val="index heading"/>
    <w:basedOn w:val="Style_42_ch"/>
    <w:link w:val="Style_74"/>
  </w:style>
  <w:style w:styleId="Style_75" w:type="paragraph">
    <w:name w:val="caption"/>
    <w:basedOn w:val="Style_2"/>
    <w:next w:val="Style_2"/>
    <w:link w:val="Style_75_ch"/>
    <w:pPr>
      <w:spacing w:line="276" w:lineRule="auto"/>
      <w:ind/>
    </w:pPr>
    <w:rPr>
      <w:b w:val="1"/>
      <w:color w:themeColor="accent1" w:val="5B9BD5"/>
      <w:sz w:val="18"/>
    </w:rPr>
  </w:style>
  <w:style w:styleId="Style_75_ch" w:type="character">
    <w:name w:val="caption"/>
    <w:basedOn w:val="Style_2_ch"/>
    <w:link w:val="Style_75"/>
    <w:rPr>
      <w:b w:val="1"/>
      <w:color w:themeColor="accent1" w:val="5B9BD5"/>
      <w:sz w:val="18"/>
    </w:rPr>
  </w:style>
  <w:style w:styleId="Style_76" w:type="paragraph">
    <w:name w:val="Heading 51"/>
    <w:link w:val="Style_76_ch"/>
    <w:rPr>
      <w:rFonts w:ascii="XO Thames" w:hAnsi="XO Thames"/>
      <w:b w:val="1"/>
      <w:sz w:val="22"/>
    </w:rPr>
  </w:style>
  <w:style w:styleId="Style_76_ch" w:type="character">
    <w:name w:val="Heading 51"/>
    <w:link w:val="Style_76"/>
    <w:rPr>
      <w:rFonts w:ascii="XO Thames" w:hAnsi="XO Thames"/>
      <w:b w:val="1"/>
      <w:sz w:val="22"/>
    </w:rPr>
  </w:style>
  <w:style w:styleId="Style_77" w:type="paragraph">
    <w:name w:val="Heading 9 Char"/>
    <w:basedOn w:val="Style_7"/>
    <w:link w:val="Style_77_ch"/>
    <w:rPr>
      <w:rFonts w:ascii="Liberation Sans" w:hAnsi="Liberation Sans"/>
      <w:i w:val="1"/>
      <w:sz w:val="21"/>
    </w:rPr>
  </w:style>
  <w:style w:styleId="Style_77_ch" w:type="character">
    <w:name w:val="Heading 9 Char"/>
    <w:basedOn w:val="Style_7_ch"/>
    <w:link w:val="Style_77"/>
    <w:rPr>
      <w:rFonts w:ascii="Liberation Sans" w:hAnsi="Liberation Sans"/>
      <w:i w:val="1"/>
      <w:sz w:val="21"/>
    </w:rPr>
  </w:style>
  <w:style w:styleId="Style_78" w:type="paragraph">
    <w:name w:val="Subtitle"/>
    <w:next w:val="Style_2"/>
    <w:link w:val="Style_78_ch"/>
    <w:uiPriority w:val="11"/>
    <w:qFormat/>
    <w:pPr>
      <w:widowControl w:val="1"/>
      <w:spacing w:after="160" w:before="0" w:line="264" w:lineRule="auto"/>
      <w:ind/>
      <w:jc w:val="both"/>
    </w:pPr>
    <w:rPr>
      <w:rFonts w:ascii="XO Thames" w:hAnsi="XO Thames"/>
      <w:i w:val="1"/>
      <w:color w:val="000000"/>
      <w:sz w:val="24"/>
    </w:rPr>
  </w:style>
  <w:style w:styleId="Style_78_ch" w:type="character">
    <w:name w:val="Subtitle"/>
    <w:link w:val="Style_78"/>
    <w:rPr>
      <w:rFonts w:ascii="XO Thames" w:hAnsi="XO Thames"/>
      <w:i w:val="1"/>
      <w:color w:val="000000"/>
      <w:sz w:val="24"/>
    </w:rPr>
  </w:style>
  <w:style w:styleId="Style_43" w:type="paragraph">
    <w:name w:val="Body Text"/>
    <w:basedOn w:val="Style_2"/>
    <w:link w:val="Style_43_ch"/>
    <w:pPr>
      <w:spacing w:after="140" w:before="0" w:line="276" w:lineRule="auto"/>
      <w:ind/>
    </w:pPr>
  </w:style>
  <w:style w:styleId="Style_43_ch" w:type="character">
    <w:name w:val="Body Text"/>
    <w:basedOn w:val="Style_2_ch"/>
    <w:link w:val="Style_43"/>
  </w:style>
  <w:style w:styleId="Style_79" w:type="paragraph">
    <w:name w:val="Title"/>
    <w:next w:val="Style_2"/>
    <w:link w:val="Style_79_ch"/>
    <w:uiPriority w:val="10"/>
    <w:qFormat/>
    <w:pPr>
      <w:widowControl w:val="1"/>
      <w:spacing w:after="567" w:before="567" w:line="264" w:lineRule="auto"/>
      <w:ind/>
      <w:jc w:val="center"/>
    </w:pPr>
    <w:rPr>
      <w:rFonts w:ascii="XO Thames" w:hAnsi="XO Thames"/>
      <w:b w:val="1"/>
      <w:caps w:val="1"/>
      <w:color w:val="000000"/>
      <w:sz w:val="40"/>
    </w:rPr>
  </w:style>
  <w:style w:styleId="Style_79_ch" w:type="character">
    <w:name w:val="Title"/>
    <w:link w:val="Style_79"/>
    <w:rPr>
      <w:rFonts w:ascii="XO Thames" w:hAnsi="XO Thames"/>
      <w:b w:val="1"/>
      <w:caps w:val="1"/>
      <w:color w:val="000000"/>
      <w:sz w:val="40"/>
    </w:rPr>
  </w:style>
  <w:style w:styleId="Style_80" w:type="paragraph">
    <w:name w:val="Endnote1"/>
    <w:link w:val="Style_80_ch"/>
    <w:pPr>
      <w:widowControl w:val="1"/>
      <w:spacing w:after="160" w:before="0" w:line="264" w:lineRule="auto"/>
      <w:ind w:firstLine="851"/>
      <w:jc w:val="both"/>
    </w:pPr>
    <w:rPr>
      <w:rFonts w:ascii="XO Thames" w:hAnsi="XO Thames"/>
      <w:color w:val="000000"/>
      <w:sz w:val="22"/>
    </w:rPr>
  </w:style>
  <w:style w:styleId="Style_80_ch" w:type="character">
    <w:name w:val="Endnote1"/>
    <w:link w:val="Style_80"/>
    <w:rPr>
      <w:rFonts w:ascii="XO Thames" w:hAnsi="XO Thames"/>
      <w:color w:val="000000"/>
      <w:sz w:val="22"/>
    </w:rPr>
  </w:style>
  <w:style w:styleId="Style_81" w:type="paragraph">
    <w:name w:val="Contents 7"/>
    <w:link w:val="Style_81_ch"/>
    <w:rPr>
      <w:rFonts w:ascii="XO Thames" w:hAnsi="XO Thames"/>
      <w:sz w:val="28"/>
    </w:rPr>
  </w:style>
  <w:style w:styleId="Style_81_ch" w:type="character">
    <w:name w:val="Contents 7"/>
    <w:link w:val="Style_81"/>
    <w:rPr>
      <w:rFonts w:ascii="XO Thames" w:hAnsi="XO Thames"/>
      <w:sz w:val="28"/>
    </w:rPr>
  </w:style>
  <w:style w:styleId="Style_82" w:type="paragraph">
    <w:name w:val="heading 4"/>
    <w:next w:val="Style_2"/>
    <w:link w:val="Style_82_ch"/>
    <w:uiPriority w:val="9"/>
    <w:qFormat/>
    <w:pPr>
      <w:widowControl w:val="1"/>
      <w:spacing w:after="120" w:before="120" w:line="264" w:lineRule="auto"/>
      <w:ind/>
      <w:jc w:val="both"/>
      <w:outlineLvl w:val="3"/>
    </w:pPr>
    <w:rPr>
      <w:rFonts w:ascii="XO Thames" w:hAnsi="XO Thames"/>
      <w:b w:val="1"/>
      <w:color w:val="000000"/>
      <w:sz w:val="24"/>
    </w:rPr>
  </w:style>
  <w:style w:styleId="Style_82_ch" w:type="character">
    <w:name w:val="heading 4"/>
    <w:link w:val="Style_82"/>
    <w:rPr>
      <w:rFonts w:ascii="XO Thames" w:hAnsi="XO Thames"/>
      <w:b w:val="1"/>
      <w:color w:val="000000"/>
      <w:sz w:val="24"/>
    </w:rPr>
  </w:style>
  <w:style w:styleId="Style_83" w:type="paragraph">
    <w:name w:val="Heading 2 Char"/>
    <w:basedOn w:val="Style_7"/>
    <w:link w:val="Style_83_ch"/>
    <w:rPr>
      <w:rFonts w:ascii="Liberation Sans" w:hAnsi="Liberation Sans"/>
      <w:sz w:val="34"/>
    </w:rPr>
  </w:style>
  <w:style w:styleId="Style_83_ch" w:type="character">
    <w:name w:val="Heading 2 Char"/>
    <w:basedOn w:val="Style_7_ch"/>
    <w:link w:val="Style_83"/>
    <w:rPr>
      <w:rFonts w:ascii="Liberation Sans" w:hAnsi="Liberation Sans"/>
      <w:sz w:val="34"/>
    </w:rPr>
  </w:style>
  <w:style w:styleId="Style_84" w:type="paragraph">
    <w:name w:val="heading 2"/>
    <w:next w:val="Style_2"/>
    <w:link w:val="Style_84_ch"/>
    <w:uiPriority w:val="9"/>
    <w:qFormat/>
    <w:pPr>
      <w:widowControl w:val="1"/>
      <w:spacing w:after="120" w:before="120" w:line="264" w:lineRule="auto"/>
      <w:ind/>
      <w:jc w:val="both"/>
      <w:outlineLvl w:val="1"/>
    </w:pPr>
    <w:rPr>
      <w:rFonts w:ascii="XO Thames" w:hAnsi="XO Thames"/>
      <w:b w:val="1"/>
      <w:color w:val="000000"/>
      <w:sz w:val="28"/>
    </w:rPr>
  </w:style>
  <w:style w:styleId="Style_84_ch" w:type="character">
    <w:name w:val="heading 2"/>
    <w:link w:val="Style_84"/>
    <w:rPr>
      <w:rFonts w:ascii="XO Thames" w:hAnsi="XO Thames"/>
      <w:b w:val="1"/>
      <w:color w:val="000000"/>
      <w:sz w:val="28"/>
    </w:rPr>
  </w:style>
  <w:style w:styleId="Style_85" w:type="paragraph">
    <w:name w:val="List"/>
    <w:basedOn w:val="Style_43"/>
    <w:link w:val="Style_85_ch"/>
  </w:style>
  <w:style w:styleId="Style_85_ch" w:type="character">
    <w:name w:val="List"/>
    <w:basedOn w:val="Style_43_ch"/>
    <w:link w:val="Style_85"/>
  </w:style>
  <w:style w:styleId="Style_86" w:type="paragraph">
    <w:name w:val="List Paragraph"/>
    <w:basedOn w:val="Style_2"/>
    <w:link w:val="Style_86_ch"/>
    <w:pPr>
      <w:spacing w:after="160" w:before="0"/>
      <w:ind/>
      <w:contextualSpacing w:val="1"/>
    </w:pPr>
  </w:style>
  <w:style w:styleId="Style_86_ch" w:type="character">
    <w:name w:val="List Paragraph"/>
    <w:basedOn w:val="Style_2_ch"/>
    <w:link w:val="Style_86"/>
  </w:style>
  <w:style w:styleId="Style_87" w:type="paragraph">
    <w:name w:val="Заголовок"/>
    <w:basedOn w:val="Style_2"/>
    <w:next w:val="Style_43"/>
    <w:link w:val="Style_87_ch"/>
    <w:pPr>
      <w:keepNext w:val="1"/>
      <w:spacing w:after="120" w:before="240"/>
      <w:ind/>
    </w:pPr>
    <w:rPr>
      <w:rFonts w:ascii="Open Sans" w:hAnsi="Open Sans"/>
      <w:sz w:val="28"/>
    </w:rPr>
  </w:style>
  <w:style w:styleId="Style_87_ch" w:type="character">
    <w:name w:val="Заголовок"/>
    <w:basedOn w:val="Style_2_ch"/>
    <w:link w:val="Style_87"/>
    <w:rPr>
      <w:rFonts w:ascii="Open Sans" w:hAnsi="Open Sans"/>
      <w:sz w:val="28"/>
    </w:rPr>
  </w:style>
  <w:style w:styleId="Style_88" w:type="paragraph">
    <w:name w:val="heading 6"/>
    <w:basedOn w:val="Style_2"/>
    <w:next w:val="Style_2"/>
    <w:link w:val="Style_88_ch"/>
    <w:uiPriority w:val="9"/>
    <w:qFormat/>
    <w:pPr>
      <w:keepNext w:val="1"/>
      <w:keepLines w:val="1"/>
      <w:spacing w:after="200" w:before="320"/>
      <w:ind/>
      <w:outlineLvl w:val="5"/>
    </w:pPr>
    <w:rPr>
      <w:rFonts w:ascii="Liberation Sans" w:hAnsi="Liberation Sans"/>
      <w:b w:val="1"/>
      <w:sz w:val="22"/>
    </w:rPr>
  </w:style>
  <w:style w:styleId="Style_88_ch" w:type="character">
    <w:name w:val="heading 6"/>
    <w:basedOn w:val="Style_2_ch"/>
    <w:link w:val="Style_88"/>
    <w:rPr>
      <w:rFonts w:ascii="Liberation Sans" w:hAnsi="Liberation Sans"/>
      <w:b w:val="1"/>
      <w:sz w:val="22"/>
    </w:rPr>
  </w:style>
  <w:style w:styleId="Style_7" w:type="paragraph">
    <w:name w:val="Default Paragraph Font1"/>
    <w:link w:val="Style_7_ch"/>
    <w:pPr>
      <w:widowControl w:val="1"/>
      <w:spacing w:after="160" w:before="0" w:line="264" w:lineRule="auto"/>
      <w:ind/>
    </w:pPr>
    <w:rPr>
      <w:rFonts w:asciiTheme="minorAscii" w:hAnsiTheme="minorHAnsi"/>
      <w:color w:val="000000"/>
      <w:sz w:val="22"/>
    </w:rPr>
  </w:style>
  <w:style w:styleId="Style_7_ch" w:type="character">
    <w:name w:val="Default Paragraph Font1"/>
    <w:link w:val="Style_7"/>
    <w:rPr>
      <w:rFonts w:asciiTheme="minorAscii" w:hAnsiTheme="minorHAnsi"/>
      <w:color w:val="000000"/>
      <w:sz w:val="22"/>
    </w:rPr>
  </w:style>
  <w:style w:styleId="Style_89" w:type="paragraph">
    <w:name w:val="footer"/>
    <w:basedOn w:val="Style_2"/>
    <w:link w:val="Style_89_ch"/>
    <w:pPr>
      <w:tabs>
        <w:tab w:leader="none" w:pos="708" w:val="clear"/>
        <w:tab w:leader="none" w:pos="4677" w:val="center"/>
        <w:tab w:leader="none" w:pos="9355" w:val="right"/>
      </w:tabs>
      <w:spacing w:after="0" w:before="0" w:line="240" w:lineRule="auto"/>
      <w:ind/>
    </w:pPr>
    <w:rPr>
      <w:rFonts w:ascii="Times New Roman" w:hAnsi="Times New Roman"/>
      <w:sz w:val="28"/>
    </w:rPr>
  </w:style>
  <w:style w:styleId="Style_89_ch" w:type="character">
    <w:name w:val="footer"/>
    <w:basedOn w:val="Style_2_ch"/>
    <w:link w:val="Style_89"/>
    <w:rPr>
      <w:rFonts w:ascii="Times New Roman" w:hAnsi="Times New Roman"/>
      <w:sz w:val="28"/>
    </w:rPr>
  </w:style>
  <w:style w:styleId="Style_90" w:type="paragraph">
    <w:name w:val="Символ сноски"/>
    <w:link w:val="Style_90_ch"/>
    <w:rPr>
      <w:vertAlign w:val="superscript"/>
    </w:rPr>
  </w:style>
  <w:style w:styleId="Style_90_ch" w:type="character">
    <w:name w:val="Символ сноски"/>
    <w:link w:val="Style_90"/>
    <w:rPr>
      <w:vertAlign w:val="superscript"/>
    </w:rPr>
  </w:style>
  <w:style w:styleId="Style_91" w:type="paragraph">
    <w:name w:val="Указатель"/>
    <w:basedOn w:val="Style_2"/>
    <w:link w:val="Style_91_ch"/>
  </w:style>
  <w:style w:styleId="Style_91_ch" w:type="character">
    <w:name w:val="Указатель"/>
    <w:basedOn w:val="Style_2_ch"/>
    <w:link w:val="Style_91"/>
  </w:style>
  <w:style w:default="1" w:styleId="Style_3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  <w:style w:styleId="Style_92" w:type="table">
    <w:name w:val="Grid Table 4"/>
    <w:basedOn w:val="Style_3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3" w:type="table">
    <w:name w:val="Grid Table 5 Dark- Accent 1"/>
    <w:basedOn w:val="Style_3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4" w:type="table">
    <w:name w:val="List Table 3"/>
    <w:basedOn w:val="Style_3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5" w:type="table">
    <w:name w:val="Bordered &amp; Lined - Accent 6"/>
    <w:basedOn w:val="Style_3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96" w:type="table">
    <w:name w:val="List Table 5 Dark - Accent 5"/>
    <w:basedOn w:val="Style_3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97" w:type="table">
    <w:name w:val="List Table 6 Colorful - Accent 6"/>
    <w:basedOn w:val="Style_3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98" w:type="table">
    <w:name w:val="Grid Table 3"/>
    <w:basedOn w:val="Style_3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99" w:type="table">
    <w:name w:val="Grid Table 2"/>
    <w:basedOn w:val="Style_3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0" w:type="table">
    <w:name w:val="List Table 4 - Accent 4"/>
    <w:basedOn w:val="Style_3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01" w:type="table">
    <w:name w:val="Bordered &amp; Lined - Accent"/>
    <w:basedOn w:val="Style_3"/>
    <w:pPr>
      <w:spacing w:after="0" w:line="240" w:lineRule="auto"/>
      <w:ind/>
    </w:p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2" w:type="table">
    <w:name w:val="List Table 3 - Accent 2"/>
    <w:basedOn w:val="Style_3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03" w:type="table">
    <w:name w:val="Bordered"/>
    <w:basedOn w:val="Style_3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04" w:type="table">
    <w:name w:val="Grid Table 1 Light - Accent 2"/>
    <w:basedOn w:val="Style_3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05" w:type="table">
    <w:name w:val="List Table 5 Dark - Accent 2"/>
    <w:basedOn w:val="Style_3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06" w:type="table">
    <w:name w:val="List Table 1 Light"/>
    <w:basedOn w:val="Style_3"/>
    <w:pPr>
      <w:spacing w:after="0" w:line="240" w:lineRule="auto"/>
      <w:ind/>
    </w:pPr>
  </w:style>
  <w:style w:styleId="Style_107" w:type="table">
    <w:name w:val="Grid Table 3 - Accent 1"/>
    <w:basedOn w:val="Style_3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8" w:type="table">
    <w:name w:val="Lined - Accent 1"/>
    <w:basedOn w:val="Style_3"/>
    <w:pPr>
      <w:spacing w:after="0" w:line="240" w:lineRule="auto"/>
      <w:ind/>
    </w:pPr>
  </w:style>
  <w:style w:styleId="Style_109" w:type="table">
    <w:name w:val="Plain Table 5"/>
    <w:basedOn w:val="Style_3"/>
    <w:pPr>
      <w:spacing w:after="0" w:line="240" w:lineRule="auto"/>
      <w:ind/>
    </w:pPr>
  </w:style>
  <w:style w:styleId="Style_110" w:type="table">
    <w:name w:val="Lined - Accent 5"/>
    <w:basedOn w:val="Style_3"/>
    <w:pPr>
      <w:spacing w:after="0" w:line="240" w:lineRule="auto"/>
      <w:ind/>
    </w:pPr>
  </w:style>
  <w:style w:styleId="Style_111" w:type="table">
    <w:name w:val="List Table 3 - Accent 4"/>
    <w:basedOn w:val="Style_3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2" w:type="table">
    <w:name w:val="List Table 6 Colorful - Accent 1"/>
    <w:basedOn w:val="Style_3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13" w:type="table">
    <w:name w:val="List Table 4 - Accent 5"/>
    <w:basedOn w:val="Style_3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4" w:type="table">
    <w:name w:val="List Table 7 Colorful - Accent 6"/>
    <w:basedOn w:val="Style_3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15" w:type="table">
    <w:name w:val="List Table 2"/>
    <w:basedOn w:val="Style_3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16" w:type="table">
    <w:name w:val="Grid Table 7 Colorful"/>
    <w:basedOn w:val="Style_3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17" w:type="table">
    <w:name w:val="Bordered &amp; Lined - Accent 3"/>
    <w:basedOn w:val="Style_3"/>
    <w:pPr>
      <w:spacing w:after="0" w:line="240" w:lineRule="auto"/>
      <w:ind/>
    </w:pPr>
    <w:tblPr>
      <w:tblBorders>
        <w:top w:sz="4" w:themeColor="accent3" w:val="single"/>
        <w:left w:sz="4" w:themeColor="accent3" w:val="single"/>
        <w:bottom w:sz="4" w:themeColor="accent3" w:val="single"/>
        <w:right w:sz="4" w:themeColor="accent3" w:val="single"/>
        <w:insideH w:sz="4" w:themeColor="accent3" w:val="single"/>
        <w:insideV w:sz="4" w:themeColor="accent3" w:val="single"/>
      </w:tblBorders>
    </w:tblPr>
  </w:style>
  <w:style w:styleId="Style_118" w:type="table">
    <w:name w:val="Bordered - Accent 1"/>
    <w:basedOn w:val="Style_3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19" w:type="table">
    <w:name w:val="Grid Table 1 Light"/>
    <w:basedOn w:val="Style_3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20" w:type="table">
    <w:name w:val="Сетка таблицы2"/>
    <w:basedOn w:val="Style_3"/>
    <w:pPr>
      <w:spacing w:after="0" w:line="240" w:lineRule="auto"/>
      <w:ind/>
    </w:pPr>
    <w:rPr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21" w:type="table">
    <w:name w:val="List Table 4 - Accent 6"/>
    <w:basedOn w:val="Style_3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22" w:type="table">
    <w:name w:val="List Table 5 Dark - Accent 3"/>
    <w:basedOn w:val="Style_3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23" w:type="table">
    <w:name w:val="Grid Table 2 - Accent 1"/>
    <w:basedOn w:val="Style_3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4" w:type="table">
    <w:name w:val="Grid Table 1 Light - Accent 4"/>
    <w:basedOn w:val="Style_3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5" w:type="table">
    <w:name w:val="List Table 6 Colorful - Accent 5"/>
    <w:basedOn w:val="Style_3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26" w:type="table">
    <w:name w:val="List Table 1 Light - Accent 4"/>
    <w:basedOn w:val="Style_3"/>
    <w:pPr>
      <w:spacing w:after="0" w:line="240" w:lineRule="auto"/>
      <w:ind/>
    </w:pPr>
  </w:style>
  <w:style w:styleId="Style_127" w:type="table">
    <w:name w:val="List Table 7 Colorful - Accent 2"/>
    <w:basedOn w:val="Style_3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28" w:type="table">
    <w:name w:val="Grid Table 3 - Accent 6"/>
    <w:basedOn w:val="Style_3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9" w:type="table">
    <w:name w:val="Grid Table 4 - Accent 5"/>
    <w:basedOn w:val="Style_3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4" w:type="table">
    <w:name w:val="Table Grid"/>
    <w:basedOn w:val="Style_3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30" w:type="table">
    <w:name w:val="Grid Table 4 - Accent 2"/>
    <w:basedOn w:val="Style_3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31" w:type="table">
    <w:name w:val="List Table 5 Dark - Accent 1"/>
    <w:basedOn w:val="Style_3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2" w:type="table">
    <w:name w:val="Grid Table 6 Colorful - Accent 4"/>
    <w:basedOn w:val="Style_3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3" w:type="table">
    <w:name w:val="Lined - Accent 2"/>
    <w:basedOn w:val="Style_3"/>
    <w:pPr>
      <w:spacing w:after="0" w:line="240" w:lineRule="auto"/>
      <w:ind/>
    </w:pPr>
  </w:style>
  <w:style w:styleId="Style_134" w:type="table">
    <w:name w:val="Grid Table 6 Colorful"/>
    <w:basedOn w:val="Style_3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35" w:type="table">
    <w:name w:val="Bordered &amp; Lined - Accent 1"/>
    <w:basedOn w:val="Style_3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  <w:insideH w:sz="4" w:themeColor="accent1" w:val="single"/>
        <w:insideV w:sz="4" w:themeColor="accent1" w:val="single"/>
      </w:tblBorders>
    </w:tblPr>
  </w:style>
  <w:style w:styleId="Style_136" w:type="table">
    <w:name w:val="Grid Table 3 - Accent 3"/>
    <w:basedOn w:val="Style_3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7" w:type="table">
    <w:name w:val="Grid Table 5 Dark - Accent 3"/>
    <w:basedOn w:val="Style_3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8" w:type="table">
    <w:name w:val="Grid Table 6 Colorful - Accent 1"/>
    <w:basedOn w:val="Style_3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39" w:type="table">
    <w:name w:val="Bordered - Accent 3"/>
    <w:basedOn w:val="Style_3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0" w:type="table">
    <w:name w:val="Grid Table 7 Colorful - Accent 4"/>
    <w:basedOn w:val="Style_3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1" w:type="table">
    <w:name w:val="Grid Table 2 - Accent 6"/>
    <w:basedOn w:val="Style_3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42" w:type="table">
    <w:name w:val="Grid Table 6 Colorful - Accent 2"/>
    <w:basedOn w:val="Style_3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3" w:type="table">
    <w:name w:val="Grid Table 6 Colorful - Accent 6"/>
    <w:basedOn w:val="Style_3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44" w:type="table">
    <w:name w:val="Grid Table 6 Colorful - Accent 3"/>
    <w:basedOn w:val="Style_3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5" w:type="table">
    <w:name w:val="List Table 1 Light - Accent 2"/>
    <w:basedOn w:val="Style_3"/>
    <w:pPr>
      <w:spacing w:after="0" w:line="240" w:lineRule="auto"/>
      <w:ind/>
    </w:pPr>
  </w:style>
  <w:style w:styleId="Style_146" w:type="table">
    <w:name w:val="Lined - Accent"/>
    <w:basedOn w:val="Style_3"/>
    <w:pPr>
      <w:spacing w:after="0" w:line="240" w:lineRule="auto"/>
      <w:ind/>
    </w:pPr>
  </w:style>
  <w:style w:styleId="Style_147" w:type="table">
    <w:name w:val="Bordered - Accent 5"/>
    <w:basedOn w:val="Style_3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8" w:type="table">
    <w:name w:val="Grid Table 2 - Accent 3"/>
    <w:basedOn w:val="Style_3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9" w:type="table">
    <w:name w:val="Grid Table 6 Colorful - Accent 5"/>
    <w:basedOn w:val="Style_3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50" w:type="table">
    <w:name w:val="List Table 4 - Accent 2"/>
    <w:basedOn w:val="Style_3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51" w:type="table">
    <w:name w:val="List Table 6 Colorful - Accent 2"/>
    <w:basedOn w:val="Style_3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52" w:type="table">
    <w:name w:val="Grid Table 5 Dark - Accent 5"/>
    <w:basedOn w:val="Style_3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3" w:type="table">
    <w:name w:val="Lined - Accent 6"/>
    <w:basedOn w:val="Style_3"/>
    <w:pPr>
      <w:spacing w:after="0" w:line="240" w:lineRule="auto"/>
      <w:ind/>
    </w:pPr>
  </w:style>
  <w:style w:styleId="Style_154" w:type="table">
    <w:name w:val="List Table 7 Colorful - Accent 3"/>
    <w:basedOn w:val="Style_3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55" w:type="table">
    <w:name w:val="List Table 2 - Accent 6"/>
    <w:basedOn w:val="Style_3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56" w:type="table">
    <w:name w:val="List Table 3 - Accent 5"/>
    <w:basedOn w:val="Style_3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7" w:type="table">
    <w:name w:val="List Table 2 - Accent 2"/>
    <w:basedOn w:val="Style_3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58" w:type="table">
    <w:name w:val="Plain Table 3"/>
    <w:basedOn w:val="Style_3"/>
    <w:pPr>
      <w:spacing w:after="0" w:line="240" w:lineRule="auto"/>
      <w:ind/>
    </w:pPr>
  </w:style>
  <w:style w:styleId="Style_159" w:type="table">
    <w:name w:val="List Table 1 Light - Accent 1"/>
    <w:basedOn w:val="Style_3"/>
    <w:pPr>
      <w:spacing w:after="0" w:line="240" w:lineRule="auto"/>
      <w:ind/>
    </w:pPr>
  </w:style>
  <w:style w:styleId="Style_160" w:type="table">
    <w:name w:val="Grid Table 3 - Accent 5"/>
    <w:basedOn w:val="Style_3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1" w:type="table">
    <w:name w:val="List Table 4"/>
    <w:basedOn w:val="Style_3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2" w:type="table">
    <w:name w:val="Plain Table 1"/>
    <w:basedOn w:val="Style_3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63" w:type="table">
    <w:name w:val="Grid Table 3 - Accent 2"/>
    <w:basedOn w:val="Style_3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4" w:type="table">
    <w:name w:val="Table Grid Light"/>
    <w:basedOn w:val="Style_3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65" w:type="table">
    <w:name w:val="List Table 7 Colorful - Accent 4"/>
    <w:basedOn w:val="Style_3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66" w:type="table">
    <w:name w:val="Grid Table 7 Colorful - Accent 6"/>
    <w:basedOn w:val="Style_3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7" w:type="table">
    <w:name w:val="Grid Table 1 Light - Accent 3"/>
    <w:basedOn w:val="Style_3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8" w:type="table">
    <w:name w:val="Grid Table 5 Dark"/>
    <w:basedOn w:val="Style_3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9" w:type="table">
    <w:name w:val="List Table 4 - Accent 3"/>
    <w:basedOn w:val="Style_3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70" w:type="table">
    <w:name w:val="List Table 6 Colorful"/>
    <w:basedOn w:val="Style_3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71" w:type="table">
    <w:name w:val="List Table 6 Colorful - Accent 4"/>
    <w:basedOn w:val="Style_3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72" w:type="table">
    <w:name w:val="List Table 7 Colorful - Accent 1"/>
    <w:basedOn w:val="Style_3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73" w:type="table">
    <w:name w:val="Grid Table 7 Colorful - Accent 5"/>
    <w:basedOn w:val="Style_3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4" w:type="table">
    <w:name w:val="Bordered &amp; Lined - Accent 2"/>
    <w:basedOn w:val="Style_3"/>
    <w:pPr>
      <w:spacing w:after="0" w:line="240" w:lineRule="auto"/>
      <w:ind/>
    </w:pPr>
    <w:tblPr>
      <w:tblBorders>
        <w:top w:sz="4" w:themeColor="accent2" w:val="single"/>
        <w:left w:sz="4" w:themeColor="accent2" w:val="single"/>
        <w:bottom w:sz="4" w:themeColor="accent2" w:val="single"/>
        <w:right w:sz="4" w:themeColor="accent2" w:val="single"/>
        <w:insideH w:sz="4" w:themeColor="accent2" w:val="single"/>
        <w:insideV w:sz="4" w:themeColor="accent2" w:val="single"/>
      </w:tblBorders>
    </w:tblPr>
  </w:style>
  <w:style w:styleId="Style_175" w:type="table">
    <w:name w:val="Grid Table 7 Colorful - Accent 2"/>
    <w:basedOn w:val="Style_3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6" w:type="table">
    <w:name w:val="Lined - Accent 4"/>
    <w:basedOn w:val="Style_3"/>
    <w:pPr>
      <w:spacing w:after="0" w:line="240" w:lineRule="auto"/>
      <w:ind/>
    </w:pPr>
  </w:style>
  <w:style w:styleId="Style_177" w:type="table">
    <w:name w:val="Bordered &amp; Lined - Accent 4"/>
    <w:basedOn w:val="Style_3"/>
    <w:pPr>
      <w:spacing w:after="0" w:line="240" w:lineRule="auto"/>
      <w:ind/>
    </w:pPr>
    <w:tblPr>
      <w:tblBorders>
        <w:top w:sz="4" w:themeColor="accent4" w:val="single"/>
        <w:left w:sz="4" w:themeColor="accent4" w:val="single"/>
        <w:bottom w:sz="4" w:themeColor="accent4" w:val="single"/>
        <w:right w:sz="4" w:themeColor="accent4" w:val="single"/>
        <w:insideH w:sz="4" w:themeColor="accent4" w:val="single"/>
        <w:insideV w:sz="4" w:themeColor="accent4" w:val="single"/>
      </w:tblBorders>
    </w:tblPr>
  </w:style>
  <w:style w:styleId="Style_178" w:type="table">
    <w:name w:val="List Table 1 Light - Accent 5"/>
    <w:basedOn w:val="Style_3"/>
    <w:pPr>
      <w:spacing w:after="0" w:line="240" w:lineRule="auto"/>
      <w:ind/>
    </w:pPr>
  </w:style>
  <w:style w:styleId="Style_179" w:type="table">
    <w:name w:val="Grid Table 4 - Accent 6"/>
    <w:basedOn w:val="Style_3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80" w:type="table">
    <w:name w:val="List Table 7 Colorful - Accent 5"/>
    <w:basedOn w:val="Style_3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81" w:type="table">
    <w:name w:val="List Table 4 - Accent 1"/>
    <w:basedOn w:val="Style_3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82" w:type="table">
    <w:name w:val="List Table 3 - Accent 6"/>
    <w:basedOn w:val="Style_3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83" w:type="table">
    <w:name w:val="Grid Table 2 - Accent 5"/>
    <w:basedOn w:val="Style_3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84" w:type="table">
    <w:name w:val="Grid Table 5 Dark - Accent 2"/>
    <w:basedOn w:val="Style_3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5" w:type="table">
    <w:name w:val="Lined - Accent 3"/>
    <w:basedOn w:val="Style_3"/>
    <w:pPr>
      <w:spacing w:after="0" w:line="240" w:lineRule="auto"/>
      <w:ind/>
    </w:pPr>
  </w:style>
  <w:style w:styleId="Style_186" w:type="table">
    <w:name w:val="List Table 5 Dark - Accent 6"/>
    <w:basedOn w:val="Style_3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87" w:type="table">
    <w:name w:val="Grid Table 4 - Accent 3"/>
    <w:basedOn w:val="Style_3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88" w:type="table">
    <w:name w:val="Plain Table 4"/>
    <w:basedOn w:val="Style_3"/>
    <w:pPr>
      <w:spacing w:after="0" w:line="240" w:lineRule="auto"/>
      <w:ind/>
    </w:pPr>
  </w:style>
  <w:style w:styleId="Style_189" w:type="table">
    <w:name w:val="List Table 6 Colorful - Accent 3"/>
    <w:basedOn w:val="Style_3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90" w:type="table">
    <w:name w:val="List Table 2 - Accent 4"/>
    <w:basedOn w:val="Style_3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91" w:type="table">
    <w:name w:val="Bordered &amp; Lined - Accent 5"/>
    <w:basedOn w:val="Style_3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92" w:type="table">
    <w:name w:val="Сетка таблицы1"/>
    <w:basedOn w:val="Style_3"/>
    <w:pPr>
      <w:spacing w:after="0" w:line="240" w:lineRule="auto"/>
      <w:ind/>
    </w:pPr>
    <w:rPr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93" w:type="table">
    <w:name w:val="Grid Table 7 Colorful - Accent 1"/>
    <w:basedOn w:val="Style_3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94" w:type="table">
    <w:name w:val="Bordered - Accent 4"/>
    <w:basedOn w:val="Style_3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95" w:type="table">
    <w:name w:val="Bordered - Accent 6"/>
    <w:basedOn w:val="Style_3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96" w:type="table">
    <w:name w:val="Plain Table 2"/>
    <w:basedOn w:val="Style_3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197" w:type="table">
    <w:name w:val="Grid Table 4 - Accent 4"/>
    <w:basedOn w:val="Style_3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98" w:type="table">
    <w:name w:val="Bordered - Accent 2"/>
    <w:basedOn w:val="Style_3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99" w:type="table">
    <w:name w:val="Grid Table 1 Light - Accent 1"/>
    <w:basedOn w:val="Style_3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200" w:type="table">
    <w:name w:val="Grid Table 3 - Accent 4"/>
    <w:basedOn w:val="Style_3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201" w:type="table">
    <w:name w:val="List Table 5 Dark"/>
    <w:basedOn w:val="Style_3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202" w:type="table">
    <w:name w:val="List Table 3 - Accent 3"/>
    <w:basedOn w:val="Style_3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203" w:type="table">
    <w:name w:val="List Table 3 - Accent 1"/>
    <w:basedOn w:val="Style_3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204" w:type="table">
    <w:name w:val="List Table 2 - Accent 1"/>
    <w:basedOn w:val="Style_3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205" w:type="table">
    <w:name w:val="Grid Table 5 Dark - Accent 6"/>
    <w:basedOn w:val="Style_3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206" w:type="table">
    <w:name w:val="Grid Table 4 - Accent 1"/>
    <w:basedOn w:val="Style_3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207" w:type="table">
    <w:name w:val="List Table 1 Light - Accent 6"/>
    <w:basedOn w:val="Style_3"/>
    <w:pPr>
      <w:spacing w:after="0" w:line="240" w:lineRule="auto"/>
      <w:ind/>
    </w:pPr>
  </w:style>
  <w:style w:styleId="Style_208" w:type="table">
    <w:name w:val="Grid Table 5 Dark- Accent 4"/>
    <w:basedOn w:val="Style_3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209" w:type="table">
    <w:name w:val="List Table 2 - Accent 3"/>
    <w:basedOn w:val="Style_3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210" w:type="table">
    <w:name w:val="Grid Table 2 - Accent 4"/>
    <w:basedOn w:val="Style_3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211" w:type="table">
    <w:name w:val="Grid Table 1 Light - Accent 5"/>
    <w:basedOn w:val="Style_3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212" w:type="table">
    <w:name w:val="List Table 7 Colorful"/>
    <w:basedOn w:val="Style_3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213" w:type="table">
    <w:name w:val="Grid Table 1 Light - Accent 6"/>
    <w:basedOn w:val="Style_3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214" w:type="table">
    <w:name w:val="List Table 1 Light - Accent 3"/>
    <w:basedOn w:val="Style_3"/>
    <w:pPr>
      <w:spacing w:after="0" w:line="240" w:lineRule="auto"/>
      <w:ind/>
    </w:pPr>
  </w:style>
  <w:style w:styleId="Style_215" w:type="table">
    <w:name w:val="Grid Table 7 Colorful - Accent 3"/>
    <w:basedOn w:val="Style_3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216" w:type="table">
    <w:name w:val="List Table 2 - Accent 5"/>
    <w:basedOn w:val="Style_3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217" w:type="table">
    <w:name w:val="Grid Table 2 - Accent 2"/>
    <w:basedOn w:val="Style_3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218" w:type="table">
    <w:name w:val="List Table 5 Dark - Accent 4"/>
    <w:basedOn w:val="Style_3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header1.xml" Type="http://schemas.openxmlformats.org/officeDocument/2006/relationships/header"/>
  <Relationship Id="rId10" Target="theme/theme1.xml" Type="http://schemas.openxmlformats.org/officeDocument/2006/relationships/theme"/>
  <Relationship Id="rId2" Target="header2.xml" Type="http://schemas.openxmlformats.org/officeDocument/2006/relationships/header"/>
  <Relationship Id="rId3" Target="header3.xml" Type="http://schemas.openxmlformats.org/officeDocument/2006/relationships/header"/>
  <Relationship Id="rId8" Target="stylesWithEffects.xml" Type="http://schemas.microsoft.com/office/2007/relationships/stylesWithEffects"/>
  <Relationship Id="rId4" Target="media/1.jpeg" Type="http://schemas.openxmlformats.org/officeDocument/2006/relationships/image"/>
  <Relationship Id="rId11" Target="numbering.xml" Type="http://schemas.openxmlformats.org/officeDocument/2006/relationships/numbering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2026-09-11T02:02:26Z</dcterms:modified>
</cp:coreProperties>
</file>