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Об утве</w:t>
      </w:r>
      <w:r>
        <w:rPr>
          <w:rFonts w:ascii="Times New Roman" w:hAnsi="Times New Roman"/>
          <w:b/>
          <w:sz w:val="28"/>
          <w:lang w:val="ru-RU"/>
        </w:rPr>
        <w:t xml:space="preserve">рждении Порядка проведения технического учета жилищного фонда, в том числе его технической инвентаризации и технической паспортизации, организации и ведения архива технической документации на объекты государственного учета жилищного фонда в Камчатском крае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пунктом 1</w:t>
      </w:r>
      <w:r>
        <w:rPr>
          <w:rFonts w:ascii="Times New Roman" w:hAnsi="Times New Roman"/>
          <w:sz w:val="28"/>
          <w:vertAlign w:val="superscript"/>
          <w:lang w:val="en-US"/>
        </w:rPr>
        <w:t xml:space="preserve">1</w:t>
      </w:r>
      <w:r>
        <w:rPr>
          <w:rFonts w:ascii="Times New Roman" w:hAnsi="Times New Roman"/>
          <w:sz w:val="28"/>
        </w:rPr>
        <w:t xml:space="preserve"> статьи 13 Жилищного кодекса </w:t>
        <w:br/>
        <w:t xml:space="preserve">Российской Федерации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 xml:space="preserve">1. Утвердить Порядок проведения технического учета жи</w:t>
      </w:r>
      <w:r>
        <w:rPr>
          <w:rFonts w:ascii="Times New Roman" w:hAnsi="Times New Roman"/>
          <w:sz w:val="28"/>
          <w:szCs w:val="28"/>
        </w:rPr>
        <w:t xml:space="preserve">лищного фонда, в том числе его технической инвентаризации и технической паспортизации, организации и ведения архива технической документации на объекты государственного учета жилищного фонда в Камчатском крае согласно приложению к настоящему постановлению.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Определить Министерство строительства и жилищной политики Камчатского края уполномоченным исполнительным органом Камчатского края по организации технического учета жилищного фонда, в том числе его технической инвентаризации и техническ</w:t>
      </w:r>
      <w:r>
        <w:rPr>
          <w:rFonts w:ascii="Times New Roman" w:hAnsi="Times New Roman"/>
          <w:sz w:val="28"/>
          <w:szCs w:val="28"/>
        </w:rPr>
        <w:t xml:space="preserve">ой паспортизации, организации и ведению архива технической документации на объекты государственного учета жилищного фонда в Камчатском крае.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highlight w:val="none"/>
        </w:rPr>
        <w:t xml:space="preserve">3. 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1677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8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1" w:name="_GoBack"/>
            <w:r/>
            <w:bookmarkEnd w:id="1"/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 w:clear="all"/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Style w:val="905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к постановлению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Правительства Камчатского края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6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EGDATESTAMP]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6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EGNUMSTAMP]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Порядок</w:t>
        <w:br/>
        <w:t xml:space="preserve">проведения </w:t>
      </w:r>
      <w:r>
        <w:rPr>
          <w:rFonts w:ascii="Times New Roman" w:hAnsi="Times New Roman"/>
          <w:sz w:val="28"/>
          <w:szCs w:val="28"/>
        </w:rPr>
        <w:t xml:space="preserve">технического учета жилищного фонда, в том числе его технической инвентаризации и технической паспортизации, организации и ведения архива технической документации на объекты государственного учета жилищного фонда в Камчатском крае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contextualSpacing w:val="0"/>
        <w:jc w:val="center"/>
        <w:spacing w:after="0" w:line="240" w:lineRule="auto"/>
        <w:rPr>
          <w:rFonts w:ascii="Times New Roman" w:hAnsi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/>
          <w:sz w:val="28"/>
          <w:szCs w:val="28"/>
          <w:highlight w:val="none"/>
          <w:lang w:val="en-US"/>
        </w:rPr>
        <w:t xml:space="preserve">1. </w:t>
      </w:r>
      <w:r>
        <w:rPr>
          <w:rFonts w:ascii="Times New Roman" w:hAnsi="Times New Roman"/>
          <w:sz w:val="28"/>
          <w:szCs w:val="28"/>
          <w:highlight w:val="none"/>
          <w:lang w:val="en-US"/>
        </w:rPr>
        <w:t xml:space="preserve">О</w:t>
      </w:r>
      <w:r>
        <w:rPr>
          <w:rFonts w:ascii="Times New Roman" w:hAnsi="Times New Roman"/>
          <w:sz w:val="28"/>
          <w:szCs w:val="28"/>
          <w:highlight w:val="none"/>
          <w:lang w:val="en-US"/>
        </w:rPr>
        <w:t xml:space="preserve">б</w:t>
      </w:r>
      <w:r>
        <w:rPr>
          <w:rFonts w:ascii="Times New Roman" w:hAnsi="Times New Roman"/>
          <w:sz w:val="28"/>
          <w:szCs w:val="28"/>
          <w:highlight w:val="none"/>
          <w:lang w:val="en-US"/>
        </w:rPr>
        <w:t xml:space="preserve">щ</w:t>
      </w:r>
      <w:r>
        <w:rPr>
          <w:rFonts w:ascii="Times New Roman" w:hAnsi="Times New Roman"/>
          <w:sz w:val="28"/>
          <w:szCs w:val="28"/>
          <w:highlight w:val="none"/>
          <w:lang w:val="en-US"/>
        </w:rPr>
        <w:t xml:space="preserve">и</w:t>
      </w:r>
      <w:r>
        <w:rPr>
          <w:rFonts w:ascii="Times New Roman" w:hAnsi="Times New Roman"/>
          <w:sz w:val="28"/>
          <w:szCs w:val="28"/>
          <w:highlight w:val="none"/>
          <w:lang w:val="en-US"/>
        </w:rPr>
        <w:t xml:space="preserve">е</w:t>
      </w:r>
      <w:r>
        <w:rPr>
          <w:rFonts w:ascii="Times New Roman" w:hAnsi="Times New Roman"/>
          <w:sz w:val="28"/>
          <w:szCs w:val="28"/>
          <w:highlight w:val="none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  <w:lang w:val="en-US"/>
        </w:rPr>
        <w:t xml:space="preserve">п</w:t>
      </w:r>
      <w:r>
        <w:rPr>
          <w:rFonts w:ascii="Times New Roman" w:hAnsi="Times New Roman"/>
          <w:sz w:val="28"/>
          <w:szCs w:val="28"/>
          <w:highlight w:val="none"/>
          <w:lang w:val="en-US"/>
        </w:rPr>
        <w:t xml:space="preserve">о</w:t>
      </w:r>
      <w:r>
        <w:rPr>
          <w:rFonts w:ascii="Times New Roman" w:hAnsi="Times New Roman"/>
          <w:sz w:val="28"/>
          <w:szCs w:val="28"/>
          <w:highlight w:val="none"/>
          <w:lang w:val="en-US"/>
        </w:rPr>
        <w:t xml:space="preserve">л</w:t>
      </w:r>
      <w:r>
        <w:rPr>
          <w:rFonts w:ascii="Times New Roman" w:hAnsi="Times New Roman"/>
          <w:sz w:val="28"/>
          <w:szCs w:val="28"/>
          <w:highlight w:val="none"/>
          <w:lang w:val="en-US"/>
        </w:rPr>
        <w:t xml:space="preserve">о</w:t>
      </w:r>
      <w:r>
        <w:rPr>
          <w:rFonts w:ascii="Times New Roman" w:hAnsi="Times New Roman"/>
          <w:sz w:val="28"/>
          <w:szCs w:val="28"/>
          <w:highlight w:val="none"/>
          <w:lang w:val="en-US"/>
        </w:rPr>
        <w:t xml:space="preserve">ж</w:t>
      </w:r>
      <w:r>
        <w:rPr>
          <w:rFonts w:ascii="Times New Roman" w:hAnsi="Times New Roman"/>
          <w:sz w:val="28"/>
          <w:szCs w:val="28"/>
          <w:highlight w:val="none"/>
          <w:lang w:val="en-US"/>
        </w:rPr>
        <w:t xml:space="preserve">е</w:t>
      </w:r>
      <w:r>
        <w:rPr>
          <w:rFonts w:ascii="Times New Roman" w:hAnsi="Times New Roman"/>
          <w:sz w:val="28"/>
          <w:szCs w:val="28"/>
          <w:highlight w:val="none"/>
          <w:lang w:val="en-US"/>
        </w:rPr>
        <w:t xml:space="preserve">н</w:t>
      </w:r>
      <w:r>
        <w:rPr>
          <w:rFonts w:ascii="Times New Roman" w:hAnsi="Times New Roman"/>
          <w:sz w:val="28"/>
          <w:szCs w:val="28"/>
          <w:highlight w:val="none"/>
          <w:lang w:val="en-US"/>
        </w:rPr>
        <w:t xml:space="preserve">и</w:t>
      </w:r>
      <w:r>
        <w:rPr>
          <w:rFonts w:ascii="Times New Roman" w:hAnsi="Times New Roman"/>
          <w:sz w:val="28"/>
          <w:szCs w:val="28"/>
          <w:highlight w:val="none"/>
          <w:lang w:val="en-US"/>
        </w:rPr>
        <w:t xml:space="preserve">я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Настоящий Порядок устанавливает требования к проведению</w:t>
        <w:br/>
        <w:t xml:space="preserve">технического учета жилищного фонда, в том числе к его технической</w:t>
        <w:br/>
        <w:t xml:space="preserve">инвентаризации и технической паспортизации, к организации и ведению архива технической документации на объекты государственного учета</w:t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жилищного фонда в Камчатском крае (далее – архив технической документации).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 Для целей настоящего Порядка применяются следующие понятия: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объекты государственного учета жилищного фонда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многоквартирные дома, расположенные в Камчатском крае (далее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объекты жилищного фонда). В отношении многоквартирных домов для целей настоящего Порядка к объектам жилищного фонда не относятся жилые помещения в многоквартирных домах, а также нежилые помещения и машино-места, являющиеся их неотъемлемой частью;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) технический учет объектов жилищного фонда (далее – технический учет) – система сбора, обра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ботки, хранения и представления информации о технических характеристиках и фактическом состоянии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объектов жилищного фонда,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расположенных в Камчатском крае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получен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ной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результате проведения их технической инвентаризации и технической паспортизации;</w:t>
        <w:br/>
        <w:tab/>
        <w:t xml:space="preserve">3) техническая инвентаризация (далее – техническая</w:t>
        <w:br/>
        <w:t xml:space="preserve">инвентаризация) – деятельность по установлению или уточнению информации о местоположении, количественном 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качественном составе, техническом состоянии объектов жилищного фонда, а также фиксация изменений этих показателей во времени;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) техническая паспортизация (далее – техническая</w:t>
        <w:br/>
        <w:t xml:space="preserve">паспортизация) – процесс, в результате которого на объекты жилищного фонда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оформляются технические паспорта – документы, содержащие</w:t>
        <w:br/>
        <w:t xml:space="preserve">информацию о технических характеристиках и состоянии объектов жилищного фонда;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5) натурное обследование – осуществление замеров и визуальное</w:t>
        <w:br/>
        <w:t xml:space="preserve">обследование объектов жилищного фонда.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Иные понят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ия, используемые в настоящем Порядке, применяются в значениях, предусмотренных законодательством Российской Федерации.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Технический учет осуществляется в соответствии с федеральным</w:t>
        <w:br/>
        <w:t xml:space="preserve">законодательством, нормативными правовыми актами Камчатского края, правовыми актами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Министерства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строительства и жилищной политики Камчатского края (далее – Министерство)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 принятыми во исполнение настоя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щего Порядка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14:ligatures w14:val="none"/>
        </w:rPr>
        <w:t xml:space="preserve">4.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Целью проведения технического учета является обеспечение полноты, достоверности и актуализации сведений о технических характеристиках объектов жилищного фонда, необходимых для осуществления государственного учета жилищного фонд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а, а также для реализации полномочий органов государственной власти Камчатского края в области жилищных отношений.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5.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ю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сбор, обработка и хранение информации о местоположении,</w:t>
        <w:br/>
        <w:t xml:space="preserve">количественном и качественном составе, техническом состоянии и уровне благоустройства объектов жилищного фонда; </w:t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2) актуализация сведений об объектах жилищного фонда в объеме,</w:t>
        <w:br/>
        <w:t xml:space="preserve">предусмотренном технической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документацией;</w:t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3) обеспечение органов государственной власти и органов местного самоуправления Камчатского края, а также заинтересованных физических и</w:t>
        <w:br/>
        <w:t xml:space="preserve">юридических лиц достоверной информацией о технических характеристиках объектов жилищного фонда на основе технич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еской документации;</w:t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4) организация формирования и ведения архива технической документации на объекты жилищного фонда.</w:t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 Проведение технического учета, в том числе его технической инвентаризации и технической паспортизации,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организация и ведение архива технической документации на объекты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жилищного фонда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 Техническому учету подлежат все объекты жилищного фонда независимо от формы собственности. </w:t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none"/>
          <w14:ligatures w14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7. Технический учет является частью государственного учета жилищного фонда и представляет собой информацию об актуальном техническом состоянии объекта жилищного фонда.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Технический учет осуществляется в отношении объектов жилищного фонда, в том числе посредством проведения технической инвентаризации и технической паспортизации,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соответствии с настоящим Порядком с соблюдением требований нормативных правовых актов в сфере государственного учета жилищного фонда в Российской Федерации.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9.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Технический учет,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том числе техническая инвентаризация и техническая паспортизация, ведение архива технической документации на объекты жилищного фонда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организуется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Министерством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через Фонд капитального ремонта многоквартирных домов Камчатского края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(далее – уполномоченная организация)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Финансовое обеспечение деятельности по организации технического учета,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том числе технической инвентаризации и технической паспортизации,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организации и ведению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архива технической документации на объекты жилищного фонда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осуществляется за счет средств, предоставляемых из краевого бюджета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уполномоченной организации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14:ligatures w14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 Технический учет проводится в отношении: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1) вновь созданных объектов жилищного фонда;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2) объектов жилищного фонда в случае реконструкции, перепланировки, переустройства, капитального ремонта, изменения состава или назначения или иных изменений технических или эксплуатационных характеристик;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3) объе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ктов жилищного фонда, техническая инвентаризация которых не</w:t>
        <w:br/>
        <w:t xml:space="preserve">была проведена ранее на основании данных исполнительной,</w:t>
        <w:br/>
        <w:t xml:space="preserve">разрешительной, строительной, проектной и иной технической документации и данных натурного обследования.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11. Технический учет осуществляется со дня получения разрешения на ввод в эксплуатацию объекта, предусмотренного законодательством о градостроительной деятельности.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 Объект жилищного фонда считаетс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я учтенным со дня присвоения ему инвентарного номера.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 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ехническая инвентаризация и техническая паспортизация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уществляется специализированными организациями, имеющими право на проведение данного вида работ, отобранными в соответствии с законодательством 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14. Техническая инвентаризация осуществляется на основании:</w:t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1) натурного обследования;</w:t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2) проектной, разрешительной, 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сполнительной и строительной</w:t>
        <w:br/>
        <w:t xml:space="preserve">документации представляемой уполномоченной организацией;</w:t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сведений из Единого государственного реестра недвижимости;</w:t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4)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технических паспортов, оценочной и иной хранившейся по состоянию</w:t>
        <w:br/>
        <w:t xml:space="preserve">на 1 января 2013 года в органах и организациях по государственному техническому учету и (или) технической инвентаризации учетно-технической документации об объектах государственного техничес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кого учета и технической инвентаризации (регистрационных книг, реестров, правоустанавливающих документов и тому подобного) при наличии.</w:t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12121" w:themeColor="text1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15. В случае проведения визуального, инструментального или комплексного обследования технического состояния объекта жилищного фонда, сведения о техниче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ском состоянии конструктивных элементов и инженерных систем, полученные по результатам такого обследования, подлежат учету при формировании и актуализации сведений об объекте жилищного учета, используемых для ведения государственного учета жилищного фонда.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При выявлении расхождений между сведениями о конструктивных, объемно-планировочных характеристиках и инженерных системах объектов жилищного фонда, полученными по результ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атам обследования его техничского состояния, и ранее имеющимися сведениями об объекте жилищного фонда, приоритетными признаются сведения, полученные по результатам обследования, при условии их соответствия требованиям законодательства Российской Федерации.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14:ligatures w14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16. Проведение 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абот по обследованию технического состояния объектов жилищного фонда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осуществляется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по мере выделения средств из краевого бюджета уполномоченной организации на указанные мероприятия.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14:ligatures w14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17. Техническая паспортизация заключается в составлении систематизированного описания характеристик объектов жилищного фонда и осуществляется по результатам технической инвентаризации.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18. Результатом технич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еской паспортизации является оформленный на объект жилищного фонда технический паспорт. Формы технических паспортов и порядок их заполнения утверждаются приказом Министерства.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19. Документы технической инвентаризации и паспортизации могут подготавливаться в форме электронных документов и документов на бумажном носителе.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случае расхожде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ния данных преимущество имеют данные документов на бумажном носителе.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20.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Архив технической документации составляют технические паспорта и иные документы, составленные либо использованные при проведении технической инвентаризации и технической паспортизации.</w:t>
        <w:br/>
        <w:t xml:space="preserve">Архив технической документации подлежит постоянно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му хранению в уполномоченной организации.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21. Архив те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хнической документации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б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ъ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ж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щ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электронной форме с использованием государственной информационной системы жилищно-коммунального хозяйства или региональных информационных систем (далее – система).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 Хранение информации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системе осуществляется в сроки, определенные приказом Минстроя России от 28.04.2025 №  258/пр «Об установлении порядка хранения, обработки и предоставления информации, содержащейся в государственной информационной системе жилищно-коммунального хозяйства»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jc w:val="center"/>
    </w:pPr>
    <w:fldSimple w:instr="PAGE \* MERGEFORMAT"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</w:fldSimple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eastAsia="Times New Roman" w:cs="Times New Roman"/>
        <w:sz w:val="28"/>
        <w:szCs w:val="28"/>
      </w:rPr>
    </w:r>
    <w:r/>
  </w:p>
  <w:p>
    <w:pPr>
      <w:pStyle w:val="86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5">
    <w:name w:val="Heading 1 Char"/>
    <w:basedOn w:val="859"/>
    <w:link w:val="85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6">
    <w:name w:val="Heading 2 Char"/>
    <w:basedOn w:val="859"/>
    <w:link w:val="855"/>
    <w:uiPriority w:val="9"/>
    <w:rPr>
      <w:rFonts w:ascii="Liberation Sans" w:hAnsi="Liberation Sans" w:eastAsia="Liberation Sans" w:cs="Liberation Sans"/>
      <w:sz w:val="34"/>
    </w:rPr>
  </w:style>
  <w:style w:type="character" w:styleId="697">
    <w:name w:val="Heading 3 Char"/>
    <w:basedOn w:val="859"/>
    <w:link w:val="85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8">
    <w:name w:val="Heading 4 Char"/>
    <w:basedOn w:val="859"/>
    <w:link w:val="85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9">
    <w:name w:val="Heading 5 Char"/>
    <w:basedOn w:val="859"/>
    <w:link w:val="85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0">
    <w:name w:val="Heading 6"/>
    <w:basedOn w:val="853"/>
    <w:next w:val="853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1">
    <w:name w:val="Heading 6 Char"/>
    <w:basedOn w:val="859"/>
    <w:link w:val="70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2">
    <w:name w:val="Heading 7"/>
    <w:basedOn w:val="853"/>
    <w:next w:val="853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3">
    <w:name w:val="Heading 7 Char"/>
    <w:basedOn w:val="859"/>
    <w:link w:val="70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4">
    <w:name w:val="Heading 8"/>
    <w:basedOn w:val="853"/>
    <w:next w:val="853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5">
    <w:name w:val="Heading 8 Char"/>
    <w:basedOn w:val="859"/>
    <w:link w:val="70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6">
    <w:name w:val="Heading 9"/>
    <w:basedOn w:val="853"/>
    <w:next w:val="853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7">
    <w:name w:val="Heading 9 Char"/>
    <w:basedOn w:val="859"/>
    <w:link w:val="70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8">
    <w:name w:val="List Paragraph"/>
    <w:basedOn w:val="853"/>
    <w:uiPriority w:val="34"/>
    <w:qFormat/>
    <w:pPr>
      <w:contextualSpacing/>
      <w:ind w:left="720"/>
    </w:pPr>
  </w:style>
  <w:style w:type="paragraph" w:styleId="709">
    <w:name w:val="No Spacing"/>
    <w:uiPriority w:val="1"/>
    <w:qFormat/>
    <w:pPr>
      <w:spacing w:before="0" w:after="0" w:line="240" w:lineRule="auto"/>
    </w:pPr>
  </w:style>
  <w:style w:type="character" w:styleId="710">
    <w:name w:val="Title Char"/>
    <w:basedOn w:val="859"/>
    <w:link w:val="899"/>
    <w:uiPriority w:val="10"/>
    <w:rPr>
      <w:sz w:val="48"/>
      <w:szCs w:val="48"/>
    </w:rPr>
  </w:style>
  <w:style w:type="character" w:styleId="711">
    <w:name w:val="Subtitle Char"/>
    <w:basedOn w:val="859"/>
    <w:link w:val="895"/>
    <w:uiPriority w:val="11"/>
    <w:rPr>
      <w:sz w:val="24"/>
      <w:szCs w:val="24"/>
    </w:rPr>
  </w:style>
  <w:style w:type="paragraph" w:styleId="712">
    <w:name w:val="Quote"/>
    <w:basedOn w:val="853"/>
    <w:next w:val="853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53"/>
    <w:next w:val="853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59"/>
    <w:link w:val="867"/>
    <w:uiPriority w:val="99"/>
  </w:style>
  <w:style w:type="character" w:styleId="717">
    <w:name w:val="Footer Char"/>
    <w:basedOn w:val="859"/>
    <w:link w:val="897"/>
    <w:uiPriority w:val="99"/>
  </w:style>
  <w:style w:type="paragraph" w:styleId="718">
    <w:name w:val="Caption"/>
    <w:basedOn w:val="853"/>
    <w:next w:val="853"/>
    <w:link w:val="7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859"/>
    <w:link w:val="718"/>
    <w:uiPriority w:val="35"/>
    <w:rPr>
      <w:b/>
      <w:bCs/>
      <w:color w:val="4f81bd" w:themeColor="accent1"/>
      <w:sz w:val="18"/>
      <w:szCs w:val="18"/>
    </w:rPr>
  </w:style>
  <w:style w:type="table" w:styleId="720">
    <w:name w:val="Table Grid Light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2">
    <w:name w:val="Plain Table 2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3">
    <w:name w:val="Plain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>
    <w:name w:val="Grid Table 4 - Accent 1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9">
    <w:name w:val="Grid Table 4 - Accent 2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0">
    <w:name w:val="Grid Table 4 - Accent 3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1">
    <w:name w:val="Grid Table 4 - Accent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2">
    <w:name w:val="Grid Table 4 - Accent 5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3">
    <w:name w:val="Grid Table 4 - Accent 6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4">
    <w:name w:val="Grid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1">
    <w:name w:val="Grid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2">
    <w:name w:val="Grid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3">
    <w:name w:val="Grid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4">
    <w:name w:val="Grid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5">
    <w:name w:val="Grid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6">
    <w:name w:val="Grid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7">
    <w:name w:val="Grid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8">
    <w:name w:val="Grid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3">
    <w:name w:val="List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4">
    <w:name w:val="List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5">
    <w:name w:val="List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6">
    <w:name w:val="List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7">
    <w:name w:val="List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8">
    <w:name w:val="List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1">
    <w:name w:val="List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2">
    <w:name w:val="List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List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4">
    <w:name w:val="List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List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6">
    <w:name w:val="List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7">
    <w:name w:val="List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8">
    <w:name w:val="List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19">
    <w:name w:val="List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20">
    <w:name w:val="List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21">
    <w:name w:val="List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2">
    <w:name w:val="List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23">
    <w:name w:val="List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24">
    <w:name w:val="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6">
    <w:name w:val="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0">
    <w:name w:val="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 &amp; 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Bordered &amp; 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3">
    <w:name w:val="Bordered &amp; 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4">
    <w:name w:val="Bordered &amp; 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5">
    <w:name w:val="Bordered &amp; 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6">
    <w:name w:val="Bordered &amp; 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7">
    <w:name w:val="Bordered &amp; 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8">
    <w:name w:val="Bordered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9">
    <w:name w:val="Bordered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0">
    <w:name w:val="Bordered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1">
    <w:name w:val="Bordered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2">
    <w:name w:val="Bordered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3">
    <w:name w:val="Bordered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4">
    <w:name w:val="Bordered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5">
    <w:name w:val="footnote text"/>
    <w:basedOn w:val="853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basedOn w:val="859"/>
    <w:uiPriority w:val="99"/>
    <w:unhideWhenUsed/>
    <w:rPr>
      <w:vertAlign w:val="superscript"/>
    </w:rPr>
  </w:style>
  <w:style w:type="paragraph" w:styleId="848">
    <w:name w:val="endnote text"/>
    <w:basedOn w:val="853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59"/>
    <w:uiPriority w:val="99"/>
    <w:semiHidden/>
    <w:unhideWhenUsed/>
    <w:rPr>
      <w:vertAlign w:val="superscript"/>
    </w:r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link w:val="862"/>
    <w:qFormat/>
  </w:style>
  <w:style w:type="paragraph" w:styleId="854">
    <w:name w:val="Heading 1"/>
    <w:next w:val="853"/>
    <w:link w:val="879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855">
    <w:name w:val="Heading 2"/>
    <w:next w:val="853"/>
    <w:link w:val="904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856">
    <w:name w:val="Heading 3"/>
    <w:next w:val="853"/>
    <w:link w:val="873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857">
    <w:name w:val="Heading 4"/>
    <w:next w:val="853"/>
    <w:link w:val="903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858">
    <w:name w:val="Heading 5"/>
    <w:next w:val="853"/>
    <w:link w:val="878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59" w:default="1">
    <w:name w:val="Default Paragraph Font"/>
    <w:uiPriority w:val="1"/>
    <w:semiHidden/>
    <w:unhideWhenUsed/>
  </w:style>
  <w:style w:type="table" w:styleId="8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1" w:default="1">
    <w:name w:val="No List"/>
    <w:uiPriority w:val="99"/>
    <w:semiHidden/>
    <w:unhideWhenUsed/>
  </w:style>
  <w:style w:type="character" w:styleId="862" w:customStyle="1">
    <w:name w:val="Обычный1"/>
  </w:style>
  <w:style w:type="paragraph" w:styleId="863">
    <w:name w:val="toc 2"/>
    <w:next w:val="853"/>
    <w:link w:val="864"/>
    <w:uiPriority w:val="39"/>
    <w:pPr>
      <w:ind w:left="200"/>
    </w:pPr>
    <w:rPr>
      <w:rFonts w:ascii="XO Thames" w:hAnsi="XO Thames"/>
      <w:sz w:val="28"/>
    </w:rPr>
  </w:style>
  <w:style w:type="character" w:styleId="864" w:customStyle="1">
    <w:name w:val="Оглавление 2 Знак"/>
    <w:link w:val="863"/>
    <w:rPr>
      <w:rFonts w:ascii="XO Thames" w:hAnsi="XO Thames"/>
      <w:sz w:val="28"/>
    </w:rPr>
  </w:style>
  <w:style w:type="paragraph" w:styleId="865">
    <w:name w:val="toc 4"/>
    <w:next w:val="853"/>
    <w:link w:val="866"/>
    <w:uiPriority w:val="39"/>
    <w:pPr>
      <w:ind w:left="600"/>
    </w:pPr>
    <w:rPr>
      <w:rFonts w:ascii="XO Thames" w:hAnsi="XO Thames"/>
      <w:sz w:val="28"/>
    </w:rPr>
  </w:style>
  <w:style w:type="character" w:styleId="866" w:customStyle="1">
    <w:name w:val="Оглавление 4 Знак"/>
    <w:link w:val="865"/>
    <w:rPr>
      <w:rFonts w:ascii="XO Thames" w:hAnsi="XO Thames"/>
      <w:sz w:val="28"/>
    </w:rPr>
  </w:style>
  <w:style w:type="paragraph" w:styleId="867">
    <w:name w:val="Header"/>
    <w:basedOn w:val="853"/>
    <w:link w:val="868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8" w:customStyle="1">
    <w:name w:val="Верхний колонтитул Знак"/>
    <w:basedOn w:val="862"/>
    <w:link w:val="867"/>
    <w:uiPriority w:val="99"/>
  </w:style>
  <w:style w:type="paragraph" w:styleId="869">
    <w:name w:val="toc 6"/>
    <w:next w:val="853"/>
    <w:link w:val="870"/>
    <w:uiPriority w:val="39"/>
    <w:pPr>
      <w:ind w:left="1000"/>
    </w:pPr>
    <w:rPr>
      <w:rFonts w:ascii="XO Thames" w:hAnsi="XO Thames"/>
      <w:sz w:val="28"/>
    </w:rPr>
  </w:style>
  <w:style w:type="character" w:styleId="870" w:customStyle="1">
    <w:name w:val="Оглавление 6 Знак"/>
    <w:link w:val="869"/>
    <w:rPr>
      <w:rFonts w:ascii="XO Thames" w:hAnsi="XO Thames"/>
      <w:sz w:val="28"/>
    </w:rPr>
  </w:style>
  <w:style w:type="paragraph" w:styleId="871">
    <w:name w:val="toc 7"/>
    <w:next w:val="853"/>
    <w:link w:val="872"/>
    <w:uiPriority w:val="39"/>
    <w:pPr>
      <w:ind w:left="1200"/>
    </w:pPr>
    <w:rPr>
      <w:rFonts w:ascii="XO Thames" w:hAnsi="XO Thames"/>
      <w:sz w:val="28"/>
    </w:rPr>
  </w:style>
  <w:style w:type="character" w:styleId="872" w:customStyle="1">
    <w:name w:val="Оглавление 7 Знак"/>
    <w:link w:val="871"/>
    <w:rPr>
      <w:rFonts w:ascii="XO Thames" w:hAnsi="XO Thames"/>
      <w:sz w:val="28"/>
    </w:rPr>
  </w:style>
  <w:style w:type="character" w:styleId="873" w:customStyle="1">
    <w:name w:val="Заголовок 3 Знак"/>
    <w:link w:val="856"/>
    <w:rPr>
      <w:rFonts w:ascii="XO Thames" w:hAnsi="XO Thames"/>
      <w:b/>
      <w:sz w:val="26"/>
    </w:rPr>
  </w:style>
  <w:style w:type="paragraph" w:styleId="874">
    <w:name w:val="Plain Text"/>
    <w:basedOn w:val="853"/>
    <w:link w:val="875"/>
    <w:pPr>
      <w:spacing w:after="0" w:line="240" w:lineRule="auto"/>
    </w:pPr>
    <w:rPr>
      <w:rFonts w:ascii="Calibri" w:hAnsi="Calibri"/>
    </w:rPr>
  </w:style>
  <w:style w:type="character" w:styleId="875" w:customStyle="1">
    <w:name w:val="Текст Знак"/>
    <w:basedOn w:val="862"/>
    <w:link w:val="874"/>
    <w:rPr>
      <w:rFonts w:ascii="Calibri" w:hAnsi="Calibri"/>
    </w:rPr>
  </w:style>
  <w:style w:type="paragraph" w:styleId="876">
    <w:name w:val="toc 3"/>
    <w:next w:val="853"/>
    <w:link w:val="877"/>
    <w:uiPriority w:val="39"/>
    <w:pPr>
      <w:ind w:left="400"/>
    </w:pPr>
    <w:rPr>
      <w:rFonts w:ascii="XO Thames" w:hAnsi="XO Thames"/>
      <w:sz w:val="28"/>
    </w:rPr>
  </w:style>
  <w:style w:type="character" w:styleId="877" w:customStyle="1">
    <w:name w:val="Оглавление 3 Знак"/>
    <w:link w:val="876"/>
    <w:rPr>
      <w:rFonts w:ascii="XO Thames" w:hAnsi="XO Thames"/>
      <w:sz w:val="28"/>
    </w:rPr>
  </w:style>
  <w:style w:type="character" w:styleId="878" w:customStyle="1">
    <w:name w:val="Заголовок 5 Знак"/>
    <w:link w:val="858"/>
    <w:rPr>
      <w:rFonts w:ascii="XO Thames" w:hAnsi="XO Thames"/>
      <w:b/>
      <w:sz w:val="22"/>
    </w:rPr>
  </w:style>
  <w:style w:type="character" w:styleId="879" w:customStyle="1">
    <w:name w:val="Заголовок 1 Знак"/>
    <w:link w:val="854"/>
    <w:rPr>
      <w:rFonts w:ascii="XO Thames" w:hAnsi="XO Thames"/>
      <w:b/>
      <w:sz w:val="32"/>
    </w:rPr>
  </w:style>
  <w:style w:type="paragraph" w:styleId="880" w:customStyle="1">
    <w:name w:val="Гиперссылка1"/>
    <w:basedOn w:val="888"/>
    <w:link w:val="881"/>
    <w:rPr>
      <w:color w:val="0563c1" w:themeColor="hyperlink"/>
      <w:u w:val="single"/>
    </w:rPr>
  </w:style>
  <w:style w:type="character" w:styleId="881">
    <w:name w:val="Hyperlink"/>
    <w:basedOn w:val="859"/>
    <w:link w:val="880"/>
    <w:rPr>
      <w:color w:val="0563c1" w:themeColor="hyperlink"/>
      <w:u w:val="single"/>
    </w:rPr>
  </w:style>
  <w:style w:type="paragraph" w:styleId="882" w:customStyle="1">
    <w:name w:val="Footnote"/>
    <w:link w:val="883"/>
    <w:pPr>
      <w:ind w:firstLine="851"/>
      <w:jc w:val="both"/>
    </w:pPr>
    <w:rPr>
      <w:rFonts w:ascii="XO Thames" w:hAnsi="XO Thames"/>
    </w:rPr>
  </w:style>
  <w:style w:type="character" w:styleId="883" w:customStyle="1">
    <w:name w:val="Footnote"/>
    <w:link w:val="882"/>
    <w:rPr>
      <w:rFonts w:ascii="XO Thames" w:hAnsi="XO Thames"/>
      <w:sz w:val="22"/>
    </w:rPr>
  </w:style>
  <w:style w:type="paragraph" w:styleId="884">
    <w:name w:val="toc 1"/>
    <w:next w:val="853"/>
    <w:link w:val="885"/>
    <w:uiPriority w:val="39"/>
    <w:rPr>
      <w:rFonts w:ascii="XO Thames" w:hAnsi="XO Thames"/>
      <w:b/>
      <w:sz w:val="28"/>
    </w:rPr>
  </w:style>
  <w:style w:type="character" w:styleId="885" w:customStyle="1">
    <w:name w:val="Оглавление 1 Знак"/>
    <w:link w:val="884"/>
    <w:rPr>
      <w:rFonts w:ascii="XO Thames" w:hAnsi="XO Thames"/>
      <w:b/>
      <w:sz w:val="28"/>
    </w:rPr>
  </w:style>
  <w:style w:type="paragraph" w:styleId="886" w:customStyle="1">
    <w:name w:val="Header and Footer"/>
    <w:link w:val="887"/>
    <w:pPr>
      <w:jc w:val="both"/>
      <w:spacing w:line="240" w:lineRule="auto"/>
    </w:pPr>
    <w:rPr>
      <w:rFonts w:ascii="XO Thames" w:hAnsi="XO Thames"/>
      <w:sz w:val="20"/>
    </w:rPr>
  </w:style>
  <w:style w:type="character" w:styleId="887" w:customStyle="1">
    <w:name w:val="Header and Footer"/>
    <w:link w:val="886"/>
    <w:rPr>
      <w:rFonts w:ascii="XO Thames" w:hAnsi="XO Thames"/>
      <w:sz w:val="20"/>
    </w:rPr>
  </w:style>
  <w:style w:type="paragraph" w:styleId="888" w:customStyle="1">
    <w:name w:val="Основной шрифт абзаца1"/>
  </w:style>
  <w:style w:type="paragraph" w:styleId="889">
    <w:name w:val="toc 9"/>
    <w:next w:val="853"/>
    <w:link w:val="890"/>
    <w:uiPriority w:val="39"/>
    <w:pPr>
      <w:ind w:left="1600"/>
    </w:pPr>
    <w:rPr>
      <w:rFonts w:ascii="XO Thames" w:hAnsi="XO Thames"/>
      <w:sz w:val="28"/>
    </w:rPr>
  </w:style>
  <w:style w:type="character" w:styleId="890" w:customStyle="1">
    <w:name w:val="Оглавление 9 Знак"/>
    <w:link w:val="889"/>
    <w:rPr>
      <w:rFonts w:ascii="XO Thames" w:hAnsi="XO Thames"/>
      <w:sz w:val="28"/>
    </w:rPr>
  </w:style>
  <w:style w:type="paragraph" w:styleId="891">
    <w:name w:val="toc 8"/>
    <w:next w:val="853"/>
    <w:link w:val="892"/>
    <w:uiPriority w:val="39"/>
    <w:pPr>
      <w:ind w:left="1400"/>
    </w:pPr>
    <w:rPr>
      <w:rFonts w:ascii="XO Thames" w:hAnsi="XO Thames"/>
      <w:sz w:val="28"/>
    </w:rPr>
  </w:style>
  <w:style w:type="character" w:styleId="892" w:customStyle="1">
    <w:name w:val="Оглавление 8 Знак"/>
    <w:link w:val="891"/>
    <w:rPr>
      <w:rFonts w:ascii="XO Thames" w:hAnsi="XO Thames"/>
      <w:sz w:val="28"/>
    </w:rPr>
  </w:style>
  <w:style w:type="paragraph" w:styleId="893">
    <w:name w:val="toc 5"/>
    <w:next w:val="853"/>
    <w:link w:val="894"/>
    <w:uiPriority w:val="39"/>
    <w:pPr>
      <w:ind w:left="800"/>
    </w:pPr>
    <w:rPr>
      <w:rFonts w:ascii="XO Thames" w:hAnsi="XO Thames"/>
      <w:sz w:val="28"/>
    </w:rPr>
  </w:style>
  <w:style w:type="character" w:styleId="894" w:customStyle="1">
    <w:name w:val="Оглавление 5 Знак"/>
    <w:link w:val="893"/>
    <w:rPr>
      <w:rFonts w:ascii="XO Thames" w:hAnsi="XO Thames"/>
      <w:sz w:val="28"/>
    </w:rPr>
  </w:style>
  <w:style w:type="paragraph" w:styleId="895">
    <w:name w:val="Subtitle"/>
    <w:next w:val="853"/>
    <w:link w:val="896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96" w:customStyle="1">
    <w:name w:val="Подзаголовок Знак"/>
    <w:link w:val="895"/>
    <w:rPr>
      <w:rFonts w:ascii="XO Thames" w:hAnsi="XO Thames"/>
      <w:i/>
      <w:sz w:val="24"/>
    </w:rPr>
  </w:style>
  <w:style w:type="paragraph" w:styleId="897">
    <w:name w:val="Footer"/>
    <w:basedOn w:val="853"/>
    <w:link w:val="898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898" w:customStyle="1">
    <w:name w:val="Нижний колонтитул Знак"/>
    <w:basedOn w:val="862"/>
    <w:link w:val="897"/>
    <w:rPr>
      <w:rFonts w:ascii="Times New Roman" w:hAnsi="Times New Roman"/>
      <w:sz w:val="28"/>
    </w:rPr>
  </w:style>
  <w:style w:type="paragraph" w:styleId="899">
    <w:name w:val="Title"/>
    <w:next w:val="853"/>
    <w:link w:val="900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00" w:customStyle="1">
    <w:name w:val="Название Знак"/>
    <w:link w:val="899"/>
    <w:rPr>
      <w:rFonts w:ascii="XO Thames" w:hAnsi="XO Thames"/>
      <w:b/>
      <w:caps/>
      <w:sz w:val="40"/>
    </w:rPr>
  </w:style>
  <w:style w:type="paragraph" w:styleId="901">
    <w:name w:val="Balloon Text"/>
    <w:basedOn w:val="853"/>
    <w:link w:val="902"/>
    <w:pPr>
      <w:spacing w:after="0" w:line="240" w:lineRule="auto"/>
    </w:pPr>
    <w:rPr>
      <w:rFonts w:ascii="Segoe UI" w:hAnsi="Segoe UI"/>
      <w:sz w:val="18"/>
    </w:rPr>
  </w:style>
  <w:style w:type="character" w:styleId="902" w:customStyle="1">
    <w:name w:val="Текст выноски Знак"/>
    <w:basedOn w:val="862"/>
    <w:link w:val="901"/>
    <w:rPr>
      <w:rFonts w:ascii="Segoe UI" w:hAnsi="Segoe UI"/>
      <w:sz w:val="18"/>
    </w:rPr>
  </w:style>
  <w:style w:type="character" w:styleId="903" w:customStyle="1">
    <w:name w:val="Заголовок 4 Знак"/>
    <w:link w:val="857"/>
    <w:rPr>
      <w:rFonts w:ascii="XO Thames" w:hAnsi="XO Thames"/>
      <w:b/>
      <w:sz w:val="24"/>
    </w:rPr>
  </w:style>
  <w:style w:type="character" w:styleId="904" w:customStyle="1">
    <w:name w:val="Заголовок 2 Знак"/>
    <w:link w:val="855"/>
    <w:rPr>
      <w:rFonts w:ascii="XO Thames" w:hAnsi="XO Thames"/>
      <w:b/>
      <w:sz w:val="28"/>
    </w:rPr>
  </w:style>
  <w:style w:type="table" w:styleId="905">
    <w:name w:val="Table Grid"/>
    <w:basedOn w:val="86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6" w:customStyle="1">
    <w:name w:val="Сетка таблицы1"/>
    <w:basedOn w:val="860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7" w:customStyle="1">
    <w:name w:val="Сетка таблицы2"/>
    <w:basedOn w:val="860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schternerev</cp:lastModifiedBy>
  <cp:revision>22</cp:revision>
  <dcterms:created xsi:type="dcterms:W3CDTF">2025-01-31T01:52:00Z</dcterms:created>
  <dcterms:modified xsi:type="dcterms:W3CDTF">2026-09-04T05:24:47Z</dcterms:modified>
</cp:coreProperties>
</file>