
<file path=[Content_Types].xml><?xml version="1.0" encoding="utf-8"?>
<Types xmlns="http://schemas.openxmlformats.org/package/2006/content-types">
  <Default ContentType="image/jpeg" Extension="jpe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3000000">
      <w:pPr>
        <w:spacing w:after="0" w:line="276" w:lineRule="auto"/>
        <w:ind/>
        <w:rPr>
          <w:rFonts w:ascii="Times New Roman" w:hAnsi="Times New Roman"/>
          <w:sz w:val="28"/>
        </w:rPr>
      </w:pPr>
      <w:r>
        <w:rPr>
          <w:rFonts w:ascii="Times New Roman" w:hAnsi="Times New Roman"/>
          <w:sz w:val="32"/>
        </w:rPr>
        <w:drawing>
          <wp:anchor allowOverlap="true" behindDoc="true" distB="0" distL="114300" distR="114300" distT="0" layoutInCell="true" locked="false" relativeHeight="251658240" simplePos="false">
            <wp:simplePos x="0" y="0"/>
            <wp:positionH relativeFrom="margin">
              <wp:align>center</wp:align>
            </wp:positionH>
            <wp:positionV relativeFrom="paragraph">
              <wp:posOffset>0</wp:posOffset>
            </wp:positionV>
            <wp:extent cx="647700" cy="807720"/>
            <wp:effectExtent b="0" l="0" r="0" t="0"/>
            <wp:wrapTight distL="114300" distR="114300" wrapText="bothSides">
              <wp:wrapPolygon>
                <wp:start x="0" y="0"/>
                <wp:lineTo x="0" y="20887"/>
                <wp:lineTo x="20965" y="20887"/>
                <wp:lineTo x="20965" y="0"/>
                <wp:lineTo x="0" y="0"/>
              </wp:wrapPolygon>
            </wp:wrapTight>
            <wp:docPr hidden="false" id="2" name="Picture 2"/>
            <a:graphic>
              <a:graphicData uri="http://schemas.openxmlformats.org/drawingml/2006/picture">
                <pic:pic>
                  <pic:nvPicPr>
                    <pic:cNvPr hidden="false" id="1" name="Picture 1"/>
                    <pic:cNvPicPr preferRelativeResize="true"/>
                  </pic:nvPicPr>
                  <pic:blipFill>
                    <a:blip r:embed="rId3"/>
                    <a:stretch/>
                  </pic:blipFill>
                  <pic:spPr>
                    <a:xfrm flipH="false" flipV="false" rot="0">
                      <a:ext cx="647700" cy="807720"/>
                    </a:xfrm>
                    <a:prstGeom prst="rect"/>
                  </pic:spPr>
                </pic:pic>
              </a:graphicData>
            </a:graphic>
          </wp:anchor>
        </w:drawing>
      </w:r>
    </w:p>
    <w:p w14:paraId="04000000">
      <w:pPr>
        <w:spacing w:after="0" w:line="360" w:lineRule="auto"/>
        <w:ind/>
        <w:jc w:val="center"/>
        <w:rPr>
          <w:rFonts w:ascii="Times New Roman" w:hAnsi="Times New Roman"/>
          <w:sz w:val="32"/>
        </w:rPr>
      </w:pPr>
    </w:p>
    <w:p w14:paraId="05000000">
      <w:pPr>
        <w:spacing w:after="0" w:line="240" w:lineRule="auto"/>
        <w:ind/>
        <w:jc w:val="center"/>
        <w:rPr>
          <w:rFonts w:ascii="Times New Roman" w:hAnsi="Times New Roman"/>
          <w:b w:val="1"/>
          <w:sz w:val="32"/>
        </w:rPr>
      </w:pPr>
    </w:p>
    <w:p w14:paraId="06000000">
      <w:pPr>
        <w:spacing w:after="0" w:line="240" w:lineRule="auto"/>
        <w:ind/>
        <w:rPr>
          <w:rFonts w:ascii="Times New Roman" w:hAnsi="Times New Roman"/>
          <w:b w:val="1"/>
          <w:sz w:val="32"/>
        </w:rPr>
      </w:pPr>
    </w:p>
    <w:p w14:paraId="07000000">
      <w:pPr>
        <w:spacing w:after="0" w:line="240" w:lineRule="auto"/>
        <w:ind/>
        <w:jc w:val="center"/>
        <w:rPr>
          <w:rFonts w:ascii="Times New Roman" w:hAnsi="Times New Roman"/>
          <w:b w:val="1"/>
          <w:sz w:val="32"/>
        </w:rPr>
      </w:pPr>
      <w:r>
        <w:rPr>
          <w:rFonts w:ascii="Times New Roman" w:hAnsi="Times New Roman"/>
          <w:b w:val="1"/>
          <w:sz w:val="32"/>
        </w:rPr>
        <w:t>П О С Т А Н О В Л Е Н И Е</w:t>
      </w:r>
    </w:p>
    <w:p w14:paraId="08000000">
      <w:pPr>
        <w:spacing w:after="0" w:line="240" w:lineRule="auto"/>
        <w:ind/>
        <w:jc w:val="center"/>
        <w:rPr>
          <w:rFonts w:ascii="Times New Roman" w:hAnsi="Times New Roman"/>
          <w:b w:val="1"/>
          <w:sz w:val="28"/>
        </w:rPr>
      </w:pPr>
    </w:p>
    <w:p w14:paraId="09000000">
      <w:pPr>
        <w:spacing w:after="0" w:line="240" w:lineRule="auto"/>
        <w:ind/>
        <w:jc w:val="center"/>
        <w:rPr>
          <w:rFonts w:ascii="Times New Roman" w:hAnsi="Times New Roman"/>
          <w:b w:val="1"/>
          <w:sz w:val="28"/>
        </w:rPr>
      </w:pPr>
      <w:r>
        <w:rPr>
          <w:rFonts w:ascii="Times New Roman" w:hAnsi="Times New Roman"/>
          <w:b w:val="1"/>
          <w:sz w:val="28"/>
        </w:rPr>
        <w:t>ПРАВИТЕЛЬСТВА</w:t>
      </w:r>
    </w:p>
    <w:p w14:paraId="0A000000">
      <w:pPr>
        <w:spacing w:after="0" w:line="240" w:lineRule="auto"/>
        <w:ind/>
        <w:jc w:val="center"/>
        <w:rPr>
          <w:rFonts w:ascii="Times New Roman" w:hAnsi="Times New Roman"/>
          <w:b w:val="1"/>
          <w:sz w:val="28"/>
        </w:rPr>
      </w:pPr>
      <w:r>
        <w:rPr>
          <w:rFonts w:ascii="Times New Roman" w:hAnsi="Times New Roman"/>
          <w:b w:val="1"/>
          <w:sz w:val="28"/>
        </w:rPr>
        <w:t>КАМЧАТСКОГО КРАЯ</w:t>
      </w:r>
    </w:p>
    <w:p w14:paraId="0B000000">
      <w:pPr>
        <w:spacing w:after="0" w:line="276" w:lineRule="auto"/>
        <w:ind w:firstLine="709"/>
        <w:jc w:val="center"/>
        <w:rPr>
          <w:rFonts w:ascii="Times New Roman" w:hAnsi="Times New Roman"/>
          <w:sz w:val="28"/>
        </w:rPr>
      </w:pPr>
    </w:p>
    <w:tbl>
      <w:tblPr>
        <w:tblStyle w:val="Style_2"/>
        <w:tblW w:type="auto" w:w="0"/>
        <w:tblLayout w:type="fixed"/>
        <w:tblCellMar>
          <w:left w:type="dxa" w:w="0"/>
          <w:right w:type="dxa" w:w="0"/>
        </w:tblCellMar>
      </w:tblPr>
      <w:tblGrid>
        <w:gridCol w:w="4253"/>
      </w:tblGrid>
      <w:tr>
        <w:trPr>
          <w:trHeight w:hRule="atLeast" w:val="427"/>
        </w:trPr>
        <w:tc>
          <w:tcPr>
            <w:tcW w:type="dxa" w:w="4253"/>
            <w:tcMar>
              <w:left w:type="dxa" w:w="0"/>
              <w:right w:type="dxa" w:w="0"/>
            </w:tcMar>
          </w:tcPr>
          <w:p w14:paraId="0C000000">
            <w:pPr>
              <w:spacing w:after="0" w:line="240" w:lineRule="auto"/>
              <w:ind w:hanging="142" w:left="142"/>
              <w:rPr>
                <w:rFonts w:ascii="Times New Roman" w:hAnsi="Times New Roman"/>
                <w:sz w:val="24"/>
              </w:rPr>
            </w:pPr>
            <w:bookmarkStart w:id="1" w:name="REGNUMDATESTAMP"/>
            <w:r>
              <w:rPr>
                <w:rFonts w:ascii="Times New Roman" w:hAnsi="Times New Roman"/>
                <w:color w:val="FFFFFF"/>
                <w:sz w:val="24"/>
              </w:rPr>
              <w:t>[Дата регистрации] № [Номер</w:t>
            </w:r>
            <w:r>
              <w:rPr>
                <w:rFonts w:ascii="Times New Roman" w:hAnsi="Times New Roman"/>
                <w:color w:val="FFFFFF"/>
                <w:sz w:val="20"/>
              </w:rPr>
              <w:t xml:space="preserve"> документа</w:t>
            </w:r>
            <w:r>
              <w:rPr>
                <w:rFonts w:ascii="Times New Roman" w:hAnsi="Times New Roman"/>
                <w:color w:val="FFFFFF"/>
                <w:sz w:val="24"/>
              </w:rPr>
              <w:t>]</w:t>
            </w:r>
            <w:bookmarkEnd w:id="1"/>
          </w:p>
        </w:tc>
      </w:tr>
      <w:tr>
        <w:trPr>
          <w:trHeight w:hRule="atLeast" w:val="247"/>
        </w:trPr>
        <w:tc>
          <w:tcPr>
            <w:tcW w:type="dxa" w:w="4253"/>
            <w:tcMar>
              <w:left w:type="dxa" w:w="0"/>
              <w:right w:type="dxa" w:w="0"/>
            </w:tcMar>
          </w:tcPr>
          <w:p w14:paraId="0D000000">
            <w:pPr>
              <w:spacing w:after="0" w:line="240" w:lineRule="auto"/>
              <w:ind/>
              <w:jc w:val="center"/>
              <w:rPr>
                <w:rFonts w:ascii="Times New Roman" w:hAnsi="Times New Roman"/>
                <w:u w:val="single"/>
              </w:rPr>
            </w:pPr>
            <w:r>
              <w:rPr>
                <w:rFonts w:ascii="Times New Roman" w:hAnsi="Times New Roman"/>
              </w:rPr>
              <w:t>г. Петропавловск-Камчатский</w:t>
            </w:r>
          </w:p>
        </w:tc>
      </w:tr>
      <w:tr>
        <w:trPr>
          <w:trHeight w:hRule="atLeast" w:val="80"/>
        </w:trPr>
        <w:tc>
          <w:tcPr>
            <w:tcW w:type="dxa" w:w="4253"/>
            <w:tcMar>
              <w:left w:type="dxa" w:w="0"/>
              <w:right w:type="dxa" w:w="0"/>
            </w:tcMar>
          </w:tcPr>
          <w:p w14:paraId="0E000000">
            <w:pPr>
              <w:spacing w:after="0" w:line="240" w:lineRule="auto"/>
              <w:ind/>
              <w:jc w:val="both"/>
              <w:rPr>
                <w:rFonts w:ascii="Times New Roman" w:hAnsi="Times New Roman"/>
                <w:sz w:val="20"/>
              </w:rPr>
            </w:pPr>
          </w:p>
        </w:tc>
      </w:tr>
    </w:tbl>
    <w:p w14:paraId="0F000000">
      <w:pPr>
        <w:spacing w:after="0" w:line="240" w:lineRule="auto"/>
        <w:ind w:firstLine="709"/>
        <w:jc w:val="both"/>
        <w:rPr>
          <w:rFonts w:ascii="Times New Roman" w:hAnsi="Times New Roman"/>
          <w:sz w:val="28"/>
        </w:rPr>
      </w:pPr>
    </w:p>
    <w:p w14:paraId="10000000">
      <w:pPr>
        <w:spacing w:after="0" w:line="240" w:lineRule="auto"/>
        <w:ind/>
        <w:jc w:val="center"/>
        <w:rPr>
          <w:rFonts w:ascii="Times New Roman" w:hAnsi="Times New Roman"/>
          <w:b w:val="1"/>
          <w:sz w:val="28"/>
        </w:rPr>
      </w:pPr>
      <w:r>
        <w:rPr>
          <w:rFonts w:ascii="Times New Roman" w:hAnsi="Times New Roman"/>
          <w:b w:val="1"/>
          <w:sz w:val="28"/>
        </w:rPr>
        <w:t>Об у</w:t>
      </w:r>
      <w:r>
        <w:rPr>
          <w:rFonts w:ascii="Times New Roman" w:hAnsi="Times New Roman"/>
          <w:b w:val="1"/>
          <w:sz w:val="28"/>
        </w:rPr>
        <w:t xml:space="preserve">тверждении Порядка </w:t>
      </w:r>
      <w:r>
        <w:rPr>
          <w:rFonts w:ascii="Times New Roman" w:hAnsi="Times New Roman"/>
          <w:b w:val="1"/>
          <w:sz w:val="28"/>
        </w:rPr>
        <w:t>предоставления субсидии на финансовое обеспечение части затрат, связанных с</w:t>
      </w:r>
      <w:r>
        <w:rPr>
          <w:rFonts w:ascii="Times New Roman" w:hAnsi="Times New Roman"/>
          <w:b w:val="1"/>
          <w:sz w:val="28"/>
        </w:rPr>
        <w:t xml:space="preserve"> технической и (или) технологической модернизацией производства </w:t>
      </w:r>
      <w:r>
        <w:rPr>
          <w:rFonts w:ascii="Times New Roman" w:hAnsi="Times New Roman"/>
          <w:b w:val="1"/>
          <w:sz w:val="28"/>
        </w:rPr>
        <w:t>предприятий агропромышленного комплекса</w:t>
      </w:r>
      <w:r>
        <w:rPr>
          <w:rFonts w:ascii="Times New Roman" w:hAnsi="Times New Roman"/>
          <w:b w:val="1"/>
          <w:sz w:val="28"/>
        </w:rPr>
        <w:t>, и проведения отбора получателей субсидии</w:t>
      </w:r>
    </w:p>
    <w:p w14:paraId="11000000">
      <w:pPr>
        <w:spacing w:after="0" w:line="240" w:lineRule="auto"/>
        <w:ind w:firstLine="709"/>
        <w:jc w:val="both"/>
        <w:rPr>
          <w:rFonts w:ascii="Times New Roman" w:hAnsi="Times New Roman"/>
          <w:sz w:val="28"/>
        </w:rPr>
      </w:pPr>
    </w:p>
    <w:p w14:paraId="12000000">
      <w:pPr>
        <w:spacing w:after="0" w:line="240" w:lineRule="auto"/>
        <w:ind w:firstLine="709"/>
        <w:jc w:val="both"/>
        <w:rPr>
          <w:rFonts w:ascii="Times New Roman" w:hAnsi="Times New Roman"/>
          <w:sz w:val="28"/>
        </w:rPr>
      </w:pPr>
      <w:r>
        <w:rPr>
          <w:rFonts w:ascii="Times New Roman" w:hAnsi="Times New Roman"/>
          <w:sz w:val="28"/>
        </w:rPr>
        <w:t>В соответствии с подпунктом 2 пункта 2 статьи 78, абзацем вторым</w:t>
      </w:r>
      <w:r>
        <w:rPr>
          <w:rFonts w:ascii="Times New Roman" w:hAnsi="Times New Roman"/>
          <w:sz w:val="28"/>
        </w:rPr>
        <w:t xml:space="preserve"> </w:t>
      </w:r>
      <w:r>
        <w:rPr>
          <w:rFonts w:ascii="Times New Roman" w:hAnsi="Times New Roman"/>
          <w:sz w:val="28"/>
        </w:rPr>
        <w:t xml:space="preserve">пункта </w:t>
      </w:r>
      <w:r>
        <w:rPr>
          <w:rFonts w:ascii="Times New Roman" w:hAnsi="Times New Roman"/>
          <w:sz w:val="28"/>
        </w:rPr>
        <w:t>4 статьи 78</w:t>
      </w:r>
      <w:r>
        <w:rPr>
          <w:rFonts w:ascii="Times New Roman" w:hAnsi="Times New Roman"/>
          <w:sz w:val="28"/>
          <w:vertAlign w:val="superscript"/>
        </w:rPr>
        <w:t>5</w:t>
      </w:r>
      <w:r>
        <w:rPr>
          <w:rFonts w:ascii="Times New Roman" w:hAnsi="Times New Roman"/>
          <w:sz w:val="28"/>
        </w:rPr>
        <w:t xml:space="preserve"> Бюджетного кодекса Российской Федерации,</w:t>
      </w:r>
      <w:r>
        <w:rPr>
          <w:rFonts w:ascii="Times New Roman" w:hAnsi="Times New Roman"/>
          <w:sz w:val="28"/>
        </w:rPr>
        <w:t xml:space="preserve"> </w:t>
      </w:r>
      <w:r>
        <w:rPr>
          <w:rFonts w:ascii="Times New Roman" w:hAnsi="Times New Roman"/>
          <w:sz w:val="28"/>
        </w:rPr>
        <w:t>постановлением Правительства Российской Федерации от 25.10.2023 № 1782 «</w:t>
      </w:r>
      <w:r>
        <w:rPr>
          <w:rFonts w:ascii="Times New Roman" w:hAnsi="Times New Roman"/>
          <w:sz w:val="28"/>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w:t>
      </w:r>
      <w:r>
        <w:rPr>
          <w:rFonts w:ascii="Times New Roman" w:hAnsi="Times New Roman"/>
          <w:sz w:val="28"/>
        </w:rPr>
        <w:t>»</w:t>
      </w:r>
    </w:p>
    <w:p w14:paraId="13000000">
      <w:pPr>
        <w:spacing w:after="0" w:line="240" w:lineRule="auto"/>
        <w:ind w:firstLine="709"/>
        <w:jc w:val="both"/>
        <w:rPr>
          <w:rFonts w:ascii="Times New Roman" w:hAnsi="Times New Roman"/>
          <w:sz w:val="28"/>
        </w:rPr>
      </w:pPr>
    </w:p>
    <w:p w14:paraId="14000000">
      <w:pPr>
        <w:spacing w:after="0" w:line="240" w:lineRule="auto"/>
        <w:ind w:firstLine="709"/>
        <w:jc w:val="both"/>
        <w:rPr>
          <w:rFonts w:ascii="Times New Roman" w:hAnsi="Times New Roman"/>
          <w:sz w:val="28"/>
        </w:rPr>
      </w:pPr>
      <w:r>
        <w:rPr>
          <w:rFonts w:ascii="Times New Roman" w:hAnsi="Times New Roman"/>
          <w:sz w:val="28"/>
        </w:rPr>
        <w:t>ПРАВИТЕЛЬСТВО ПОСТАНОВЛЯЕТ:</w:t>
      </w:r>
    </w:p>
    <w:p w14:paraId="15000000">
      <w:pPr>
        <w:spacing w:after="0" w:line="240" w:lineRule="auto"/>
        <w:ind w:firstLine="709"/>
        <w:jc w:val="both"/>
        <w:rPr>
          <w:rFonts w:ascii="Times New Roman" w:hAnsi="Times New Roman"/>
          <w:sz w:val="28"/>
        </w:rPr>
      </w:pPr>
    </w:p>
    <w:p w14:paraId="16000000">
      <w:pPr>
        <w:spacing w:after="0" w:line="240" w:lineRule="auto"/>
        <w:ind w:firstLine="709"/>
        <w:jc w:val="both"/>
        <w:rPr>
          <w:rFonts w:ascii="Times New Roman" w:hAnsi="Times New Roman"/>
          <w:sz w:val="28"/>
        </w:rPr>
      </w:pPr>
      <w:r>
        <w:rPr>
          <w:rFonts w:ascii="Times New Roman" w:hAnsi="Times New Roman"/>
          <w:sz w:val="28"/>
        </w:rPr>
        <w:t>1.Утвердить Порядок предоставления субсидии на финансовое обеспечение части затрат, связанных</w:t>
      </w:r>
      <w:r>
        <w:rPr>
          <w:rFonts w:ascii="Times New Roman" w:hAnsi="Times New Roman"/>
          <w:sz w:val="28"/>
        </w:rPr>
        <w:t xml:space="preserve"> с</w:t>
      </w:r>
      <w:r>
        <w:rPr>
          <w:rFonts w:ascii="Times New Roman" w:hAnsi="Times New Roman"/>
          <w:sz w:val="28"/>
        </w:rPr>
        <w:t xml:space="preserve"> технической и (или) технологической модернизацией производства </w:t>
      </w:r>
      <w:r>
        <w:rPr>
          <w:rFonts w:ascii="Times New Roman" w:hAnsi="Times New Roman"/>
          <w:sz w:val="28"/>
        </w:rPr>
        <w:t>предприятий агропромышленного комплекса</w:t>
      </w:r>
      <w:r>
        <w:rPr>
          <w:rFonts w:ascii="Times New Roman" w:hAnsi="Times New Roman"/>
          <w:sz w:val="28"/>
        </w:rPr>
        <w:t xml:space="preserve">, и проведения отбора получателей субсидии согласно </w:t>
      </w:r>
      <w:r>
        <w:rPr>
          <w:rFonts w:ascii="Times New Roman" w:hAnsi="Times New Roman"/>
          <w:sz w:val="28"/>
        </w:rPr>
        <w:t>приложению</w:t>
      </w:r>
      <w:r>
        <w:rPr>
          <w:rFonts w:ascii="Times New Roman" w:hAnsi="Times New Roman"/>
          <w:sz w:val="28"/>
        </w:rPr>
        <w:t xml:space="preserve"> к настоящему постановлению.</w:t>
      </w:r>
    </w:p>
    <w:p w14:paraId="17000000">
      <w:pPr>
        <w:spacing w:after="0" w:line="240" w:lineRule="auto"/>
        <w:ind w:firstLine="709"/>
        <w:jc w:val="both"/>
        <w:rPr>
          <w:rFonts w:ascii="Times New Roman" w:hAnsi="Times New Roman"/>
          <w:sz w:val="28"/>
        </w:rPr>
      </w:pPr>
      <w:r>
        <w:rPr>
          <w:rFonts w:ascii="Times New Roman" w:hAnsi="Times New Roman"/>
          <w:sz w:val="28"/>
        </w:rPr>
        <w:t>2. Настоящее постановление вступает в силу после дня его официального опубликования.</w:t>
      </w:r>
    </w:p>
    <w:p w14:paraId="18000000">
      <w:pPr>
        <w:spacing w:after="0" w:line="240" w:lineRule="auto"/>
        <w:ind w:firstLine="709"/>
        <w:jc w:val="both"/>
        <w:rPr>
          <w:rFonts w:ascii="Times New Roman" w:hAnsi="Times New Roman"/>
          <w:sz w:val="28"/>
        </w:rPr>
      </w:pPr>
    </w:p>
    <w:p w14:paraId="19000000">
      <w:pPr>
        <w:spacing w:after="0" w:line="240" w:lineRule="auto"/>
        <w:ind w:firstLine="709"/>
        <w:jc w:val="both"/>
        <w:rPr>
          <w:rFonts w:ascii="Times New Roman" w:hAnsi="Times New Roman"/>
          <w:sz w:val="28"/>
        </w:rPr>
      </w:pPr>
    </w:p>
    <w:p w14:paraId="1A000000">
      <w:pPr>
        <w:spacing w:after="0" w:line="240" w:lineRule="auto"/>
        <w:ind w:firstLine="709"/>
        <w:jc w:val="both"/>
        <w:rPr>
          <w:rFonts w:ascii="Times New Roman" w:hAnsi="Times New Roman"/>
          <w:sz w:val="28"/>
        </w:rPr>
      </w:pPr>
    </w:p>
    <w:tbl>
      <w:tblPr>
        <w:tblStyle w:val="Style_2"/>
        <w:tblW w:type="auto" w:w="0"/>
        <w:tblInd w:type="dxa" w:w="-34"/>
        <w:tblLayout w:type="fixed"/>
        <w:tblCellMar>
          <w:left w:type="dxa" w:w="0"/>
          <w:right w:type="dxa" w:w="0"/>
        </w:tblCellMar>
      </w:tblPr>
      <w:tblGrid>
        <w:gridCol w:w="3611"/>
        <w:gridCol w:w="3577"/>
        <w:gridCol w:w="2453"/>
      </w:tblGrid>
      <w:tr>
        <w:trPr>
          <w:trHeight w:hRule="atLeast" w:val="1084"/>
        </w:trPr>
        <w:tc>
          <w:tcPr>
            <w:tcW w:type="dxa" w:w="3611"/>
            <w:shd w:fill="auto" w:val="clear"/>
            <w:tcMar>
              <w:left w:type="dxa" w:w="0"/>
              <w:right w:type="dxa" w:w="0"/>
            </w:tcMar>
          </w:tcPr>
          <w:p w14:paraId="1B000000">
            <w:pPr>
              <w:spacing w:after="0" w:line="240" w:lineRule="auto"/>
              <w:ind w:right="27"/>
              <w:rPr>
                <w:rFonts w:ascii="Times New Roman" w:hAnsi="Times New Roman"/>
                <w:color w:themeColor="text1" w:val="000000"/>
                <w:sz w:val="28"/>
              </w:rPr>
            </w:pPr>
            <w:r>
              <w:rPr>
                <w:rFonts w:ascii="Times New Roman" w:hAnsi="Times New Roman"/>
                <w:color w:themeColor="text1" w:val="000000"/>
                <w:sz w:val="28"/>
              </w:rPr>
              <w:t xml:space="preserve">Председатель </w:t>
            </w:r>
          </w:p>
          <w:p w14:paraId="1C000000">
            <w:pPr>
              <w:spacing w:after="0" w:line="240" w:lineRule="auto"/>
              <w:ind w:right="27"/>
              <w:rPr>
                <w:rFonts w:ascii="Times New Roman" w:hAnsi="Times New Roman"/>
                <w:color w:themeColor="text1" w:val="000000"/>
                <w:sz w:val="28"/>
              </w:rPr>
            </w:pPr>
            <w:r>
              <w:rPr>
                <w:rFonts w:ascii="Times New Roman" w:hAnsi="Times New Roman"/>
                <w:color w:themeColor="text1" w:val="000000"/>
                <w:sz w:val="28"/>
              </w:rPr>
              <w:t xml:space="preserve">Правительства </w:t>
            </w:r>
          </w:p>
          <w:p w14:paraId="1D000000">
            <w:pPr>
              <w:spacing w:after="0" w:line="240" w:lineRule="auto"/>
              <w:ind w:right="27"/>
              <w:rPr>
                <w:rFonts w:ascii="Times New Roman" w:hAnsi="Times New Roman"/>
                <w:sz w:val="28"/>
              </w:rPr>
            </w:pPr>
            <w:bookmarkStart w:id="2" w:name="_GoBack"/>
            <w:bookmarkEnd w:id="2"/>
            <w:r>
              <w:rPr>
                <w:rFonts w:ascii="Times New Roman" w:hAnsi="Times New Roman"/>
                <w:color w:themeColor="text1" w:val="000000"/>
                <w:sz w:val="28"/>
              </w:rPr>
              <w:t>Камчатского края</w:t>
            </w:r>
          </w:p>
        </w:tc>
        <w:tc>
          <w:tcPr>
            <w:tcW w:type="dxa" w:w="3577"/>
            <w:shd w:fill="auto" w:val="clear"/>
            <w:tcMar>
              <w:left w:type="dxa" w:w="0"/>
              <w:right w:type="dxa" w:w="0"/>
            </w:tcMar>
          </w:tcPr>
          <w:p w14:paraId="1E000000">
            <w:pPr>
              <w:spacing w:after="0" w:line="240" w:lineRule="auto"/>
              <w:ind w:hanging="3" w:left="3"/>
              <w:rPr>
                <w:rFonts w:ascii="Times New Roman" w:hAnsi="Times New Roman"/>
                <w:color w:val="FFFFFF"/>
                <w:sz w:val="24"/>
              </w:rPr>
            </w:pPr>
            <w:bookmarkStart w:id="3" w:name="SIGNERSTAMP1"/>
            <w:r>
              <w:rPr>
                <w:rFonts w:ascii="Times New Roman" w:hAnsi="Times New Roman"/>
                <w:color w:val="FFFFFF"/>
                <w:sz w:val="24"/>
              </w:rPr>
              <w:t xml:space="preserve">[горизонтальный штамп </w:t>
            </w:r>
            <w:r>
              <w:rPr>
                <w:rFonts w:ascii="Times New Roman" w:hAnsi="Times New Roman"/>
                <w:color w:val="FFFFFF"/>
                <w:sz w:val="24"/>
              </w:rPr>
              <w:t>подписи 1]</w:t>
            </w:r>
            <w:bookmarkEnd w:id="3"/>
          </w:p>
          <w:p w14:paraId="1F000000">
            <w:pPr>
              <w:spacing w:after="0" w:line="240" w:lineRule="auto"/>
              <w:ind w:hanging="142" w:left="142"/>
              <w:rPr>
                <w:rFonts w:ascii="Times New Roman" w:hAnsi="Times New Roman"/>
                <w:sz w:val="24"/>
              </w:rPr>
            </w:pPr>
          </w:p>
        </w:tc>
        <w:tc>
          <w:tcPr>
            <w:tcW w:type="dxa" w:w="2453"/>
            <w:shd w:fill="auto" w:val="clear"/>
            <w:tcMar>
              <w:left w:type="dxa" w:w="0"/>
              <w:right w:type="dxa" w:w="0"/>
            </w:tcMar>
          </w:tcPr>
          <w:p w14:paraId="20000000">
            <w:pPr>
              <w:spacing w:after="0" w:line="240" w:lineRule="auto"/>
              <w:ind w:left="30" w:right="27"/>
              <w:jc w:val="right"/>
              <w:rPr>
                <w:rFonts w:ascii="Times New Roman" w:hAnsi="Times New Roman"/>
                <w:sz w:val="28"/>
              </w:rPr>
            </w:pPr>
          </w:p>
          <w:p w14:paraId="21000000">
            <w:pPr>
              <w:spacing w:after="0" w:line="240" w:lineRule="auto"/>
              <w:ind w:left="30" w:right="27"/>
              <w:jc w:val="right"/>
              <w:rPr>
                <w:rFonts w:ascii="Times New Roman" w:hAnsi="Times New Roman"/>
                <w:sz w:val="28"/>
              </w:rPr>
            </w:pPr>
          </w:p>
          <w:p w14:paraId="22000000">
            <w:pPr>
              <w:spacing w:after="0" w:line="240" w:lineRule="auto"/>
              <w:ind w:left="30" w:right="27"/>
              <w:jc w:val="right"/>
              <w:rPr>
                <w:rFonts w:ascii="Times New Roman" w:hAnsi="Times New Roman"/>
                <w:sz w:val="28"/>
              </w:rPr>
            </w:pPr>
            <w:r>
              <w:rPr>
                <w:rFonts w:ascii="Times New Roman" w:hAnsi="Times New Roman"/>
                <w:sz w:val="28"/>
              </w:rPr>
              <w:t>Ю.С. Морозова</w:t>
            </w:r>
          </w:p>
        </w:tc>
      </w:tr>
    </w:tbl>
    <w:p w14:paraId="23000000">
      <w:pPr>
        <w:spacing w:after="0" w:line="240" w:lineRule="auto"/>
        <w:ind w:firstLine="709"/>
        <w:jc w:val="both"/>
        <w:rPr>
          <w:rFonts w:ascii="Times New Roman" w:hAnsi="Times New Roman"/>
          <w:sz w:val="28"/>
        </w:rPr>
      </w:pPr>
      <w:r>
        <w:br w:type="page"/>
      </w:r>
    </w:p>
    <w:tbl>
      <w:tblPr>
        <w:tblStyle w:val="Style_2"/>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80"/>
        <w:gridCol w:w="480"/>
        <w:gridCol w:w="480"/>
        <w:gridCol w:w="3661"/>
        <w:gridCol w:w="480"/>
        <w:gridCol w:w="1869"/>
        <w:gridCol w:w="486"/>
        <w:gridCol w:w="1701"/>
      </w:tblGrid>
      <w:tr>
        <w:trPr>
          <w:trHeight w:hRule="atLeast" w:val="360"/>
        </w:trPr>
        <w:tc>
          <w:tcPr>
            <w:tcW w:type="dxa" w:w="480"/>
            <w:tcBorders>
              <w:top w:sz="4" w:val="nil"/>
              <w:left w:sz="4" w:val="nil"/>
              <w:bottom w:sz="4" w:val="nil"/>
              <w:right w:sz="4" w:val="nil"/>
            </w:tcBorders>
            <w:tcMar>
              <w:top w:type="dxa" w:w="0"/>
              <w:left w:type="dxa" w:w="108"/>
              <w:bottom w:type="dxa" w:w="0"/>
              <w:right w:type="dxa" w:w="108"/>
            </w:tcMar>
          </w:tcPr>
          <w:p w14:paraId="24000000">
            <w:pPr>
              <w:widowControl w:val="0"/>
              <w:spacing w:after="0" w:line="240" w:lineRule="auto"/>
              <w:ind w:hanging="8079" w:left="8079"/>
              <w:jc w:val="right"/>
              <w:rPr>
                <w:rFonts w:ascii="Times New Roman" w:hAnsi="Times New Roman"/>
                <w:sz w:val="28"/>
              </w:rPr>
            </w:pPr>
          </w:p>
        </w:tc>
        <w:tc>
          <w:tcPr>
            <w:tcW w:type="dxa" w:w="480"/>
            <w:tcBorders>
              <w:top w:sz="4" w:val="nil"/>
              <w:left w:sz="4" w:val="nil"/>
              <w:bottom w:sz="4" w:val="nil"/>
              <w:right w:sz="4" w:val="nil"/>
            </w:tcBorders>
            <w:tcMar>
              <w:top w:type="dxa" w:w="0"/>
              <w:left w:type="dxa" w:w="108"/>
              <w:bottom w:type="dxa" w:w="0"/>
              <w:right w:type="dxa" w:w="108"/>
            </w:tcMar>
          </w:tcPr>
          <w:p w14:paraId="25000000">
            <w:pPr>
              <w:widowControl w:val="0"/>
              <w:spacing w:after="0" w:line="240" w:lineRule="auto"/>
              <w:ind w:hanging="8079" w:left="8079"/>
              <w:jc w:val="right"/>
              <w:rPr>
                <w:rFonts w:ascii="Times New Roman" w:hAnsi="Times New Roman"/>
                <w:sz w:val="28"/>
              </w:rPr>
            </w:pPr>
          </w:p>
        </w:tc>
        <w:tc>
          <w:tcPr>
            <w:tcW w:type="dxa" w:w="480"/>
            <w:tcBorders>
              <w:top w:sz="4" w:val="nil"/>
              <w:left w:sz="4" w:val="nil"/>
              <w:bottom w:sz="4" w:val="nil"/>
              <w:right w:sz="4" w:val="nil"/>
            </w:tcBorders>
            <w:tcMar>
              <w:top w:type="dxa" w:w="0"/>
              <w:left w:type="dxa" w:w="108"/>
              <w:bottom w:type="dxa" w:w="0"/>
              <w:right w:type="dxa" w:w="108"/>
            </w:tcMar>
          </w:tcPr>
          <w:p w14:paraId="26000000">
            <w:pPr>
              <w:widowControl w:val="0"/>
              <w:spacing w:after="0" w:line="240" w:lineRule="auto"/>
              <w:ind w:hanging="8079" w:left="8079"/>
              <w:jc w:val="right"/>
              <w:rPr>
                <w:rFonts w:ascii="Times New Roman" w:hAnsi="Times New Roman"/>
                <w:sz w:val="28"/>
              </w:rPr>
            </w:pPr>
          </w:p>
        </w:tc>
        <w:tc>
          <w:tcPr>
            <w:tcW w:type="dxa" w:w="3661"/>
            <w:tcBorders>
              <w:top w:sz="4" w:val="nil"/>
              <w:left w:sz="4" w:val="nil"/>
              <w:bottom w:sz="4" w:val="nil"/>
              <w:right w:sz="4" w:val="nil"/>
            </w:tcBorders>
            <w:tcMar>
              <w:top w:type="dxa" w:w="0"/>
              <w:left w:type="dxa" w:w="108"/>
              <w:bottom w:type="dxa" w:w="0"/>
              <w:right w:type="dxa" w:w="108"/>
            </w:tcMar>
          </w:tcPr>
          <w:p w14:paraId="27000000">
            <w:pPr>
              <w:widowControl w:val="0"/>
              <w:spacing w:after="0" w:line="240" w:lineRule="auto"/>
              <w:ind w:hanging="8079" w:left="8079"/>
              <w:jc w:val="right"/>
              <w:rPr>
                <w:rFonts w:ascii="Times New Roman" w:hAnsi="Times New Roman"/>
                <w:sz w:val="28"/>
              </w:rPr>
            </w:pPr>
          </w:p>
        </w:tc>
        <w:tc>
          <w:tcPr>
            <w:tcW w:type="dxa" w:w="4536"/>
            <w:gridSpan w:val="4"/>
            <w:tcBorders>
              <w:top w:sz="4" w:val="nil"/>
              <w:left w:sz="4" w:val="nil"/>
              <w:bottom w:sz="4" w:val="nil"/>
              <w:right w:sz="4" w:val="nil"/>
            </w:tcBorders>
            <w:tcMar>
              <w:top w:type="dxa" w:w="0"/>
              <w:left w:type="dxa" w:w="108"/>
              <w:bottom w:type="dxa" w:w="0"/>
              <w:right w:type="dxa" w:w="108"/>
            </w:tcMar>
          </w:tcPr>
          <w:p w14:paraId="28000000">
            <w:pPr>
              <w:widowControl w:val="0"/>
              <w:spacing w:after="0" w:line="240" w:lineRule="auto"/>
              <w:ind w:hanging="8079" w:left="8079"/>
              <w:rPr>
                <w:rFonts w:ascii="Times New Roman" w:hAnsi="Times New Roman"/>
                <w:sz w:val="28"/>
              </w:rPr>
            </w:pPr>
            <w:r>
              <w:rPr>
                <w:rFonts w:ascii="Times New Roman" w:hAnsi="Times New Roman"/>
                <w:sz w:val="28"/>
              </w:rPr>
              <w:t>Приложение к постановлению</w:t>
            </w:r>
          </w:p>
        </w:tc>
      </w:tr>
      <w:tr>
        <w:tc>
          <w:tcPr>
            <w:tcW w:type="dxa" w:w="480"/>
            <w:tcBorders>
              <w:top w:sz="4" w:val="nil"/>
              <w:left w:sz="4" w:val="nil"/>
              <w:bottom w:sz="4" w:val="nil"/>
              <w:right w:sz="4" w:val="nil"/>
            </w:tcBorders>
            <w:tcMar>
              <w:top w:type="dxa" w:w="0"/>
              <w:left w:type="dxa" w:w="108"/>
              <w:bottom w:type="dxa" w:w="0"/>
              <w:right w:type="dxa" w:w="108"/>
            </w:tcMar>
          </w:tcPr>
          <w:p w14:paraId="29000000">
            <w:pPr>
              <w:widowControl w:val="0"/>
              <w:spacing w:after="0" w:line="240" w:lineRule="auto"/>
              <w:ind w:hanging="8079" w:left="8079"/>
              <w:jc w:val="right"/>
              <w:rPr>
                <w:rFonts w:ascii="Times New Roman" w:hAnsi="Times New Roman"/>
                <w:sz w:val="28"/>
              </w:rPr>
            </w:pPr>
          </w:p>
        </w:tc>
        <w:tc>
          <w:tcPr>
            <w:tcW w:type="dxa" w:w="480"/>
            <w:tcBorders>
              <w:top w:sz="4" w:val="nil"/>
              <w:left w:sz="4" w:val="nil"/>
              <w:bottom w:sz="4" w:val="nil"/>
              <w:right w:sz="4" w:val="nil"/>
            </w:tcBorders>
            <w:tcMar>
              <w:top w:type="dxa" w:w="0"/>
              <w:left w:type="dxa" w:w="108"/>
              <w:bottom w:type="dxa" w:w="0"/>
              <w:right w:type="dxa" w:w="108"/>
            </w:tcMar>
          </w:tcPr>
          <w:p w14:paraId="2A000000">
            <w:pPr>
              <w:widowControl w:val="0"/>
              <w:spacing w:after="0" w:line="240" w:lineRule="auto"/>
              <w:ind w:hanging="8079" w:left="8079"/>
              <w:jc w:val="right"/>
              <w:rPr>
                <w:rFonts w:ascii="Times New Roman" w:hAnsi="Times New Roman"/>
                <w:sz w:val="28"/>
              </w:rPr>
            </w:pPr>
          </w:p>
        </w:tc>
        <w:tc>
          <w:tcPr>
            <w:tcW w:type="dxa" w:w="480"/>
            <w:tcBorders>
              <w:top w:sz="4" w:val="nil"/>
              <w:left w:sz="4" w:val="nil"/>
              <w:bottom w:sz="4" w:val="nil"/>
              <w:right w:sz="4" w:val="nil"/>
            </w:tcBorders>
            <w:tcMar>
              <w:top w:type="dxa" w:w="0"/>
              <w:left w:type="dxa" w:w="108"/>
              <w:bottom w:type="dxa" w:w="0"/>
              <w:right w:type="dxa" w:w="108"/>
            </w:tcMar>
          </w:tcPr>
          <w:p w14:paraId="2B000000">
            <w:pPr>
              <w:widowControl w:val="0"/>
              <w:spacing w:after="0" w:line="240" w:lineRule="auto"/>
              <w:ind w:hanging="8079" w:left="8079"/>
              <w:jc w:val="right"/>
              <w:rPr>
                <w:rFonts w:ascii="Times New Roman" w:hAnsi="Times New Roman"/>
                <w:sz w:val="28"/>
              </w:rPr>
            </w:pPr>
          </w:p>
        </w:tc>
        <w:tc>
          <w:tcPr>
            <w:tcW w:type="dxa" w:w="3661"/>
            <w:tcBorders>
              <w:top w:sz="4" w:val="nil"/>
              <w:left w:sz="4" w:val="nil"/>
              <w:bottom w:sz="4" w:val="nil"/>
              <w:right w:sz="4" w:val="nil"/>
            </w:tcBorders>
            <w:tcMar>
              <w:top w:type="dxa" w:w="0"/>
              <w:left w:type="dxa" w:w="108"/>
              <w:bottom w:type="dxa" w:w="0"/>
              <w:right w:type="dxa" w:w="108"/>
            </w:tcMar>
          </w:tcPr>
          <w:p w14:paraId="2C000000">
            <w:pPr>
              <w:widowControl w:val="0"/>
              <w:spacing w:after="0" w:line="240" w:lineRule="auto"/>
              <w:ind w:hanging="8079" w:left="8079"/>
              <w:jc w:val="right"/>
              <w:rPr>
                <w:rFonts w:ascii="Times New Roman" w:hAnsi="Times New Roman"/>
                <w:sz w:val="28"/>
              </w:rPr>
            </w:pPr>
          </w:p>
        </w:tc>
        <w:tc>
          <w:tcPr>
            <w:tcW w:type="dxa" w:w="4536"/>
            <w:gridSpan w:val="4"/>
            <w:tcBorders>
              <w:top w:sz="4" w:val="nil"/>
              <w:left w:sz="4" w:val="nil"/>
              <w:bottom w:sz="4" w:val="nil"/>
              <w:right w:sz="4" w:val="nil"/>
            </w:tcBorders>
            <w:tcMar>
              <w:top w:type="dxa" w:w="0"/>
              <w:left w:type="dxa" w:w="108"/>
              <w:bottom w:type="dxa" w:w="0"/>
              <w:right w:type="dxa" w:w="108"/>
            </w:tcMar>
          </w:tcPr>
          <w:p w14:paraId="2D000000">
            <w:pPr>
              <w:widowControl w:val="0"/>
              <w:spacing w:after="0" w:line="240" w:lineRule="auto"/>
              <w:ind w:hanging="8079" w:left="8079"/>
              <w:rPr>
                <w:rFonts w:ascii="Times New Roman" w:hAnsi="Times New Roman"/>
                <w:sz w:val="28"/>
              </w:rPr>
            </w:pPr>
            <w:r>
              <w:rPr>
                <w:rFonts w:ascii="Times New Roman" w:hAnsi="Times New Roman"/>
                <w:sz w:val="28"/>
              </w:rPr>
              <w:t>Правительства Камчатского края</w:t>
            </w:r>
          </w:p>
        </w:tc>
      </w:tr>
      <w:tr>
        <w:tc>
          <w:tcPr>
            <w:tcW w:type="dxa" w:w="480"/>
            <w:tcBorders>
              <w:top w:sz="4" w:val="nil"/>
              <w:left w:sz="4" w:val="nil"/>
              <w:bottom w:sz="4" w:val="nil"/>
              <w:right w:sz="4" w:val="nil"/>
            </w:tcBorders>
            <w:tcMar>
              <w:top w:type="dxa" w:w="0"/>
              <w:left w:type="dxa" w:w="108"/>
              <w:bottom w:type="dxa" w:w="0"/>
              <w:right w:type="dxa" w:w="108"/>
            </w:tcMar>
          </w:tcPr>
          <w:p w14:paraId="2E000000">
            <w:pPr>
              <w:spacing w:after="0" w:line="240" w:lineRule="auto"/>
              <w:ind w:hanging="8079" w:left="8079"/>
              <w:jc w:val="right"/>
              <w:rPr>
                <w:rFonts w:ascii="Times New Roman" w:hAnsi="Times New Roman"/>
                <w:sz w:val="28"/>
              </w:rPr>
            </w:pPr>
          </w:p>
        </w:tc>
        <w:tc>
          <w:tcPr>
            <w:tcW w:type="dxa" w:w="480"/>
            <w:tcBorders>
              <w:top w:sz="4" w:val="nil"/>
              <w:left w:sz="4" w:val="nil"/>
              <w:bottom w:sz="4" w:val="nil"/>
              <w:right w:sz="4" w:val="nil"/>
            </w:tcBorders>
            <w:tcMar>
              <w:top w:type="dxa" w:w="0"/>
              <w:left w:type="dxa" w:w="108"/>
              <w:bottom w:type="dxa" w:w="0"/>
              <w:right w:type="dxa" w:w="108"/>
            </w:tcMar>
          </w:tcPr>
          <w:p w14:paraId="2F000000">
            <w:pPr>
              <w:spacing w:after="0" w:line="240" w:lineRule="auto"/>
              <w:ind w:hanging="8079" w:left="8079"/>
              <w:jc w:val="right"/>
              <w:rPr>
                <w:rFonts w:ascii="Times New Roman" w:hAnsi="Times New Roman"/>
                <w:sz w:val="28"/>
              </w:rPr>
            </w:pPr>
          </w:p>
        </w:tc>
        <w:tc>
          <w:tcPr>
            <w:tcW w:type="dxa" w:w="480"/>
            <w:tcBorders>
              <w:top w:sz="4" w:val="nil"/>
              <w:left w:sz="4" w:val="nil"/>
              <w:bottom w:sz="4" w:val="nil"/>
              <w:right w:sz="4" w:val="nil"/>
            </w:tcBorders>
            <w:tcMar>
              <w:top w:type="dxa" w:w="0"/>
              <w:left w:type="dxa" w:w="108"/>
              <w:bottom w:type="dxa" w:w="0"/>
              <w:right w:type="dxa" w:w="108"/>
            </w:tcMar>
          </w:tcPr>
          <w:p w14:paraId="30000000">
            <w:pPr>
              <w:spacing w:after="0" w:line="240" w:lineRule="auto"/>
              <w:ind w:hanging="8079" w:left="8079"/>
              <w:jc w:val="right"/>
              <w:rPr>
                <w:rFonts w:ascii="Times New Roman" w:hAnsi="Times New Roman"/>
                <w:sz w:val="28"/>
              </w:rPr>
            </w:pPr>
          </w:p>
        </w:tc>
        <w:tc>
          <w:tcPr>
            <w:tcW w:type="dxa" w:w="3661"/>
            <w:tcBorders>
              <w:top w:sz="4" w:val="nil"/>
              <w:left w:sz="4" w:val="nil"/>
              <w:bottom w:sz="4" w:val="nil"/>
              <w:right w:sz="4" w:val="nil"/>
            </w:tcBorders>
            <w:tcMar>
              <w:top w:type="dxa" w:w="0"/>
              <w:left w:type="dxa" w:w="108"/>
              <w:bottom w:type="dxa" w:w="0"/>
              <w:right w:type="dxa" w:w="108"/>
            </w:tcMar>
          </w:tcPr>
          <w:p w14:paraId="31000000">
            <w:pPr>
              <w:spacing w:after="0" w:line="240" w:lineRule="auto"/>
              <w:ind w:hanging="8079" w:left="8079"/>
              <w:jc w:val="right"/>
              <w:rPr>
                <w:rFonts w:ascii="Times New Roman" w:hAnsi="Times New Roman"/>
                <w:sz w:val="28"/>
              </w:rPr>
            </w:pPr>
          </w:p>
        </w:tc>
        <w:tc>
          <w:tcPr>
            <w:tcW w:type="dxa" w:w="480"/>
            <w:tcBorders>
              <w:top w:sz="4" w:val="nil"/>
              <w:left w:sz="4" w:val="nil"/>
              <w:bottom w:sz="4" w:val="nil"/>
              <w:right w:sz="4" w:val="nil"/>
            </w:tcBorders>
            <w:tcMar>
              <w:top w:type="dxa" w:w="0"/>
              <w:left w:type="dxa" w:w="108"/>
              <w:bottom w:type="dxa" w:w="0"/>
              <w:right w:type="dxa" w:w="108"/>
            </w:tcMar>
          </w:tcPr>
          <w:p w14:paraId="32000000">
            <w:pPr>
              <w:spacing w:after="0" w:line="240" w:lineRule="auto"/>
              <w:ind w:hanging="8079" w:left="8079"/>
              <w:jc w:val="right"/>
              <w:rPr>
                <w:rFonts w:ascii="Times New Roman" w:hAnsi="Times New Roman"/>
                <w:sz w:val="28"/>
              </w:rPr>
            </w:pPr>
            <w:r>
              <w:rPr>
                <w:rFonts w:ascii="Times New Roman" w:hAnsi="Times New Roman"/>
                <w:sz w:val="28"/>
              </w:rPr>
              <w:t>от</w:t>
            </w:r>
          </w:p>
        </w:tc>
        <w:tc>
          <w:tcPr>
            <w:tcW w:type="dxa" w:w="1869"/>
            <w:tcBorders>
              <w:top w:sz="4" w:val="nil"/>
              <w:left w:sz="4" w:val="nil"/>
              <w:bottom w:sz="4" w:val="nil"/>
              <w:right w:sz="4" w:val="nil"/>
            </w:tcBorders>
            <w:tcMar>
              <w:top w:type="dxa" w:w="0"/>
              <w:left w:type="dxa" w:w="108"/>
              <w:bottom w:type="dxa" w:w="0"/>
              <w:right w:type="dxa" w:w="108"/>
            </w:tcMar>
          </w:tcPr>
          <w:p w14:paraId="33000000">
            <w:pPr>
              <w:spacing w:after="0" w:line="240" w:lineRule="auto"/>
              <w:ind w:hanging="8079" w:left="8079"/>
              <w:jc w:val="right"/>
              <w:rPr>
                <w:rFonts w:ascii="Times New Roman" w:hAnsi="Times New Roman"/>
                <w:color w:themeColor="background1" w:val="FFFFFF"/>
                <w:sz w:val="28"/>
              </w:rPr>
            </w:pPr>
            <w:r>
              <w:rPr>
                <w:rFonts w:ascii="Times New Roman" w:hAnsi="Times New Roman"/>
                <w:color w:themeColor="background1" w:val="FFFFFF"/>
                <w:sz w:val="28"/>
              </w:rPr>
              <w:t>[R</w:t>
            </w:r>
            <w:r>
              <w:rPr>
                <w:rFonts w:ascii="Times New Roman" w:hAnsi="Times New Roman"/>
                <w:color w:themeColor="background1" w:val="FFFFFF"/>
                <w:sz w:val="16"/>
              </w:rPr>
              <w:t>EGDATESTAMP]</w:t>
            </w:r>
          </w:p>
        </w:tc>
        <w:tc>
          <w:tcPr>
            <w:tcW w:type="dxa" w:w="486"/>
            <w:tcBorders>
              <w:top w:sz="4" w:val="nil"/>
              <w:left w:sz="4" w:val="nil"/>
              <w:bottom w:sz="4" w:val="nil"/>
              <w:right w:sz="4" w:val="nil"/>
            </w:tcBorders>
            <w:tcMar>
              <w:top w:type="dxa" w:w="0"/>
              <w:left w:type="dxa" w:w="108"/>
              <w:bottom w:type="dxa" w:w="0"/>
              <w:right w:type="dxa" w:w="108"/>
            </w:tcMar>
          </w:tcPr>
          <w:p w14:paraId="34000000">
            <w:pPr>
              <w:spacing w:after="0" w:line="240" w:lineRule="auto"/>
              <w:ind w:hanging="8079" w:left="8079"/>
              <w:jc w:val="right"/>
              <w:rPr>
                <w:rFonts w:ascii="Times New Roman" w:hAnsi="Times New Roman"/>
                <w:sz w:val="28"/>
              </w:rPr>
            </w:pPr>
            <w:r>
              <w:rPr>
                <w:rFonts w:ascii="Times New Roman" w:hAnsi="Times New Roman"/>
                <w:sz w:val="28"/>
              </w:rPr>
              <w:t>№</w:t>
            </w:r>
          </w:p>
        </w:tc>
        <w:tc>
          <w:tcPr>
            <w:tcW w:type="dxa" w:w="1701"/>
            <w:tcBorders>
              <w:top w:sz="4" w:val="nil"/>
              <w:left w:sz="4" w:val="nil"/>
              <w:bottom w:sz="4" w:val="nil"/>
              <w:right w:sz="4" w:val="nil"/>
            </w:tcBorders>
            <w:tcMar>
              <w:top w:type="dxa" w:w="0"/>
              <w:left w:type="dxa" w:w="108"/>
              <w:bottom w:type="dxa" w:w="0"/>
              <w:right w:type="dxa" w:w="108"/>
            </w:tcMar>
          </w:tcPr>
          <w:p w14:paraId="35000000">
            <w:pPr>
              <w:spacing w:after="0" w:line="240" w:lineRule="auto"/>
              <w:ind w:hanging="8079" w:left="8079"/>
              <w:jc w:val="right"/>
              <w:rPr>
                <w:rFonts w:ascii="Times New Roman" w:hAnsi="Times New Roman"/>
                <w:color w:themeColor="background1" w:val="FFFFFF"/>
                <w:sz w:val="28"/>
              </w:rPr>
            </w:pPr>
            <w:r>
              <w:rPr>
                <w:rFonts w:ascii="Times New Roman" w:hAnsi="Times New Roman"/>
                <w:color w:themeColor="background1" w:val="FFFFFF"/>
                <w:sz w:val="28"/>
              </w:rPr>
              <w:t>[R</w:t>
            </w:r>
            <w:r>
              <w:rPr>
                <w:rFonts w:ascii="Times New Roman" w:hAnsi="Times New Roman"/>
                <w:color w:themeColor="background1" w:val="FFFFFF"/>
                <w:sz w:val="16"/>
              </w:rPr>
              <w:t>EGNUMSTAMP]</w:t>
            </w:r>
          </w:p>
        </w:tc>
      </w:tr>
    </w:tbl>
    <w:p w14:paraId="36000000">
      <w:pPr>
        <w:spacing w:after="0" w:line="240" w:lineRule="auto"/>
        <w:ind w:firstLine="709"/>
        <w:jc w:val="both"/>
        <w:rPr>
          <w:rFonts w:ascii="Times New Roman" w:hAnsi="Times New Roman"/>
          <w:sz w:val="28"/>
        </w:rPr>
      </w:pPr>
    </w:p>
    <w:p w14:paraId="37000000">
      <w:pPr>
        <w:spacing w:after="0" w:line="240" w:lineRule="auto"/>
        <w:ind w:firstLine="0" w:right="0"/>
        <w:jc w:val="center"/>
        <w:rPr>
          <w:rFonts w:ascii="Times New Roman" w:hAnsi="Times New Roman"/>
          <w:sz w:val="28"/>
        </w:rPr>
      </w:pPr>
      <w:r>
        <w:rPr>
          <w:rFonts w:ascii="Times New Roman" w:hAnsi="Times New Roman"/>
          <w:sz w:val="28"/>
        </w:rPr>
        <w:t xml:space="preserve">Порядок </w:t>
      </w:r>
    </w:p>
    <w:p w14:paraId="38000000">
      <w:pPr>
        <w:spacing w:after="0" w:line="240" w:lineRule="auto"/>
        <w:ind w:firstLine="0" w:right="0"/>
        <w:jc w:val="center"/>
        <w:rPr>
          <w:rFonts w:ascii="Times New Roman" w:hAnsi="Times New Roman"/>
          <w:sz w:val="28"/>
        </w:rPr>
      </w:pPr>
      <w:r>
        <w:rPr>
          <w:rFonts w:ascii="Times New Roman" w:hAnsi="Times New Roman"/>
          <w:sz w:val="28"/>
        </w:rPr>
        <w:t xml:space="preserve">предоставления субсидии на финансовое обеспечение части затрат, </w:t>
      </w:r>
      <w:r>
        <w:rPr>
          <w:rFonts w:ascii="Times New Roman" w:hAnsi="Times New Roman"/>
          <w:sz w:val="28"/>
        </w:rPr>
        <w:t>связанных с</w:t>
      </w:r>
      <w:r>
        <w:rPr>
          <w:rFonts w:ascii="Times New Roman" w:hAnsi="Times New Roman"/>
          <w:sz w:val="28"/>
        </w:rPr>
        <w:t xml:space="preserve"> технической и (или) технологической модернизацией производства </w:t>
      </w:r>
      <w:r>
        <w:rPr>
          <w:rFonts w:ascii="Times New Roman" w:hAnsi="Times New Roman"/>
          <w:sz w:val="28"/>
        </w:rPr>
        <w:t>предприятий агропромышленного комплекса</w:t>
      </w:r>
      <w:r>
        <w:rPr>
          <w:rFonts w:ascii="Times New Roman" w:hAnsi="Times New Roman"/>
          <w:sz w:val="28"/>
        </w:rPr>
        <w:t>, и проведения отбора получателей субсидии</w:t>
      </w:r>
    </w:p>
    <w:p w14:paraId="39000000">
      <w:pPr>
        <w:spacing w:after="0" w:line="240" w:lineRule="auto"/>
        <w:ind w:firstLine="709" w:right="0"/>
        <w:jc w:val="both"/>
        <w:rPr>
          <w:rFonts w:ascii="Times New Roman" w:hAnsi="Times New Roman"/>
          <w:sz w:val="28"/>
        </w:rPr>
      </w:pPr>
    </w:p>
    <w:p w14:paraId="3A000000">
      <w:pPr>
        <w:spacing w:after="0" w:line="240" w:lineRule="auto"/>
        <w:ind w:firstLine="0" w:right="0"/>
        <w:jc w:val="center"/>
        <w:rPr>
          <w:rFonts w:ascii="Times New Roman" w:hAnsi="Times New Roman"/>
          <w:sz w:val="28"/>
        </w:rPr>
      </w:pPr>
      <w:r>
        <w:rPr>
          <w:rFonts w:ascii="Times New Roman" w:hAnsi="Times New Roman"/>
          <w:sz w:val="28"/>
        </w:rPr>
        <w:t>1. Общие положения</w:t>
      </w:r>
    </w:p>
    <w:p w14:paraId="3B000000">
      <w:pPr>
        <w:spacing w:after="0" w:line="240" w:lineRule="auto"/>
        <w:ind w:firstLine="709" w:right="0"/>
        <w:jc w:val="both"/>
        <w:rPr>
          <w:rFonts w:ascii="Times New Roman" w:hAnsi="Times New Roman"/>
          <w:sz w:val="28"/>
        </w:rPr>
      </w:pPr>
    </w:p>
    <w:p w14:paraId="3C000000">
      <w:pPr>
        <w:spacing w:after="0" w:line="240" w:lineRule="auto"/>
        <w:ind w:firstLine="709" w:right="0"/>
        <w:jc w:val="both"/>
        <w:rPr>
          <w:rFonts w:ascii="Times New Roman" w:hAnsi="Times New Roman"/>
          <w:sz w:val="28"/>
        </w:rPr>
      </w:pPr>
      <w:r>
        <w:rPr>
          <w:rFonts w:ascii="Times New Roman" w:hAnsi="Times New Roman"/>
          <w:sz w:val="28"/>
        </w:rPr>
        <w:t>1. Настоящий Порядок регулирует вопросы предоставления субсидии в целях достижения результата региона</w:t>
      </w:r>
      <w:r>
        <w:rPr>
          <w:rFonts w:ascii="Times New Roman" w:hAnsi="Times New Roman"/>
          <w:sz w:val="28"/>
        </w:rPr>
        <w:t xml:space="preserve">льного проекта </w:t>
      </w:r>
      <w:r>
        <w:rPr>
          <w:rFonts w:ascii="Times New Roman" w:hAnsi="Times New Roman"/>
          <w:sz w:val="28"/>
        </w:rPr>
        <w:t>«</w:t>
      </w:r>
      <w:r>
        <w:rPr>
          <w:rFonts w:ascii="Times New Roman" w:hAnsi="Times New Roman"/>
          <w:sz w:val="28"/>
        </w:rPr>
        <w:t>Создание условий для технического переоснащения агропромышленного комплекса Камчатского края</w:t>
      </w:r>
      <w:r>
        <w:rPr>
          <w:rFonts w:ascii="Times New Roman" w:hAnsi="Times New Roman"/>
          <w:sz w:val="28"/>
        </w:rPr>
        <w:t>»</w:t>
      </w:r>
      <w:r>
        <w:rPr>
          <w:rFonts w:ascii="Times New Roman" w:hAnsi="Times New Roman"/>
          <w:sz w:val="28"/>
        </w:rPr>
        <w:t xml:space="preserve"> (</w:t>
      </w:r>
      <w:r>
        <w:rPr>
          <w:rFonts w:ascii="Times New Roman" w:hAnsi="Times New Roman"/>
          <w:sz w:val="28"/>
        </w:rPr>
        <w:t xml:space="preserve">далее </w:t>
      </w:r>
      <w:r>
        <w:rPr>
          <w:rFonts w:ascii="Times New Roman" w:hAnsi="Times New Roman"/>
          <w:sz w:val="28"/>
        </w:rPr>
        <w:t xml:space="preserve">– </w:t>
      </w:r>
      <w:r>
        <w:rPr>
          <w:rFonts w:ascii="Times New Roman" w:hAnsi="Times New Roman"/>
          <w:sz w:val="28"/>
        </w:rPr>
        <w:t>региональный проек</w:t>
      </w:r>
      <w:r>
        <w:rPr>
          <w:rFonts w:ascii="Times New Roman" w:hAnsi="Times New Roman"/>
          <w:sz w:val="28"/>
        </w:rPr>
        <w:t xml:space="preserve">т) по направлению расходов </w:t>
      </w:r>
      <w:r>
        <w:rPr>
          <w:rFonts w:ascii="Times New Roman" w:hAnsi="Times New Roman"/>
          <w:sz w:val="28"/>
        </w:rPr>
        <w:t>«</w:t>
      </w:r>
      <w:r>
        <w:rPr>
          <w:rFonts w:ascii="Times New Roman" w:hAnsi="Times New Roman"/>
          <w:sz w:val="28"/>
        </w:rPr>
        <w:t>Государственная поддержка предприятий агропромышленного комплекса в целях финансового обеспечения части затрат, связанных с технической и (или) технологической модернизацией производства</w:t>
      </w:r>
      <w:r>
        <w:rPr>
          <w:rFonts w:ascii="Times New Roman" w:hAnsi="Times New Roman"/>
          <w:sz w:val="28"/>
        </w:rPr>
        <w:t xml:space="preserve">» </w:t>
      </w:r>
      <w:r>
        <w:rPr>
          <w:rFonts w:ascii="Times New Roman" w:hAnsi="Times New Roman"/>
          <w:sz w:val="28"/>
        </w:rPr>
        <w:t>государ</w:t>
      </w:r>
      <w:r>
        <w:rPr>
          <w:rFonts w:ascii="Times New Roman" w:hAnsi="Times New Roman"/>
          <w:sz w:val="28"/>
        </w:rPr>
        <w:t xml:space="preserve">ственной программы Камчатского края «Развитие сельского хозяйства и регулирование рынков сельскохозяйственной продукции, сырья и продовольствия Камчатского края», утвержденной постановлением Правительства Камчатского края от 29.12.2023 </w:t>
      </w:r>
      <w:r>
        <w:rPr>
          <w:rFonts w:ascii="Times New Roman" w:hAnsi="Times New Roman"/>
          <w:sz w:val="28"/>
        </w:rPr>
        <w:t xml:space="preserve">№ 715-П (далее </w:t>
      </w:r>
      <w:r>
        <w:rPr>
          <w:rFonts w:ascii="Times New Roman" w:hAnsi="Times New Roman"/>
          <w:sz w:val="28"/>
        </w:rPr>
        <w:t xml:space="preserve">– </w:t>
      </w:r>
      <w:r>
        <w:rPr>
          <w:rFonts w:ascii="Times New Roman" w:hAnsi="Times New Roman"/>
          <w:sz w:val="28"/>
        </w:rPr>
        <w:t>Госпрограмма), и определяет порядок и условия предоставления из краевого бюджета за счет средств краевого бюджета субсидии на финансовое обеспечение части затрат (без учета налога на добавленную стоимость), связанны</w:t>
      </w:r>
      <w:r>
        <w:rPr>
          <w:rFonts w:ascii="Times New Roman" w:hAnsi="Times New Roman"/>
          <w:sz w:val="28"/>
        </w:rPr>
        <w:t>х с</w:t>
      </w:r>
      <w:r>
        <w:rPr>
          <w:rFonts w:ascii="Times New Roman" w:hAnsi="Times New Roman"/>
          <w:sz w:val="28"/>
        </w:rPr>
        <w:t xml:space="preserve"> </w:t>
      </w:r>
      <w:r>
        <w:rPr>
          <w:rFonts w:ascii="Times New Roman" w:hAnsi="Times New Roman"/>
          <w:sz w:val="28"/>
        </w:rPr>
        <w:t xml:space="preserve">технической и (или) технологической модернизацией производства </w:t>
      </w:r>
      <w:r>
        <w:rPr>
          <w:rFonts w:ascii="Times New Roman" w:hAnsi="Times New Roman"/>
          <w:sz w:val="28"/>
        </w:rPr>
        <w:t>предприятий агропромышленного комплекса</w:t>
      </w:r>
      <w:r>
        <w:rPr>
          <w:rFonts w:ascii="Times New Roman" w:hAnsi="Times New Roman"/>
          <w:sz w:val="28"/>
        </w:rPr>
        <w:t xml:space="preserve"> </w:t>
      </w:r>
      <w:r>
        <w:rPr>
          <w:rFonts w:ascii="Times New Roman" w:hAnsi="Times New Roman"/>
          <w:sz w:val="28"/>
        </w:rPr>
        <w:t>(далее также – субс</w:t>
      </w:r>
      <w:r>
        <w:rPr>
          <w:rFonts w:ascii="Times New Roman" w:hAnsi="Times New Roman"/>
          <w:sz w:val="28"/>
        </w:rPr>
        <w:t xml:space="preserve">идия), и порядок проведения отбора получателей субсидии (далее </w:t>
      </w:r>
      <w:r>
        <w:rPr>
          <w:rFonts w:ascii="Times New Roman" w:hAnsi="Times New Roman"/>
          <w:sz w:val="28"/>
        </w:rPr>
        <w:t xml:space="preserve">– </w:t>
      </w:r>
      <w:r>
        <w:rPr>
          <w:rFonts w:ascii="Times New Roman" w:hAnsi="Times New Roman"/>
          <w:sz w:val="28"/>
        </w:rPr>
        <w:t>отбор).</w:t>
      </w:r>
    </w:p>
    <w:p w14:paraId="3D000000">
      <w:pPr>
        <w:spacing w:after="0" w:line="240" w:lineRule="auto"/>
        <w:ind w:firstLine="709" w:right="0"/>
        <w:jc w:val="both"/>
        <w:rPr>
          <w:rFonts w:ascii="Times New Roman" w:hAnsi="Times New Roman"/>
          <w:sz w:val="28"/>
        </w:rPr>
      </w:pPr>
      <w:r>
        <w:rPr>
          <w:rFonts w:ascii="Times New Roman" w:hAnsi="Times New Roman"/>
          <w:sz w:val="28"/>
        </w:rPr>
        <w:t>Для получателей субсидии, использующих право на освобождение от исполнения обязанностей налогоплательщика, связанных с исчислением и уплатой нало</w:t>
      </w:r>
      <w:r>
        <w:rPr>
          <w:rFonts w:ascii="Times New Roman" w:hAnsi="Times New Roman"/>
          <w:sz w:val="28"/>
        </w:rPr>
        <w:t xml:space="preserve">га на добавленную стоимость, и предоставивших сведения, подтверждающие такое право, финансовое обеспечение части затрат, связанных с </w:t>
      </w:r>
      <w:r>
        <w:rPr>
          <w:rFonts w:ascii="Times New Roman" w:hAnsi="Times New Roman"/>
          <w:sz w:val="28"/>
        </w:rPr>
        <w:t xml:space="preserve">технической и (или) технологической модернизацией производства </w:t>
      </w:r>
      <w:r>
        <w:rPr>
          <w:rFonts w:ascii="Times New Roman" w:hAnsi="Times New Roman"/>
          <w:sz w:val="28"/>
        </w:rPr>
        <w:t>предприятий агропромышленного комплекса</w:t>
      </w:r>
      <w:r>
        <w:rPr>
          <w:rFonts w:ascii="Times New Roman" w:hAnsi="Times New Roman"/>
          <w:sz w:val="28"/>
        </w:rPr>
        <w:t>,</w:t>
      </w:r>
      <w:r>
        <w:rPr>
          <w:rFonts w:ascii="Times New Roman" w:hAnsi="Times New Roman"/>
          <w:sz w:val="28"/>
        </w:rPr>
        <w:t xml:space="preserve"> осуществляется исходя из суммы расходов</w:t>
      </w:r>
      <w:r>
        <w:rPr>
          <w:rFonts w:ascii="Times New Roman" w:hAnsi="Times New Roman"/>
          <w:sz w:val="28"/>
        </w:rPr>
        <w:t xml:space="preserve"> на приобрете</w:t>
      </w:r>
      <w:r>
        <w:rPr>
          <w:rFonts w:ascii="Times New Roman" w:hAnsi="Times New Roman"/>
          <w:sz w:val="28"/>
        </w:rPr>
        <w:t>ние товаров (работ, услуг), включ</w:t>
      </w:r>
      <w:r>
        <w:rPr>
          <w:rFonts w:ascii="Times New Roman" w:hAnsi="Times New Roman"/>
          <w:sz w:val="28"/>
        </w:rPr>
        <w:t>а</w:t>
      </w:r>
      <w:r>
        <w:rPr>
          <w:rFonts w:ascii="Times New Roman" w:hAnsi="Times New Roman"/>
          <w:sz w:val="28"/>
        </w:rPr>
        <w:t xml:space="preserve">я </w:t>
      </w:r>
      <w:r>
        <w:rPr>
          <w:rFonts w:ascii="Times New Roman" w:hAnsi="Times New Roman"/>
          <w:sz w:val="28"/>
        </w:rPr>
        <w:t>сумму налога</w:t>
      </w:r>
      <w:r>
        <w:rPr>
          <w:rFonts w:ascii="Times New Roman" w:hAnsi="Times New Roman"/>
          <w:sz w:val="28"/>
        </w:rPr>
        <w:t xml:space="preserve"> на добав</w:t>
      </w:r>
      <w:r>
        <w:rPr>
          <w:rFonts w:ascii="Times New Roman" w:hAnsi="Times New Roman"/>
          <w:sz w:val="28"/>
        </w:rPr>
        <w:t>ленную стоимость.</w:t>
      </w:r>
    </w:p>
    <w:p w14:paraId="3E000000">
      <w:pPr>
        <w:spacing w:after="0" w:line="240" w:lineRule="auto"/>
        <w:ind w:firstLine="709" w:right="0"/>
        <w:jc w:val="both"/>
        <w:rPr>
          <w:rFonts w:ascii="Times New Roman" w:hAnsi="Times New Roman"/>
          <w:sz w:val="28"/>
        </w:rPr>
      </w:pPr>
      <w:r>
        <w:rPr>
          <w:rFonts w:ascii="Times New Roman" w:hAnsi="Times New Roman"/>
          <w:sz w:val="28"/>
        </w:rPr>
        <w:t>2. Министерство сельского хозяйства, пищевой и перерабатывающей промышленности Камчатского края (далее – Министерство) осуществляет функции главного распорядителя бюджетных средств,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w:t>
      </w:r>
    </w:p>
    <w:p w14:paraId="3F000000">
      <w:pPr>
        <w:spacing w:after="0" w:line="240" w:lineRule="auto"/>
        <w:ind w:firstLine="709" w:right="0"/>
        <w:jc w:val="both"/>
        <w:rPr>
          <w:rFonts w:ascii="Times New Roman" w:hAnsi="Times New Roman"/>
          <w:sz w:val="28"/>
        </w:rPr>
      </w:pPr>
      <w:r>
        <w:rPr>
          <w:rFonts w:ascii="Times New Roman" w:hAnsi="Times New Roman"/>
          <w:sz w:val="28"/>
        </w:rPr>
        <w:t>Субс</w:t>
      </w:r>
      <w:r>
        <w:rPr>
          <w:rFonts w:ascii="Times New Roman" w:hAnsi="Times New Roman"/>
          <w:sz w:val="28"/>
        </w:rPr>
        <w:t xml:space="preserve">идия предоставляется в период реализации регионального проекта Госпрограммы в пределах лимитов бюджетных обязательств </w:t>
      </w:r>
      <w:r>
        <w:rPr>
          <w:rFonts w:ascii="Times New Roman" w:hAnsi="Times New Roman"/>
          <w:sz w:val="28"/>
        </w:rPr>
        <w:t>на предоставление субсидии</w:t>
      </w:r>
      <w:r>
        <w:rPr>
          <w:rFonts w:ascii="Times New Roman" w:hAnsi="Times New Roman"/>
          <w:sz w:val="28"/>
        </w:rPr>
        <w:t>,</w:t>
      </w:r>
      <w:r>
        <w:rPr>
          <w:rFonts w:ascii="Times New Roman" w:hAnsi="Times New Roman"/>
          <w:sz w:val="28"/>
        </w:rPr>
        <w:t xml:space="preserve"> доведенных в установленном порядке до Министерства.</w:t>
      </w:r>
    </w:p>
    <w:p w14:paraId="40000000">
      <w:pPr>
        <w:spacing w:after="0" w:line="240" w:lineRule="auto"/>
        <w:ind w:firstLine="709" w:right="0"/>
        <w:jc w:val="both"/>
        <w:rPr>
          <w:rFonts w:ascii="Times New Roman" w:hAnsi="Times New Roman"/>
          <w:sz w:val="28"/>
        </w:rPr>
      </w:pPr>
      <w:r>
        <w:rPr>
          <w:rFonts w:ascii="Times New Roman" w:hAnsi="Times New Roman"/>
          <w:sz w:val="28"/>
        </w:rPr>
        <w:t>3. Способом предоставления субсидии является финансовое обеспечение затрат.</w:t>
      </w:r>
    </w:p>
    <w:p w14:paraId="41000000">
      <w:pPr>
        <w:spacing w:after="0" w:line="240" w:lineRule="auto"/>
        <w:ind w:firstLine="709" w:right="0"/>
        <w:jc w:val="both"/>
        <w:rPr>
          <w:rFonts w:ascii="Times New Roman" w:hAnsi="Times New Roman"/>
          <w:sz w:val="28"/>
        </w:rPr>
      </w:pPr>
      <w:r>
        <w:rPr>
          <w:rFonts w:ascii="Times New Roman" w:hAnsi="Times New Roman"/>
          <w:sz w:val="28"/>
        </w:rPr>
        <w:t xml:space="preserve">4. Информация о субсидии размещается на едином портале бюджетной системы Российской Федерации в информационно-телекоммуникационной сети «Интернет» (далее соответственно – сеть «Интернет», единый портал) </w:t>
      </w:r>
      <w:r>
        <w:rPr>
          <w:rFonts w:ascii="Times New Roman" w:hAnsi="Times New Roman"/>
          <w:sz w:val="28"/>
        </w:rPr>
        <w:t>(в разделе</w:t>
      </w:r>
      <w:r>
        <w:rPr>
          <w:rFonts w:ascii="Times New Roman" w:hAnsi="Times New Roman"/>
          <w:sz w:val="28"/>
        </w:rPr>
        <w:t xml:space="preserve"> единого портала) в порядке, установленном Министерством финансов Российской Федерации</w:t>
      </w:r>
      <w:r>
        <w:rPr>
          <w:rFonts w:ascii="Times New Roman" w:hAnsi="Times New Roman"/>
          <w:sz w:val="28"/>
        </w:rPr>
        <w:t>, в течение 10 рабочих дней со дня, следующего за днем доведения бюджетных ассигнований на предоставление субсидии до главного распорядителя бюджетных средств</w:t>
      </w:r>
      <w:r>
        <w:rPr>
          <w:rFonts w:ascii="Times New Roman" w:hAnsi="Times New Roman"/>
          <w:sz w:val="28"/>
        </w:rPr>
        <w:t>.</w:t>
      </w:r>
    </w:p>
    <w:p w14:paraId="42000000">
      <w:pPr>
        <w:spacing w:after="0" w:line="240" w:lineRule="auto"/>
        <w:ind w:firstLine="709" w:right="0"/>
        <w:jc w:val="center"/>
        <w:rPr>
          <w:rFonts w:ascii="Times New Roman" w:hAnsi="Times New Roman"/>
          <w:sz w:val="28"/>
        </w:rPr>
      </w:pPr>
    </w:p>
    <w:p w14:paraId="43000000">
      <w:pPr>
        <w:spacing w:after="0" w:line="240" w:lineRule="auto"/>
        <w:ind w:firstLine="0" w:right="0"/>
        <w:jc w:val="center"/>
        <w:rPr>
          <w:rFonts w:ascii="Times New Roman" w:hAnsi="Times New Roman"/>
          <w:sz w:val="28"/>
        </w:rPr>
      </w:pPr>
      <w:r>
        <w:rPr>
          <w:rFonts w:ascii="Times New Roman" w:hAnsi="Times New Roman"/>
          <w:sz w:val="28"/>
        </w:rPr>
        <w:t>2. Иные положения</w:t>
      </w:r>
    </w:p>
    <w:p w14:paraId="44000000">
      <w:pPr>
        <w:spacing w:after="0" w:line="240" w:lineRule="auto"/>
        <w:ind w:firstLine="709" w:right="0"/>
        <w:jc w:val="both"/>
        <w:rPr>
          <w:rFonts w:ascii="Times New Roman" w:hAnsi="Times New Roman"/>
          <w:sz w:val="28"/>
          <w:shd w:fill="A555FF" w:val="clear"/>
        </w:rPr>
      </w:pPr>
    </w:p>
    <w:p w14:paraId="45000000">
      <w:pPr>
        <w:pStyle w:val="Style_3"/>
        <w:spacing w:after="0" w:line="240" w:lineRule="auto"/>
        <w:ind w:firstLine="709" w:right="0"/>
        <w:jc w:val="both"/>
        <w:rPr>
          <w:rFonts w:ascii="Times New Roman" w:hAnsi="Times New Roman"/>
          <w:sz w:val="28"/>
        </w:rPr>
      </w:pPr>
      <w:r>
        <w:rPr>
          <w:rFonts w:ascii="Times New Roman" w:hAnsi="Times New Roman"/>
          <w:sz w:val="28"/>
        </w:rPr>
        <w:t>5. С</w:t>
      </w:r>
      <w:r>
        <w:rPr>
          <w:rFonts w:ascii="Times New Roman" w:hAnsi="Times New Roman"/>
          <w:sz w:val="28"/>
        </w:rPr>
        <w:t>убсидия предоставляется на финансовое обеспечение 50 процентов затрат (но не более 2 млн рублей)</w:t>
      </w:r>
      <w:r>
        <w:rPr>
          <w:rFonts w:ascii="Times New Roman" w:hAnsi="Times New Roman"/>
          <w:sz w:val="28"/>
        </w:rPr>
        <w:t xml:space="preserve"> по следующим</w:t>
      </w:r>
      <w:r>
        <w:rPr>
          <w:rFonts w:ascii="Times New Roman" w:hAnsi="Times New Roman"/>
          <w:sz w:val="28"/>
        </w:rPr>
        <w:t xml:space="preserve"> направлениям</w:t>
      </w:r>
      <w:r>
        <w:rPr>
          <w:rFonts w:ascii="Times New Roman" w:hAnsi="Times New Roman"/>
          <w:sz w:val="28"/>
        </w:rPr>
        <w:t>:</w:t>
      </w:r>
    </w:p>
    <w:p w14:paraId="46000000">
      <w:pPr>
        <w:spacing w:after="0" w:line="240" w:lineRule="auto"/>
        <w:ind w:firstLine="709" w:right="0"/>
        <w:jc w:val="both"/>
        <w:rPr>
          <w:rFonts w:ascii="Times New Roman" w:hAnsi="Times New Roman"/>
          <w:sz w:val="28"/>
        </w:rPr>
      </w:pPr>
      <w:r>
        <w:rPr>
          <w:rFonts w:ascii="Times New Roman" w:hAnsi="Times New Roman"/>
          <w:sz w:val="28"/>
        </w:rPr>
        <w:t>1)</w:t>
      </w:r>
      <w:r>
        <w:rPr>
          <w:rFonts w:ascii="Times New Roman" w:hAnsi="Times New Roman"/>
          <w:spacing w:val="0"/>
          <w:sz w:val="28"/>
        </w:rPr>
        <w:t> </w:t>
      </w:r>
      <w:r>
        <w:rPr>
          <w:rFonts w:ascii="Times New Roman" w:hAnsi="Times New Roman"/>
          <w:sz w:val="28"/>
        </w:rPr>
        <w:t xml:space="preserve">приобретение </w:t>
      </w:r>
      <w:r>
        <w:rPr>
          <w:rFonts w:ascii="Times New Roman" w:hAnsi="Times New Roman"/>
          <w:sz w:val="28"/>
        </w:rPr>
        <w:t xml:space="preserve">(включая затраты, связанные с доставкой) </w:t>
      </w:r>
      <w:r>
        <w:rPr>
          <w:rFonts w:ascii="Times New Roman" w:hAnsi="Times New Roman"/>
          <w:sz w:val="28"/>
        </w:rPr>
        <w:t>оборудования</w:t>
      </w:r>
      <w:r>
        <w:rPr>
          <w:rFonts w:ascii="Times New Roman" w:hAnsi="Times New Roman"/>
          <w:sz w:val="28"/>
        </w:rPr>
        <w:t xml:space="preserve"> для </w:t>
      </w:r>
      <w:r>
        <w:rPr>
          <w:rFonts w:ascii="Times New Roman" w:hAnsi="Times New Roman"/>
          <w:sz w:val="28"/>
        </w:rPr>
        <w:t>технологической модернизации производства;</w:t>
      </w:r>
    </w:p>
    <w:p w14:paraId="47000000">
      <w:pPr>
        <w:spacing w:after="0" w:line="240" w:lineRule="auto"/>
        <w:ind w:firstLine="709" w:right="0"/>
        <w:jc w:val="both"/>
        <w:rPr>
          <w:rFonts w:ascii="Times New Roman" w:hAnsi="Times New Roman"/>
          <w:sz w:val="28"/>
        </w:rPr>
      </w:pPr>
      <w:r>
        <w:rPr>
          <w:rFonts w:ascii="Times New Roman" w:hAnsi="Times New Roman"/>
          <w:sz w:val="28"/>
        </w:rPr>
        <w:t>2)</w:t>
      </w:r>
      <w:r>
        <w:rPr>
          <w:rFonts w:ascii="Times New Roman" w:hAnsi="Times New Roman"/>
          <w:spacing w:val="0"/>
          <w:sz w:val="28"/>
        </w:rPr>
        <w:t> </w:t>
      </w:r>
      <w:r>
        <w:rPr>
          <w:rFonts w:ascii="Times New Roman" w:hAnsi="Times New Roman"/>
          <w:sz w:val="28"/>
        </w:rPr>
        <w:t xml:space="preserve">приобретение </w:t>
      </w:r>
      <w:r>
        <w:rPr>
          <w:rFonts w:ascii="Times New Roman" w:hAnsi="Times New Roman"/>
          <w:sz w:val="28"/>
        </w:rPr>
        <w:t>(включая затраты, связанные с доставкой)</w:t>
      </w:r>
      <w:r>
        <w:rPr>
          <w:rFonts w:ascii="Times New Roman" w:hAnsi="Times New Roman"/>
          <w:sz w:val="28"/>
        </w:rPr>
        <w:t xml:space="preserve"> сельскохозяйственной техники, в том числе сельскохозяйственных агрегатов</w:t>
      </w:r>
      <w:r>
        <w:rPr>
          <w:rFonts w:ascii="Times New Roman" w:hAnsi="Times New Roman"/>
          <w:sz w:val="28"/>
        </w:rPr>
        <w:t xml:space="preserve"> для </w:t>
      </w:r>
      <w:r>
        <w:rPr>
          <w:rFonts w:ascii="Times New Roman" w:hAnsi="Times New Roman"/>
          <w:sz w:val="28"/>
        </w:rPr>
        <w:t>т</w:t>
      </w:r>
      <w:r>
        <w:rPr>
          <w:rFonts w:ascii="Times New Roman" w:hAnsi="Times New Roman"/>
          <w:sz w:val="28"/>
        </w:rPr>
        <w:t>ехнической модернизации производства.</w:t>
      </w:r>
    </w:p>
    <w:p w14:paraId="48000000">
      <w:pPr>
        <w:spacing w:after="0" w:line="240" w:lineRule="auto"/>
        <w:ind w:firstLine="709" w:right="0"/>
        <w:jc w:val="both"/>
        <w:rPr>
          <w:rFonts w:ascii="Times New Roman" w:hAnsi="Times New Roman"/>
          <w:sz w:val="28"/>
        </w:rPr>
      </w:pPr>
      <w:r>
        <w:rPr>
          <w:rFonts w:ascii="Times New Roman" w:hAnsi="Times New Roman"/>
          <w:sz w:val="28"/>
        </w:rPr>
        <w:t>6. </w:t>
      </w:r>
      <w:r>
        <w:rPr>
          <w:rFonts w:ascii="Times New Roman" w:hAnsi="Times New Roman"/>
          <w:sz w:val="28"/>
        </w:rPr>
        <w:t>Получатель субсидии (участник отбора) по состоянию на даты рассмотрения заявки для участия в отборе (далее</w:t>
      </w:r>
      <w:r>
        <w:rPr>
          <w:rFonts w:ascii="Times New Roman" w:hAnsi="Times New Roman"/>
          <w:spacing w:val="0"/>
          <w:sz w:val="28"/>
        </w:rPr>
        <w:t> </w:t>
      </w:r>
      <w:r>
        <w:rPr>
          <w:rFonts w:ascii="Times New Roman" w:hAnsi="Times New Roman"/>
          <w:sz w:val="28"/>
        </w:rPr>
        <w:t>–</w:t>
      </w:r>
      <w:r>
        <w:rPr>
          <w:rFonts w:ascii="Times New Roman" w:hAnsi="Times New Roman"/>
          <w:spacing w:val="0"/>
          <w:sz w:val="28"/>
        </w:rPr>
        <w:t> </w:t>
      </w:r>
      <w:r>
        <w:rPr>
          <w:rFonts w:ascii="Times New Roman" w:hAnsi="Times New Roman"/>
          <w:sz w:val="28"/>
        </w:rPr>
        <w:t>заявки) и заключения соглашения</w:t>
      </w:r>
      <w:r>
        <w:rPr>
          <w:rFonts w:ascii="Times New Roman" w:hAnsi="Times New Roman"/>
          <w:sz w:val="28"/>
        </w:rPr>
        <w:t xml:space="preserve"> о предоставлении субсидии (далее</w:t>
      </w:r>
      <w:r>
        <w:rPr>
          <w:rFonts w:ascii="Times New Roman" w:hAnsi="Times New Roman"/>
          <w:spacing w:val="0"/>
          <w:sz w:val="28"/>
        </w:rPr>
        <w:t> </w:t>
      </w:r>
      <w:r>
        <w:rPr>
          <w:rFonts w:ascii="Times New Roman" w:hAnsi="Times New Roman"/>
          <w:sz w:val="28"/>
        </w:rPr>
        <w:t>–</w:t>
      </w:r>
      <w:r>
        <w:rPr>
          <w:rFonts w:ascii="Times New Roman" w:hAnsi="Times New Roman"/>
          <w:spacing w:val="0"/>
          <w:sz w:val="28"/>
        </w:rPr>
        <w:t> </w:t>
      </w:r>
      <w:r>
        <w:rPr>
          <w:rFonts w:ascii="Times New Roman" w:hAnsi="Times New Roman"/>
          <w:sz w:val="28"/>
        </w:rPr>
        <w:t>соглашение)</w:t>
      </w:r>
      <w:r>
        <w:rPr>
          <w:rFonts w:ascii="Times New Roman" w:hAnsi="Times New Roman"/>
          <w:sz w:val="28"/>
        </w:rPr>
        <w:t xml:space="preserve">, должен соответствовать следующим требованиям: </w:t>
      </w:r>
    </w:p>
    <w:p w14:paraId="49000000">
      <w:pPr>
        <w:spacing w:after="0" w:line="240" w:lineRule="auto"/>
        <w:ind w:firstLine="709" w:right="0"/>
        <w:jc w:val="both"/>
        <w:rPr>
          <w:rFonts w:ascii="Times New Roman" w:hAnsi="Times New Roman"/>
          <w:sz w:val="28"/>
        </w:rPr>
      </w:pPr>
      <w:r>
        <w:rPr>
          <w:rFonts w:ascii="Times New Roman" w:hAnsi="Times New Roman"/>
          <w:sz w:val="28"/>
        </w:rPr>
        <w:t xml:space="preserve">1) получатель субсидии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w:t>
      </w:r>
      <w:r>
        <w:rPr>
          <w:rFonts w:ascii="Times New Roman" w:hAnsi="Times New Roman"/>
          <w:sz w:val="28"/>
        </w:rPr>
        <w:t>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w:t>
      </w:r>
      <w:r>
        <w:rPr>
          <w:rFonts w:ascii="Times New Roman" w:hAnsi="Times New Roman"/>
          <w:sz w:val="28"/>
        </w:rPr>
        <w:t xml:space="preserve">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w:t>
      </w:r>
      <w:r>
        <w:rPr>
          <w:rFonts w:ascii="Times New Roman" w:hAnsi="Times New Roman"/>
          <w:sz w:val="28"/>
        </w:rPr>
        <w:t>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w:t>
      </w:r>
      <w:r>
        <w:rPr>
          <w:rFonts w:ascii="Times New Roman" w:hAnsi="Times New Roman"/>
          <w:sz w:val="28"/>
        </w:rPr>
        <w:t>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4A000000">
      <w:pPr>
        <w:spacing w:after="0" w:line="240" w:lineRule="auto"/>
        <w:ind w:firstLine="709" w:right="0"/>
        <w:jc w:val="both"/>
        <w:rPr>
          <w:rFonts w:ascii="Times New Roman" w:hAnsi="Times New Roman"/>
          <w:sz w:val="28"/>
        </w:rPr>
      </w:pPr>
      <w:r>
        <w:rPr>
          <w:rFonts w:ascii="Times New Roman" w:hAnsi="Times New Roman"/>
          <w:sz w:val="28"/>
        </w:rPr>
        <w:t>2) получатель субсидии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4B000000">
      <w:pPr>
        <w:spacing w:after="0" w:line="240" w:lineRule="auto"/>
        <w:ind w:firstLine="709" w:right="0"/>
        <w:jc w:val="both"/>
        <w:rPr>
          <w:rFonts w:ascii="Times New Roman" w:hAnsi="Times New Roman"/>
          <w:sz w:val="28"/>
        </w:rPr>
      </w:pPr>
      <w:r>
        <w:rPr>
          <w:rFonts w:ascii="Times New Roman" w:hAnsi="Times New Roman"/>
          <w:sz w:val="28"/>
        </w:rPr>
        <w:t>3)</w:t>
      </w:r>
      <w:r>
        <w:rPr>
          <w:rFonts w:ascii="Times New Roman" w:hAnsi="Times New Roman"/>
          <w:spacing w:val="0"/>
          <w:sz w:val="28"/>
        </w:rPr>
        <w:t> </w:t>
      </w:r>
      <w:r>
        <w:rPr>
          <w:rFonts w:ascii="Times New Roman" w:hAnsi="Times New Roman"/>
          <w:sz w:val="28"/>
        </w:rPr>
        <w:t>получатель субсидии (участник отбора) не находится в составляемых в рамках реализации полномочий, предусмотренных главой VII Ус</w:t>
      </w:r>
      <w:r>
        <w:rPr>
          <w:rFonts w:ascii="Times New Roman" w:hAnsi="Times New Roman"/>
          <w:sz w:val="28"/>
        </w:rPr>
        <w:t>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4C000000">
      <w:pPr>
        <w:spacing w:after="0" w:line="240" w:lineRule="auto"/>
        <w:ind w:firstLine="709" w:right="0"/>
        <w:jc w:val="both"/>
        <w:rPr>
          <w:rFonts w:ascii="Times New Roman" w:hAnsi="Times New Roman"/>
          <w:sz w:val="28"/>
        </w:rPr>
      </w:pPr>
      <w:r>
        <w:rPr>
          <w:rFonts w:ascii="Times New Roman" w:hAnsi="Times New Roman"/>
          <w:sz w:val="28"/>
        </w:rPr>
        <w:t>4) получатель субсидии (участник отбора) не получает средства из краевого бюджета, на основании иных нормативных правовых актов Камчатского края, на цель, указанную в части 1 настоящего Порядка;</w:t>
      </w:r>
    </w:p>
    <w:p w14:paraId="4D000000">
      <w:pPr>
        <w:spacing w:after="0" w:line="240" w:lineRule="auto"/>
        <w:ind w:firstLine="709" w:right="0"/>
        <w:jc w:val="both"/>
        <w:rPr>
          <w:rFonts w:ascii="Times New Roman" w:hAnsi="Times New Roman"/>
          <w:sz w:val="28"/>
        </w:rPr>
      </w:pPr>
      <w:r>
        <w:rPr>
          <w:rFonts w:ascii="Times New Roman" w:hAnsi="Times New Roman"/>
          <w:sz w:val="28"/>
        </w:rPr>
        <w:t xml:space="preserve">5) получатель субсидии (участник отбора) не является иностранным агентом в соответствии с Федеральным законом от 14.07.2022 № 255-ФЗ </w:t>
      </w:r>
      <w:r>
        <w:rPr>
          <w:rFonts w:ascii="Times New Roman" w:hAnsi="Times New Roman"/>
          <w:sz w:val="28"/>
        </w:rPr>
        <w:t>«О контроле за деятельностью лиц, находящихся под иностранным влиянием»;</w:t>
      </w:r>
    </w:p>
    <w:p w14:paraId="4E000000">
      <w:pPr>
        <w:spacing w:after="0" w:line="240" w:lineRule="auto"/>
        <w:ind w:firstLine="709" w:right="0"/>
        <w:jc w:val="both"/>
        <w:rPr>
          <w:rFonts w:ascii="Times New Roman" w:hAnsi="Times New Roman"/>
          <w:sz w:val="28"/>
        </w:rPr>
      </w:pPr>
      <w:r>
        <w:rPr>
          <w:rFonts w:ascii="Times New Roman" w:hAnsi="Times New Roman"/>
          <w:sz w:val="28"/>
        </w:rPr>
        <w:t>6) у получателя субсидии (участника отбора) отсутствуют просроченная задолженность по возврату в краевой бюджет иных субсидий, бюджетных инвестиций, а также иная просроченная (неурегулированная) задолженность по денежным обязат</w:t>
      </w:r>
      <w:r>
        <w:rPr>
          <w:rFonts w:ascii="Times New Roman" w:hAnsi="Times New Roman"/>
          <w:sz w:val="28"/>
        </w:rPr>
        <w:t>ель</w:t>
      </w:r>
      <w:r>
        <w:rPr>
          <w:rFonts w:ascii="Times New Roman" w:hAnsi="Times New Roman"/>
          <w:sz w:val="28"/>
        </w:rPr>
        <w:t>ствам перед Камчатским краем.</w:t>
      </w:r>
    </w:p>
    <w:p w14:paraId="4F000000">
      <w:pPr>
        <w:spacing w:after="0" w:line="240" w:lineRule="auto"/>
        <w:ind w:firstLine="709" w:right="0"/>
        <w:jc w:val="both"/>
        <w:rPr>
          <w:rFonts w:ascii="Times New Roman" w:hAnsi="Times New Roman"/>
          <w:sz w:val="28"/>
        </w:rPr>
      </w:pPr>
      <w:r>
        <w:rPr>
          <w:rFonts w:ascii="Times New Roman" w:hAnsi="Times New Roman"/>
          <w:sz w:val="28"/>
        </w:rPr>
        <w:t>7.</w:t>
      </w:r>
      <w:r>
        <w:rPr>
          <w:rFonts w:ascii="Times New Roman" w:hAnsi="Times New Roman"/>
          <w:spacing w:val="0"/>
          <w:sz w:val="28"/>
        </w:rPr>
        <w:t> </w:t>
      </w:r>
      <w:r>
        <w:rPr>
          <w:rFonts w:ascii="Times New Roman" w:hAnsi="Times New Roman"/>
          <w:sz w:val="28"/>
        </w:rPr>
        <w:t>Субсидия предоставляется получателю субсидии при следующих условиях:</w:t>
      </w:r>
    </w:p>
    <w:p w14:paraId="50000000">
      <w:pPr>
        <w:spacing w:after="0" w:line="240" w:lineRule="auto"/>
        <w:ind w:firstLine="709" w:right="0"/>
        <w:jc w:val="both"/>
        <w:rPr>
          <w:rFonts w:ascii="Times New Roman" w:hAnsi="Times New Roman"/>
          <w:sz w:val="28"/>
        </w:rPr>
      </w:pPr>
      <w:r>
        <w:rPr>
          <w:rFonts w:ascii="Times New Roman" w:hAnsi="Times New Roman"/>
          <w:sz w:val="28"/>
        </w:rPr>
        <w:t>1)</w:t>
      </w:r>
      <w:r>
        <w:rPr>
          <w:rFonts w:ascii="Times New Roman" w:hAnsi="Times New Roman"/>
          <w:spacing w:val="0"/>
          <w:sz w:val="28"/>
        </w:rPr>
        <w:t> </w:t>
      </w:r>
      <w:r>
        <w:rPr>
          <w:rFonts w:ascii="Times New Roman" w:hAnsi="Times New Roman"/>
          <w:sz w:val="28"/>
        </w:rPr>
        <w:t>обору</w:t>
      </w:r>
      <w:r>
        <w:rPr>
          <w:rFonts w:ascii="Times New Roman" w:hAnsi="Times New Roman"/>
          <w:sz w:val="28"/>
        </w:rPr>
        <w:t>дование</w:t>
      </w:r>
      <w:r>
        <w:rPr>
          <w:rFonts w:ascii="Times New Roman" w:hAnsi="Times New Roman"/>
          <w:sz w:val="28"/>
        </w:rPr>
        <w:t xml:space="preserve"> и (или) </w:t>
      </w:r>
      <w:r>
        <w:rPr>
          <w:rFonts w:ascii="Times New Roman" w:hAnsi="Times New Roman"/>
          <w:sz w:val="28"/>
        </w:rPr>
        <w:t>техника</w:t>
      </w:r>
      <w:r>
        <w:rPr>
          <w:rFonts w:ascii="Times New Roman" w:hAnsi="Times New Roman"/>
          <w:sz w:val="28"/>
        </w:rPr>
        <w:t xml:space="preserve">, указанные в части 5 настоящего Порядка, должны быть </w:t>
      </w:r>
      <w:r>
        <w:rPr>
          <w:rFonts w:ascii="Times New Roman" w:hAnsi="Times New Roman"/>
          <w:sz w:val="28"/>
        </w:rPr>
        <w:t xml:space="preserve">российского производства, </w:t>
      </w:r>
      <w:r>
        <w:rPr>
          <w:rFonts w:ascii="Times New Roman" w:hAnsi="Times New Roman"/>
          <w:sz w:val="28"/>
        </w:rPr>
        <w:t>новыми, не бывшими в эксплуатации;</w:t>
      </w:r>
    </w:p>
    <w:p w14:paraId="51000000">
      <w:pPr>
        <w:spacing w:after="0" w:line="240" w:lineRule="auto"/>
        <w:ind w:firstLine="709" w:right="0"/>
        <w:jc w:val="both"/>
        <w:rPr>
          <w:rFonts w:ascii="Times New Roman" w:hAnsi="Times New Roman"/>
          <w:sz w:val="28"/>
        </w:rPr>
      </w:pPr>
      <w:r>
        <w:rPr>
          <w:rFonts w:ascii="Times New Roman" w:hAnsi="Times New Roman"/>
          <w:sz w:val="28"/>
        </w:rPr>
        <w:t>2)</w:t>
      </w:r>
      <w:r>
        <w:rPr>
          <w:rFonts w:ascii="Times New Roman" w:hAnsi="Times New Roman"/>
          <w:spacing w:val="0"/>
          <w:sz w:val="28"/>
        </w:rPr>
        <w:t> </w:t>
      </w:r>
      <w:r>
        <w:rPr>
          <w:rFonts w:ascii="Times New Roman" w:hAnsi="Times New Roman"/>
          <w:sz w:val="28"/>
        </w:rPr>
        <w:t xml:space="preserve">запрет </w:t>
      </w:r>
      <w:r>
        <w:rPr>
          <w:rFonts w:ascii="Times New Roman" w:hAnsi="Times New Roman"/>
          <w:sz w:val="28"/>
        </w:rPr>
        <w:t xml:space="preserve">на </w:t>
      </w:r>
      <w:r>
        <w:rPr>
          <w:rFonts w:ascii="Times New Roman" w:hAnsi="Times New Roman"/>
          <w:sz w:val="28"/>
        </w:rPr>
        <w:t xml:space="preserve">отчуждение </w:t>
      </w:r>
      <w:r>
        <w:rPr>
          <w:rFonts w:ascii="Times New Roman" w:hAnsi="Times New Roman"/>
          <w:sz w:val="28"/>
        </w:rPr>
        <w:t xml:space="preserve">(передачу в залог) </w:t>
      </w:r>
      <w:r>
        <w:rPr>
          <w:rFonts w:ascii="Times New Roman" w:hAnsi="Times New Roman"/>
          <w:sz w:val="28"/>
        </w:rPr>
        <w:t>обору</w:t>
      </w:r>
      <w:r>
        <w:rPr>
          <w:rFonts w:ascii="Times New Roman" w:hAnsi="Times New Roman"/>
          <w:sz w:val="28"/>
        </w:rPr>
        <w:t>дования</w:t>
      </w:r>
      <w:r>
        <w:rPr>
          <w:rFonts w:ascii="Times New Roman" w:hAnsi="Times New Roman"/>
          <w:sz w:val="28"/>
        </w:rPr>
        <w:t xml:space="preserve"> и (или) </w:t>
      </w:r>
      <w:r>
        <w:rPr>
          <w:rFonts w:ascii="Times New Roman" w:hAnsi="Times New Roman"/>
          <w:sz w:val="28"/>
        </w:rPr>
        <w:t>техники</w:t>
      </w:r>
      <w:r>
        <w:rPr>
          <w:rFonts w:ascii="Times New Roman" w:hAnsi="Times New Roman"/>
          <w:sz w:val="28"/>
        </w:rPr>
        <w:t>, указанных в части 5 настоящего Порядка,</w:t>
      </w:r>
      <w:r>
        <w:rPr>
          <w:rFonts w:ascii="Times New Roman" w:hAnsi="Times New Roman"/>
          <w:sz w:val="28"/>
        </w:rPr>
        <w:t xml:space="preserve"> в течение 5 лет с года, следующего за годом предоставления субсидии.</w:t>
      </w:r>
    </w:p>
    <w:p w14:paraId="52000000">
      <w:pPr>
        <w:spacing w:after="0" w:line="240" w:lineRule="auto"/>
        <w:ind w:firstLine="709" w:right="0"/>
        <w:jc w:val="both"/>
        <w:rPr>
          <w:rFonts w:ascii="Times New Roman" w:hAnsi="Times New Roman"/>
          <w:sz w:val="28"/>
        </w:rPr>
      </w:pPr>
      <w:r>
        <w:rPr>
          <w:rFonts w:ascii="Times New Roman" w:hAnsi="Times New Roman"/>
          <w:sz w:val="28"/>
        </w:rPr>
        <w:t>8. </w:t>
      </w:r>
      <w:r>
        <w:rPr>
          <w:rFonts w:ascii="Times New Roman" w:hAnsi="Times New Roman"/>
          <w:sz w:val="28"/>
        </w:rPr>
        <w:t>Основаниями для отказа получателю субсидии в предоставлении субсидии являются:</w:t>
      </w:r>
    </w:p>
    <w:p w14:paraId="53000000">
      <w:pPr>
        <w:spacing w:after="0" w:line="240" w:lineRule="auto"/>
        <w:ind w:firstLine="709" w:right="0"/>
        <w:jc w:val="both"/>
        <w:rPr>
          <w:rFonts w:ascii="Times New Roman" w:hAnsi="Times New Roman"/>
          <w:sz w:val="28"/>
        </w:rPr>
      </w:pPr>
      <w:r>
        <w:rPr>
          <w:rFonts w:ascii="Times New Roman" w:hAnsi="Times New Roman"/>
          <w:sz w:val="28"/>
        </w:rPr>
        <w:t>1)</w:t>
      </w:r>
      <w:r>
        <w:rPr>
          <w:rFonts w:ascii="Times New Roman" w:hAnsi="Times New Roman"/>
          <w:spacing w:val="0"/>
          <w:sz w:val="28"/>
        </w:rPr>
        <w:t> </w:t>
      </w:r>
      <w:r>
        <w:rPr>
          <w:rFonts w:ascii="Times New Roman" w:hAnsi="Times New Roman"/>
          <w:sz w:val="28"/>
        </w:rPr>
        <w:t xml:space="preserve">несоответствие представленных получателем субсидии документов требованиям, установленным </w:t>
      </w:r>
      <w:r>
        <w:rPr>
          <w:rFonts w:ascii="Times New Roman" w:hAnsi="Times New Roman"/>
          <w:sz w:val="28"/>
        </w:rPr>
        <w:t>час</w:t>
      </w:r>
      <w:r>
        <w:rPr>
          <w:rFonts w:ascii="Times New Roman" w:hAnsi="Times New Roman"/>
          <w:sz w:val="28"/>
        </w:rPr>
        <w:t>тями</w:t>
      </w:r>
      <w:r>
        <w:rPr>
          <w:rFonts w:ascii="Times New Roman" w:hAnsi="Times New Roman"/>
          <w:sz w:val="28"/>
        </w:rPr>
        <w:t xml:space="preserve"> 43, 45</w:t>
      </w:r>
      <w:r>
        <w:rPr>
          <w:rFonts w:ascii="Times New Roman" w:hAnsi="Times New Roman"/>
          <w:sz w:val="28"/>
        </w:rPr>
        <w:t xml:space="preserve"> настоя</w:t>
      </w:r>
      <w:r>
        <w:rPr>
          <w:rFonts w:ascii="Times New Roman" w:hAnsi="Times New Roman"/>
          <w:sz w:val="28"/>
        </w:rPr>
        <w:t>щ</w:t>
      </w:r>
      <w:r>
        <w:rPr>
          <w:rFonts w:ascii="Times New Roman" w:hAnsi="Times New Roman"/>
          <w:sz w:val="28"/>
        </w:rPr>
        <w:t>его Порядка</w:t>
      </w:r>
      <w:r>
        <w:rPr>
          <w:rFonts w:ascii="Times New Roman" w:hAnsi="Times New Roman"/>
          <w:sz w:val="28"/>
        </w:rPr>
        <w:t xml:space="preserve">, или непредставление (представление </w:t>
      </w:r>
      <w:r>
        <w:rPr>
          <w:rFonts w:ascii="Times New Roman" w:hAnsi="Times New Roman"/>
          <w:sz w:val="28"/>
        </w:rPr>
        <w:t>не в полном объеме) указанных документов;</w:t>
      </w:r>
    </w:p>
    <w:p w14:paraId="54000000">
      <w:pPr>
        <w:spacing w:after="0" w:line="240" w:lineRule="auto"/>
        <w:ind w:firstLine="709" w:right="0"/>
        <w:jc w:val="both"/>
        <w:rPr>
          <w:rFonts w:ascii="Times New Roman" w:hAnsi="Times New Roman"/>
          <w:sz w:val="28"/>
        </w:rPr>
      </w:pPr>
      <w:r>
        <w:rPr>
          <w:rFonts w:ascii="Times New Roman" w:hAnsi="Times New Roman"/>
          <w:sz w:val="28"/>
        </w:rPr>
        <w:t>2)</w:t>
      </w:r>
      <w:r>
        <w:rPr>
          <w:rFonts w:ascii="Times New Roman" w:hAnsi="Times New Roman"/>
          <w:spacing w:val="0"/>
          <w:sz w:val="28"/>
        </w:rPr>
        <w:t> </w:t>
      </w:r>
      <w:r>
        <w:rPr>
          <w:rFonts w:ascii="Times New Roman" w:hAnsi="Times New Roman"/>
          <w:sz w:val="28"/>
        </w:rPr>
        <w:t>установление факта недостоверности представленной получателем субсидии информации;</w:t>
      </w:r>
    </w:p>
    <w:p w14:paraId="55000000">
      <w:pPr>
        <w:pStyle w:val="Style_3"/>
        <w:spacing w:after="0" w:line="240" w:lineRule="auto"/>
        <w:ind w:firstLine="709" w:right="0"/>
        <w:jc w:val="both"/>
        <w:rPr>
          <w:rFonts w:ascii="Times New Roman" w:hAnsi="Times New Roman"/>
          <w:sz w:val="28"/>
        </w:rPr>
      </w:pPr>
      <w:r>
        <w:rPr>
          <w:rFonts w:ascii="Times New Roman" w:hAnsi="Times New Roman"/>
          <w:sz w:val="28"/>
        </w:rPr>
        <w:t>3) </w:t>
      </w:r>
      <w:r>
        <w:rPr>
          <w:rFonts w:ascii="Times New Roman" w:hAnsi="Times New Roman"/>
          <w:sz w:val="28"/>
        </w:rPr>
        <w:t>неподписание</w:t>
      </w:r>
      <w:r>
        <w:rPr>
          <w:rFonts w:ascii="Times New Roman" w:hAnsi="Times New Roman"/>
          <w:sz w:val="28"/>
        </w:rPr>
        <w:t xml:space="preserve"> победителем отбора усиленной </w:t>
      </w:r>
      <w:r>
        <w:rPr>
          <w:rFonts w:ascii="Times New Roman" w:hAnsi="Times New Roman"/>
          <w:sz w:val="28"/>
        </w:rPr>
        <w:fldChar w:fldCharType="begin"/>
      </w:r>
      <w:r>
        <w:rPr>
          <w:rFonts w:ascii="Times New Roman" w:hAnsi="Times New Roman"/>
          <w:sz w:val="28"/>
        </w:rPr>
        <w:instrText>HYPERLINK "https://internet.garant.ru/document/redirect/12184522/54" \o "https://internet.garant.ru/document/redirect/12184522/54"</w:instrText>
      </w:r>
      <w:r>
        <w:rPr>
          <w:rFonts w:ascii="Times New Roman" w:hAnsi="Times New Roman"/>
          <w:sz w:val="28"/>
        </w:rPr>
        <w:fldChar w:fldCharType="separate"/>
      </w:r>
      <w:r>
        <w:rPr>
          <w:rFonts w:ascii="Times New Roman" w:hAnsi="Times New Roman"/>
          <w:sz w:val="28"/>
        </w:rPr>
        <w:t>квалифицированной электронной подписью</w:t>
      </w:r>
      <w:r>
        <w:rPr>
          <w:rFonts w:ascii="Times New Roman" w:hAnsi="Times New Roman"/>
          <w:sz w:val="28"/>
        </w:rPr>
        <w:fldChar w:fldCharType="end"/>
      </w:r>
      <w:r>
        <w:rPr>
          <w:rFonts w:ascii="Times New Roman" w:hAnsi="Times New Roman"/>
          <w:sz w:val="28"/>
        </w:rPr>
        <w:t xml:space="preserve"> проекта</w:t>
      </w:r>
      <w:r>
        <w:rPr>
          <w:rFonts w:ascii="Times New Roman" w:hAnsi="Times New Roman"/>
          <w:sz w:val="28"/>
        </w:rPr>
        <w:t xml:space="preserve"> соглашения в государственной интегрированной информационной системе управления общественными финансами «Электронный бюджет»</w:t>
      </w:r>
      <w:r>
        <w:rPr>
          <w:rFonts w:ascii="Times New Roman" w:hAnsi="Times New Roman"/>
          <w:sz w:val="28"/>
        </w:rPr>
        <w:t xml:space="preserve"> </w:t>
      </w:r>
      <w:r>
        <w:rPr>
          <w:rFonts w:ascii="Times New Roman" w:hAnsi="Times New Roman"/>
          <w:sz w:val="28"/>
        </w:rPr>
        <w:t xml:space="preserve">(далее </w:t>
      </w:r>
      <w:r>
        <w:rPr>
          <w:rFonts w:ascii="Times New Roman" w:hAnsi="Times New Roman"/>
          <w:sz w:val="28"/>
        </w:rPr>
        <w:t xml:space="preserve">– </w:t>
      </w:r>
      <w:r>
        <w:rPr>
          <w:rFonts w:ascii="Times New Roman" w:hAnsi="Times New Roman"/>
          <w:sz w:val="28"/>
        </w:rPr>
        <w:t>система «Электронный бюджет») в срок, предусмотренн</w:t>
      </w:r>
      <w:r>
        <w:rPr>
          <w:rFonts w:ascii="Times New Roman" w:hAnsi="Times New Roman"/>
          <w:sz w:val="28"/>
        </w:rPr>
        <w:t xml:space="preserve">ый </w:t>
      </w:r>
      <w:r>
        <w:rPr>
          <w:rFonts w:ascii="Times New Roman" w:hAnsi="Times New Roman"/>
          <w:sz w:val="28"/>
        </w:rPr>
        <w:t>п</w:t>
      </w:r>
      <w:r>
        <w:rPr>
          <w:rFonts w:ascii="Times New Roman" w:hAnsi="Times New Roman"/>
          <w:sz w:val="28"/>
        </w:rPr>
        <w:t xml:space="preserve">унктом </w:t>
      </w:r>
      <w:r>
        <w:rPr>
          <w:rFonts w:ascii="Times New Roman" w:hAnsi="Times New Roman"/>
          <w:sz w:val="28"/>
        </w:rPr>
        <w:t>2 части 1</w:t>
      </w:r>
      <w:r>
        <w:rPr>
          <w:rFonts w:ascii="Times New Roman" w:hAnsi="Times New Roman"/>
          <w:sz w:val="28"/>
        </w:rPr>
        <w:t>2 на</w:t>
      </w:r>
      <w:r>
        <w:rPr>
          <w:rFonts w:ascii="Times New Roman" w:hAnsi="Times New Roman"/>
          <w:sz w:val="28"/>
        </w:rPr>
        <w:t>ст</w:t>
      </w:r>
      <w:r>
        <w:rPr>
          <w:rFonts w:ascii="Times New Roman" w:hAnsi="Times New Roman"/>
          <w:sz w:val="28"/>
        </w:rPr>
        <w:t>оящего Порядка.</w:t>
      </w:r>
    </w:p>
    <w:p w14:paraId="56000000">
      <w:pPr>
        <w:pStyle w:val="Style_3"/>
        <w:spacing w:after="0" w:line="240" w:lineRule="auto"/>
        <w:ind w:firstLine="709" w:right="0"/>
        <w:jc w:val="both"/>
        <w:rPr>
          <w:rFonts w:ascii="Times New Roman" w:hAnsi="Times New Roman"/>
          <w:sz w:val="28"/>
        </w:rPr>
      </w:pPr>
      <w:r>
        <w:rPr>
          <w:rFonts w:ascii="Times New Roman" w:hAnsi="Times New Roman"/>
          <w:sz w:val="28"/>
        </w:rPr>
        <w:t>9.</w:t>
      </w:r>
      <w:r>
        <w:rPr>
          <w:rFonts w:ascii="Times New Roman" w:hAnsi="Times New Roman"/>
          <w:spacing w:val="0"/>
          <w:sz w:val="28"/>
        </w:rPr>
        <w:t> </w:t>
      </w:r>
      <w:r>
        <w:rPr>
          <w:rFonts w:ascii="Times New Roman" w:hAnsi="Times New Roman"/>
          <w:sz w:val="28"/>
        </w:rPr>
        <w:t>Расчет размера субсидии осуществляется по следующей формуле:</w:t>
      </w:r>
    </w:p>
    <w:p w14:paraId="57000000">
      <w:pPr>
        <w:pStyle w:val="Style_3"/>
        <w:spacing w:after="0" w:line="240" w:lineRule="auto"/>
        <w:ind w:firstLine="709" w:right="0"/>
        <w:jc w:val="both"/>
        <w:rPr>
          <w:rFonts w:ascii="Times New Roman" w:hAnsi="Times New Roman"/>
          <w:sz w:val="28"/>
        </w:rPr>
      </w:pPr>
    </w:p>
    <w:p w14:paraId="58000000">
      <w:pPr>
        <w:pStyle w:val="Style_3"/>
        <w:spacing w:after="0" w:line="240" w:lineRule="auto"/>
        <w:ind w:firstLine="0" w:right="0"/>
        <w:jc w:val="center"/>
        <w:rPr>
          <w:rFonts w:ascii="Times New Roman" w:hAnsi="Times New Roman"/>
          <w:sz w:val="28"/>
        </w:rPr>
      </w:pPr>
      <w:r>
        <w:rPr>
          <w:rFonts w:ascii="Times New Roman" w:hAnsi="Times New Roman"/>
          <w:sz w:val="28"/>
        </w:rPr>
        <w:t>С</w:t>
      </w:r>
      <w:r>
        <w:rPr>
          <w:rFonts w:ascii="Times New Roman" w:hAnsi="Times New Roman"/>
          <w:sz w:val="28"/>
          <w:vertAlign w:val="subscript"/>
        </w:rPr>
        <w:t>i</w:t>
      </w:r>
      <w:r>
        <w:rPr>
          <w:rFonts w:ascii="Times New Roman" w:hAnsi="Times New Roman"/>
          <w:spacing w:val="0"/>
          <w:sz w:val="28"/>
        </w:rPr>
        <w:t> </w:t>
      </w:r>
      <w:r>
        <w:rPr>
          <w:rFonts w:ascii="Times New Roman" w:hAnsi="Times New Roman"/>
          <w:sz w:val="28"/>
        </w:rPr>
        <w:t>=</w:t>
      </w:r>
      <w:r>
        <w:rPr>
          <w:rFonts w:ascii="Times New Roman" w:hAnsi="Times New Roman"/>
          <w:spacing w:val="0"/>
          <w:sz w:val="28"/>
        </w:rPr>
        <w:t> </w:t>
      </w:r>
      <w:r>
        <w:rPr>
          <w:rFonts w:ascii="Times New Roman" w:hAnsi="Times New Roman"/>
          <w:sz w:val="28"/>
        </w:rPr>
        <w:t>V</w:t>
      </w:r>
      <w:r>
        <w:rPr>
          <w:rFonts w:ascii="Times New Roman" w:hAnsi="Times New Roman"/>
          <w:sz w:val="28"/>
          <w:vertAlign w:val="subscript"/>
        </w:rPr>
        <w:t>i</w:t>
      </w:r>
      <w:r>
        <w:rPr>
          <w:rFonts w:ascii="Times New Roman" w:hAnsi="Times New Roman"/>
          <w:sz w:val="28"/>
        </w:rPr>
        <w:t xml:space="preserve"> х 50/100, где:</w:t>
      </w:r>
    </w:p>
    <w:p w14:paraId="59000000">
      <w:pPr>
        <w:pStyle w:val="Style_3"/>
        <w:spacing w:after="0" w:line="240" w:lineRule="auto"/>
        <w:ind w:firstLine="709" w:right="0"/>
        <w:jc w:val="both"/>
        <w:rPr>
          <w:rFonts w:ascii="Times New Roman" w:hAnsi="Times New Roman"/>
          <w:sz w:val="28"/>
        </w:rPr>
      </w:pPr>
    </w:p>
    <w:p w14:paraId="5A000000">
      <w:pPr>
        <w:pStyle w:val="Style_3"/>
        <w:spacing w:after="0" w:line="240" w:lineRule="auto"/>
        <w:ind w:firstLine="709" w:right="0"/>
        <w:jc w:val="both"/>
        <w:rPr>
          <w:rFonts w:ascii="Times New Roman" w:hAnsi="Times New Roman"/>
          <w:sz w:val="28"/>
        </w:rPr>
      </w:pPr>
      <w:r>
        <w:rPr>
          <w:rFonts w:ascii="Times New Roman" w:hAnsi="Times New Roman"/>
          <w:sz w:val="28"/>
        </w:rPr>
        <w:t>С</w:t>
      </w:r>
      <w:r>
        <w:rPr>
          <w:rFonts w:ascii="Times New Roman" w:hAnsi="Times New Roman"/>
          <w:sz w:val="28"/>
          <w:vertAlign w:val="subscript"/>
        </w:rPr>
        <w:t>i</w:t>
      </w:r>
      <w:r>
        <w:rPr>
          <w:rFonts w:ascii="Times New Roman" w:hAnsi="Times New Roman"/>
          <w:sz w:val="28"/>
        </w:rPr>
        <w:t xml:space="preserve"> </w:t>
      </w:r>
      <w:r>
        <w:rPr>
          <w:rFonts w:ascii="Times New Roman" w:hAnsi="Times New Roman"/>
          <w:spacing w:val="0"/>
          <w:sz w:val="28"/>
        </w:rPr>
        <w:t>–</w:t>
      </w:r>
      <w:r>
        <w:rPr>
          <w:rFonts w:ascii="Times New Roman" w:hAnsi="Times New Roman"/>
          <w:sz w:val="28"/>
        </w:rPr>
        <w:t xml:space="preserve"> размер субсидии, предоставляемой i-му получателю субсидии в текущем финансовом году на финансовое обеспечение </w:t>
      </w:r>
      <w:r>
        <w:rPr>
          <w:rFonts w:ascii="Times New Roman" w:hAnsi="Times New Roman"/>
          <w:sz w:val="28"/>
        </w:rPr>
        <w:t>части затрат (без учета налога на добавленную стоимость), связанны</w:t>
      </w:r>
      <w:r>
        <w:rPr>
          <w:rFonts w:ascii="Times New Roman" w:hAnsi="Times New Roman"/>
          <w:sz w:val="28"/>
        </w:rPr>
        <w:t>х с</w:t>
      </w:r>
      <w:r>
        <w:rPr>
          <w:rFonts w:ascii="Times New Roman" w:hAnsi="Times New Roman"/>
          <w:sz w:val="28"/>
        </w:rPr>
        <w:t xml:space="preserve"> </w:t>
      </w:r>
      <w:r>
        <w:rPr>
          <w:rFonts w:ascii="Times New Roman" w:hAnsi="Times New Roman"/>
          <w:sz w:val="28"/>
        </w:rPr>
        <w:t xml:space="preserve">технической и (или) технологической модернизацией производства </w:t>
      </w:r>
      <w:r>
        <w:rPr>
          <w:rFonts w:ascii="Times New Roman" w:hAnsi="Times New Roman"/>
          <w:sz w:val="28"/>
        </w:rPr>
        <w:t>предприятий агропромышленного комплекса</w:t>
      </w:r>
      <w:r>
        <w:rPr>
          <w:rFonts w:ascii="Times New Roman" w:hAnsi="Times New Roman"/>
          <w:sz w:val="28"/>
        </w:rPr>
        <w:t xml:space="preserve"> по направлениям затрат, указанным в части 5 настоящего Порядка, рублей, но не более 2 млн рублей на одного получателя субсидии. </w:t>
      </w:r>
      <w:r>
        <w:rPr>
          <w:rFonts w:ascii="Times New Roman" w:hAnsi="Times New Roman"/>
          <w:sz w:val="28"/>
        </w:rPr>
        <w:t xml:space="preserve">Для расчета размера субсидии принимаются </w:t>
      </w:r>
      <w:r>
        <w:rPr>
          <w:rFonts w:ascii="Times New Roman" w:hAnsi="Times New Roman"/>
          <w:sz w:val="28"/>
        </w:rPr>
        <w:t xml:space="preserve">значения в полных рублях, суммы менее 50 копеек отбрасываются, а 50 копеек и более </w:t>
      </w:r>
      <w:r>
        <w:rPr>
          <w:rFonts w:ascii="Times New Roman" w:hAnsi="Times New Roman"/>
          <w:sz w:val="28"/>
        </w:rPr>
        <w:t>округляются до полного рубля</w:t>
      </w:r>
      <w:r>
        <w:rPr>
          <w:rFonts w:ascii="Times New Roman" w:hAnsi="Times New Roman"/>
          <w:sz w:val="28"/>
        </w:rPr>
        <w:t>;</w:t>
      </w:r>
    </w:p>
    <w:p w14:paraId="5B000000">
      <w:pPr>
        <w:pStyle w:val="Style_3"/>
        <w:spacing w:after="0" w:line="240" w:lineRule="auto"/>
        <w:ind w:firstLine="709" w:right="0"/>
        <w:jc w:val="both"/>
        <w:rPr>
          <w:rFonts w:ascii="Times New Roman" w:hAnsi="Times New Roman"/>
          <w:sz w:val="28"/>
        </w:rPr>
      </w:pPr>
      <w:r>
        <w:rPr>
          <w:rFonts w:ascii="Times New Roman" w:hAnsi="Times New Roman"/>
          <w:sz w:val="28"/>
        </w:rPr>
        <w:t>V</w:t>
      </w:r>
      <w:r>
        <w:rPr>
          <w:rFonts w:ascii="Times New Roman" w:hAnsi="Times New Roman"/>
          <w:sz w:val="28"/>
          <w:vertAlign w:val="subscript"/>
        </w:rPr>
        <w:t>i</w:t>
      </w:r>
      <w:r>
        <w:rPr>
          <w:rFonts w:ascii="Times New Roman" w:hAnsi="Times New Roman"/>
          <w:sz w:val="28"/>
        </w:rPr>
        <w:t xml:space="preserve"> – общий планируемый объем затрат получателя субсидии, связанных с </w:t>
      </w:r>
      <w:r>
        <w:rPr>
          <w:rFonts w:ascii="Times New Roman" w:hAnsi="Times New Roman"/>
          <w:sz w:val="28"/>
        </w:rPr>
        <w:t xml:space="preserve">технической и (или) технологической модернизацией производства </w:t>
      </w:r>
      <w:r>
        <w:rPr>
          <w:rFonts w:ascii="Times New Roman" w:hAnsi="Times New Roman"/>
          <w:sz w:val="28"/>
        </w:rPr>
        <w:t>предприятий агропромышленного комплекса</w:t>
      </w:r>
      <w:r>
        <w:rPr>
          <w:rFonts w:ascii="Times New Roman" w:hAnsi="Times New Roman"/>
          <w:sz w:val="28"/>
        </w:rPr>
        <w:t xml:space="preserve"> по направлениям затрат, указанным в части 5 настоящего Порядка</w:t>
      </w:r>
      <w:r>
        <w:rPr>
          <w:rFonts w:ascii="Times New Roman" w:hAnsi="Times New Roman"/>
          <w:sz w:val="28"/>
        </w:rPr>
        <w:t>, рублей.</w:t>
      </w:r>
    </w:p>
    <w:p w14:paraId="5C000000">
      <w:pPr>
        <w:pStyle w:val="Style_3"/>
        <w:spacing w:after="0" w:line="240" w:lineRule="auto"/>
        <w:ind w:firstLine="709" w:right="0"/>
        <w:jc w:val="both"/>
        <w:rPr>
          <w:rFonts w:ascii="Times New Roman" w:hAnsi="Times New Roman"/>
          <w:sz w:val="28"/>
        </w:rPr>
      </w:pPr>
      <w:r>
        <w:rPr>
          <w:rFonts w:ascii="Times New Roman" w:hAnsi="Times New Roman"/>
          <w:sz w:val="28"/>
        </w:rPr>
        <w:t>10.</w:t>
      </w:r>
      <w:r>
        <w:rPr>
          <w:rFonts w:ascii="Times New Roman" w:hAnsi="Times New Roman"/>
          <w:spacing w:val="0"/>
          <w:sz w:val="28"/>
        </w:rPr>
        <w:t> </w:t>
      </w:r>
      <w:r>
        <w:rPr>
          <w:rFonts w:ascii="Times New Roman" w:hAnsi="Times New Roman"/>
          <w:sz w:val="28"/>
        </w:rPr>
        <w:t xml:space="preserve">Обязательными условиями предоставления субсидии являются: </w:t>
      </w:r>
    </w:p>
    <w:p w14:paraId="5D000000">
      <w:pPr>
        <w:pStyle w:val="Style_3"/>
        <w:spacing w:after="0" w:line="240" w:lineRule="auto"/>
        <w:ind w:firstLine="709" w:right="0"/>
        <w:jc w:val="both"/>
        <w:rPr>
          <w:rFonts w:ascii="Times New Roman" w:hAnsi="Times New Roman"/>
          <w:sz w:val="28"/>
        </w:rPr>
      </w:pPr>
      <w:r>
        <w:rPr>
          <w:rFonts w:ascii="Times New Roman" w:hAnsi="Times New Roman"/>
          <w:sz w:val="28"/>
        </w:rPr>
        <w:t>1) включаемые в соглашения:</w:t>
      </w:r>
    </w:p>
    <w:p w14:paraId="5E000000">
      <w:pPr>
        <w:pStyle w:val="Style_3"/>
        <w:spacing w:after="0" w:line="240" w:lineRule="auto"/>
        <w:ind w:firstLine="709" w:right="0"/>
        <w:jc w:val="both"/>
        <w:rPr>
          <w:rFonts w:ascii="Times New Roman" w:hAnsi="Times New Roman"/>
          <w:sz w:val="28"/>
        </w:rPr>
      </w:pPr>
      <w:r>
        <w:rPr>
          <w:rFonts w:ascii="Times New Roman" w:hAnsi="Times New Roman"/>
          <w:sz w:val="28"/>
        </w:rPr>
        <w:t>а</w:t>
      </w:r>
      <w:r>
        <w:rPr>
          <w:rFonts w:ascii="Times New Roman" w:hAnsi="Times New Roman"/>
          <w:sz w:val="28"/>
        </w:rPr>
        <w:t xml:space="preserve">) согласие получателя субсидии на осуществление Министерством согласования новых условий соглашения в случае уменьшения Министерству ранее доведенных лимитов бюджетных обязательств на цель, указанную в </w:t>
      </w:r>
      <w:r>
        <w:rPr>
          <w:rFonts w:ascii="Times New Roman" w:hAnsi="Times New Roman"/>
          <w:sz w:val="28"/>
        </w:rPr>
        <w:t xml:space="preserve">части 1 настоящего Порядка, приводящего к невозможности предоставления субсидии в размере, определенном в соглашении или расторжение соглашения при </w:t>
      </w:r>
      <w:r>
        <w:rPr>
          <w:rFonts w:ascii="Times New Roman" w:hAnsi="Times New Roman"/>
          <w:sz w:val="28"/>
        </w:rPr>
        <w:t>недостижении</w:t>
      </w:r>
      <w:r>
        <w:rPr>
          <w:rFonts w:ascii="Times New Roman" w:hAnsi="Times New Roman"/>
          <w:sz w:val="28"/>
        </w:rPr>
        <w:t xml:space="preserve"> согласия по новым условиям;</w:t>
      </w:r>
    </w:p>
    <w:p w14:paraId="5F000000">
      <w:pPr>
        <w:spacing w:after="0" w:line="240" w:lineRule="auto"/>
        <w:ind w:firstLine="709" w:right="0"/>
        <w:jc w:val="both"/>
        <w:rPr>
          <w:rFonts w:ascii="Times New Roman" w:hAnsi="Times New Roman"/>
          <w:sz w:val="28"/>
        </w:rPr>
      </w:pPr>
      <w:r>
        <w:rPr>
          <w:rFonts w:ascii="Times New Roman" w:hAnsi="Times New Roman"/>
          <w:sz w:val="28"/>
        </w:rPr>
        <w:t>б)</w:t>
      </w:r>
      <w:r>
        <w:rPr>
          <w:rFonts w:ascii="Times New Roman" w:hAnsi="Times New Roman"/>
          <w:spacing w:val="0"/>
          <w:sz w:val="28"/>
        </w:rPr>
        <w:t> </w:t>
      </w:r>
      <w:r>
        <w:rPr>
          <w:rFonts w:ascii="Times New Roman" w:hAnsi="Times New Roman"/>
          <w:sz w:val="28"/>
        </w:rPr>
        <w:t xml:space="preserve">обязательство </w:t>
      </w:r>
      <w:r>
        <w:rPr>
          <w:rFonts w:ascii="Times New Roman" w:hAnsi="Times New Roman"/>
          <w:sz w:val="28"/>
        </w:rPr>
        <w:t xml:space="preserve">получателя субсидии </w:t>
      </w:r>
      <w:r>
        <w:rPr>
          <w:rFonts w:ascii="Times New Roman" w:hAnsi="Times New Roman"/>
          <w:sz w:val="28"/>
        </w:rPr>
        <w:t>обеспечить достижение в году предоставления субсидии результата предоставления субсидии в соответствии с заключенным между Министерством и получателем субсидии соглашением;</w:t>
      </w:r>
    </w:p>
    <w:p w14:paraId="60000000">
      <w:pPr>
        <w:spacing w:after="0" w:line="240" w:lineRule="auto"/>
        <w:ind w:firstLine="709" w:right="0"/>
        <w:jc w:val="both"/>
        <w:rPr>
          <w:rFonts w:ascii="Times New Roman" w:hAnsi="Times New Roman"/>
          <w:sz w:val="28"/>
        </w:rPr>
      </w:pPr>
      <w:r>
        <w:rPr>
          <w:rFonts w:ascii="Times New Roman" w:hAnsi="Times New Roman"/>
          <w:sz w:val="28"/>
        </w:rPr>
        <w:t>в)</w:t>
      </w:r>
      <w:r>
        <w:rPr>
          <w:rFonts w:ascii="Times New Roman" w:hAnsi="Times New Roman"/>
          <w:spacing w:val="0"/>
          <w:sz w:val="28"/>
        </w:rPr>
        <w:t> </w:t>
      </w:r>
      <w:r>
        <w:rPr>
          <w:rFonts w:ascii="Times New Roman" w:hAnsi="Times New Roman"/>
          <w:sz w:val="28"/>
        </w:rPr>
        <w:t xml:space="preserve">обязательство </w:t>
      </w:r>
      <w:r>
        <w:rPr>
          <w:rFonts w:ascii="Times New Roman" w:hAnsi="Times New Roman"/>
          <w:sz w:val="28"/>
        </w:rPr>
        <w:t xml:space="preserve">получателя субсидии по </w:t>
      </w:r>
      <w:r>
        <w:rPr>
          <w:rFonts w:ascii="Times New Roman" w:hAnsi="Times New Roman"/>
          <w:sz w:val="28"/>
        </w:rPr>
        <w:t xml:space="preserve">предоставлению отчета о достижении значения результата предоставления субсидии по форме, определенной типовыми формами соглашения, установленным </w:t>
      </w:r>
      <w:r>
        <w:rPr>
          <w:rFonts w:ascii="Times New Roman" w:hAnsi="Times New Roman"/>
          <w:sz w:val="28"/>
        </w:rPr>
        <w:t>Министерством финансов Камчатского края</w:t>
      </w:r>
      <w:r>
        <w:rPr>
          <w:rFonts w:ascii="Times New Roman" w:hAnsi="Times New Roman"/>
          <w:sz w:val="28"/>
        </w:rPr>
        <w:t>;</w:t>
      </w:r>
    </w:p>
    <w:p w14:paraId="61000000">
      <w:pPr>
        <w:spacing w:after="0" w:line="240" w:lineRule="auto"/>
        <w:ind w:firstLine="709" w:right="0"/>
        <w:jc w:val="both"/>
        <w:rPr>
          <w:rFonts w:ascii="Times New Roman" w:hAnsi="Times New Roman"/>
          <w:sz w:val="28"/>
        </w:rPr>
      </w:pPr>
      <w:r>
        <w:rPr>
          <w:rFonts w:ascii="Times New Roman" w:hAnsi="Times New Roman"/>
          <w:sz w:val="28"/>
        </w:rPr>
        <w:t>г)</w:t>
      </w:r>
      <w:r>
        <w:rPr>
          <w:rFonts w:ascii="Times New Roman" w:hAnsi="Times New Roman"/>
          <w:spacing w:val="0"/>
          <w:sz w:val="28"/>
        </w:rPr>
        <w:t> </w:t>
      </w:r>
      <w:r>
        <w:rPr>
          <w:rFonts w:ascii="Times New Roman" w:hAnsi="Times New Roman"/>
          <w:sz w:val="28"/>
        </w:rPr>
        <w:t xml:space="preserve">обязательство </w:t>
      </w:r>
      <w:r>
        <w:rPr>
          <w:rFonts w:ascii="Times New Roman" w:hAnsi="Times New Roman"/>
          <w:sz w:val="28"/>
        </w:rPr>
        <w:t>получа</w:t>
      </w:r>
      <w:r>
        <w:rPr>
          <w:rFonts w:ascii="Times New Roman" w:hAnsi="Times New Roman"/>
          <w:sz w:val="28"/>
        </w:rPr>
        <w:t xml:space="preserve">теля субсидии по </w:t>
      </w:r>
      <w:r>
        <w:rPr>
          <w:rFonts w:ascii="Times New Roman" w:hAnsi="Times New Roman"/>
          <w:sz w:val="28"/>
        </w:rPr>
        <w:t>представлению отчета</w:t>
      </w:r>
      <w:r>
        <w:rPr>
          <w:rFonts w:ascii="Times New Roman" w:hAnsi="Times New Roman"/>
          <w:sz w:val="28"/>
        </w:rPr>
        <w:t xml:space="preserve"> </w:t>
      </w:r>
      <w:r>
        <w:rPr>
          <w:rFonts w:ascii="Times New Roman" w:hAnsi="Times New Roman"/>
          <w:sz w:val="28"/>
        </w:rPr>
        <w:t>об осуществлении расходов, источником финансового обеспечения которых</w:t>
      </w:r>
      <w:r>
        <w:rPr>
          <w:rFonts w:ascii="Times New Roman" w:hAnsi="Times New Roman"/>
          <w:b w:val="0"/>
          <w:i w:val="0"/>
          <w:caps w:val="0"/>
          <w:color w:val="22272F"/>
          <w:spacing w:val="0"/>
          <w:sz w:val="28"/>
        </w:rPr>
        <w:t xml:space="preserve"> </w:t>
      </w:r>
      <w:r>
        <w:rPr>
          <w:rFonts w:ascii="Times New Roman" w:hAnsi="Times New Roman"/>
          <w:sz w:val="28"/>
        </w:rPr>
        <w:t>является субсидия по форме,</w:t>
      </w:r>
      <w:r>
        <w:rPr>
          <w:rFonts w:ascii="Times New Roman" w:hAnsi="Times New Roman"/>
          <w:sz w:val="28"/>
        </w:rPr>
        <w:t xml:space="preserve"> </w:t>
      </w:r>
      <w:r>
        <w:rPr>
          <w:rFonts w:ascii="Times New Roman" w:hAnsi="Times New Roman"/>
          <w:sz w:val="28"/>
        </w:rPr>
        <w:t xml:space="preserve">определенной типовыми формами соглашения, установленным </w:t>
      </w:r>
      <w:r>
        <w:rPr>
          <w:rFonts w:ascii="Times New Roman" w:hAnsi="Times New Roman"/>
          <w:sz w:val="28"/>
        </w:rPr>
        <w:t>Министерством финансов Камчатского края</w:t>
      </w:r>
      <w:r>
        <w:rPr>
          <w:rFonts w:ascii="Times New Roman" w:hAnsi="Times New Roman"/>
          <w:sz w:val="28"/>
        </w:rPr>
        <w:t>;</w:t>
      </w:r>
    </w:p>
    <w:p w14:paraId="62000000">
      <w:pPr>
        <w:spacing w:after="0" w:line="240" w:lineRule="auto"/>
        <w:ind w:firstLine="709" w:right="0"/>
        <w:jc w:val="both"/>
        <w:rPr>
          <w:rFonts w:ascii="Times New Roman" w:hAnsi="Times New Roman"/>
          <w:sz w:val="28"/>
        </w:rPr>
      </w:pPr>
      <w:r>
        <w:rPr>
          <w:rFonts w:ascii="Times New Roman" w:hAnsi="Times New Roman"/>
          <w:sz w:val="28"/>
        </w:rPr>
        <w:t>д)</w:t>
      </w:r>
      <w:r>
        <w:rPr>
          <w:rFonts w:ascii="Times New Roman" w:hAnsi="Times New Roman"/>
          <w:spacing w:val="0"/>
          <w:sz w:val="28"/>
        </w:rPr>
        <w:t> </w:t>
      </w:r>
      <w:r>
        <w:rPr>
          <w:rFonts w:ascii="Times New Roman" w:hAnsi="Times New Roman"/>
          <w:sz w:val="28"/>
        </w:rPr>
        <w:t>обязательство получателя субсидии по предоставлен</w:t>
      </w:r>
      <w:r>
        <w:rPr>
          <w:rFonts w:ascii="Times New Roman" w:hAnsi="Times New Roman"/>
          <w:sz w:val="28"/>
        </w:rPr>
        <w:t>ию отчета о финансово-экономическом состоянии товаропроизводителей агропромышленного комплекса в течение года, в котором предоставлена субсидия, а также в году, следующем за годом получения субсидии, по форме и в сроки, которые установлены приказом Министерства;</w:t>
      </w:r>
    </w:p>
    <w:p w14:paraId="63000000">
      <w:pPr>
        <w:spacing w:after="0" w:line="240" w:lineRule="auto"/>
        <w:ind w:firstLine="709" w:right="0"/>
        <w:jc w:val="both"/>
        <w:rPr>
          <w:rFonts w:ascii="Times New Roman" w:hAnsi="Times New Roman"/>
          <w:sz w:val="28"/>
        </w:rPr>
      </w:pPr>
      <w:r>
        <w:rPr>
          <w:rFonts w:ascii="Times New Roman" w:hAnsi="Times New Roman"/>
          <w:sz w:val="28"/>
        </w:rPr>
        <w:t>е)</w:t>
      </w:r>
      <w:r>
        <w:rPr>
          <w:rFonts w:ascii="Times New Roman" w:hAnsi="Times New Roman"/>
          <w:spacing w:val="0"/>
          <w:sz w:val="28"/>
        </w:rPr>
        <w:t> </w:t>
      </w:r>
      <w:r>
        <w:rPr>
          <w:rFonts w:ascii="Times New Roman" w:hAnsi="Times New Roman"/>
          <w:sz w:val="28"/>
        </w:rPr>
        <w:t xml:space="preserve">запрет </w:t>
      </w:r>
      <w:r>
        <w:rPr>
          <w:rFonts w:ascii="Times New Roman" w:hAnsi="Times New Roman"/>
          <w:sz w:val="28"/>
        </w:rPr>
        <w:t xml:space="preserve">на </w:t>
      </w:r>
      <w:r>
        <w:rPr>
          <w:rFonts w:ascii="Times New Roman" w:hAnsi="Times New Roman"/>
          <w:sz w:val="28"/>
        </w:rPr>
        <w:t xml:space="preserve">отчуждение </w:t>
      </w:r>
      <w:r>
        <w:rPr>
          <w:rFonts w:ascii="Times New Roman" w:hAnsi="Times New Roman"/>
          <w:sz w:val="28"/>
        </w:rPr>
        <w:t xml:space="preserve">(передачу в залог) </w:t>
      </w:r>
      <w:r>
        <w:rPr>
          <w:rFonts w:ascii="Times New Roman" w:hAnsi="Times New Roman"/>
          <w:sz w:val="28"/>
        </w:rPr>
        <w:t xml:space="preserve">приобретенных за счет средств субсидии </w:t>
      </w:r>
      <w:r>
        <w:rPr>
          <w:rFonts w:ascii="Times New Roman" w:hAnsi="Times New Roman"/>
          <w:sz w:val="28"/>
        </w:rPr>
        <w:t>обору</w:t>
      </w:r>
      <w:r>
        <w:rPr>
          <w:rFonts w:ascii="Times New Roman" w:hAnsi="Times New Roman"/>
          <w:sz w:val="28"/>
        </w:rPr>
        <w:t>дования</w:t>
      </w:r>
      <w:r>
        <w:rPr>
          <w:rFonts w:ascii="Times New Roman" w:hAnsi="Times New Roman"/>
          <w:sz w:val="28"/>
        </w:rPr>
        <w:t xml:space="preserve"> и (или) </w:t>
      </w:r>
      <w:r>
        <w:rPr>
          <w:rFonts w:ascii="Times New Roman" w:hAnsi="Times New Roman"/>
          <w:sz w:val="28"/>
        </w:rPr>
        <w:t>техники</w:t>
      </w:r>
      <w:r>
        <w:rPr>
          <w:rFonts w:ascii="Times New Roman" w:hAnsi="Times New Roman"/>
          <w:sz w:val="28"/>
        </w:rPr>
        <w:t xml:space="preserve"> в течение 5 лет с года, следующего за годом предоставления субсидии</w:t>
      </w:r>
      <w:r>
        <w:rPr>
          <w:rFonts w:ascii="Times New Roman" w:hAnsi="Times New Roman"/>
          <w:sz w:val="28"/>
        </w:rPr>
        <w:t>;</w:t>
      </w:r>
    </w:p>
    <w:p w14:paraId="64000000">
      <w:pPr>
        <w:tabs>
          <w:tab w:leader="none" w:pos="1134" w:val="left"/>
        </w:tabs>
        <w:spacing w:after="0" w:line="240" w:lineRule="auto"/>
        <w:ind w:firstLine="709" w:right="0"/>
        <w:jc w:val="both"/>
        <w:rPr>
          <w:rFonts w:ascii="Times New Roman" w:hAnsi="Times New Roman"/>
          <w:sz w:val="28"/>
        </w:rPr>
      </w:pPr>
      <w:r>
        <w:rPr>
          <w:rFonts w:ascii="Times New Roman" w:hAnsi="Times New Roman"/>
          <w:sz w:val="28"/>
        </w:rPr>
        <w:t>2) </w:t>
      </w:r>
      <w:r>
        <w:rPr>
          <w:rFonts w:ascii="Times New Roman" w:hAnsi="Times New Roman"/>
          <w:sz w:val="28"/>
        </w:rPr>
        <w:t>включаемые в соглашение и договоры</w:t>
      </w:r>
      <w:r>
        <w:rPr>
          <w:rFonts w:ascii="Times New Roman" w:hAnsi="Times New Roman"/>
          <w:sz w:val="28"/>
        </w:rPr>
        <w:t xml:space="preserve"> </w:t>
      </w:r>
      <w:r>
        <w:rPr>
          <w:rFonts w:ascii="Times New Roman" w:hAnsi="Times New Roman"/>
          <w:sz w:val="28"/>
        </w:rPr>
        <w:t>(соглашения)</w:t>
      </w:r>
      <w:r>
        <w:rPr>
          <w:rFonts w:ascii="Times New Roman" w:hAnsi="Times New Roman"/>
          <w:sz w:val="28"/>
        </w:rPr>
        <w:t xml:space="preserve">, заключенные с получателем субсидии: </w:t>
      </w:r>
    </w:p>
    <w:p w14:paraId="65000000">
      <w:pPr>
        <w:spacing w:after="0" w:line="240" w:lineRule="auto"/>
        <w:ind w:firstLine="709" w:right="0"/>
        <w:jc w:val="both"/>
        <w:rPr>
          <w:rFonts w:ascii="Times New Roman" w:hAnsi="Times New Roman"/>
          <w:strike w:val="1"/>
          <w:sz w:val="28"/>
        </w:rPr>
      </w:pPr>
      <w:r>
        <w:rPr>
          <w:rFonts w:ascii="Times New Roman" w:hAnsi="Times New Roman"/>
          <w:strike w:val="0"/>
          <w:spacing w:val="0"/>
          <w:sz w:val="28"/>
        </w:rPr>
        <w:t xml:space="preserve">а) согласие получателя субсидии, лиц, получающих средства субсидии на основании договоров (соглашений), заключенных с получателями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Министерством соблюдения порядка и условий предоставления субсидии, в том числе в части достижения результата предоставления субсидии, а также проверки органами государственного финансового контроля в соответствии со </w:t>
      </w:r>
      <w:r>
        <w:rPr>
          <w:rFonts w:ascii="Times New Roman" w:hAnsi="Times New Roman"/>
          <w:strike w:val="0"/>
          <w:spacing w:val="0"/>
          <w:sz w:val="28"/>
        </w:rPr>
        <w:t>статьями 268</w:t>
      </w:r>
      <w:r>
        <w:rPr>
          <w:rFonts w:ascii="Times New Roman" w:hAnsi="Times New Roman"/>
          <w:strike w:val="0"/>
          <w:spacing w:val="0"/>
          <w:sz w:val="28"/>
          <w:vertAlign w:val="superscript"/>
        </w:rPr>
        <w:t>1</w:t>
      </w:r>
      <w:r>
        <w:rPr>
          <w:rFonts w:ascii="Times New Roman" w:hAnsi="Times New Roman"/>
          <w:strike w:val="0"/>
          <w:spacing w:val="0"/>
          <w:sz w:val="28"/>
        </w:rPr>
        <w:t xml:space="preserve"> </w:t>
      </w:r>
      <w:r>
        <w:rPr>
          <w:rFonts w:ascii="Times New Roman" w:hAnsi="Times New Roman"/>
          <w:strike w:val="0"/>
          <w:spacing w:val="0"/>
          <w:sz w:val="28"/>
        </w:rPr>
        <w:t xml:space="preserve">и </w:t>
      </w:r>
      <w:r>
        <w:rPr>
          <w:rFonts w:ascii="Times New Roman" w:hAnsi="Times New Roman"/>
          <w:strike w:val="0"/>
          <w:spacing w:val="0"/>
          <w:sz w:val="28"/>
        </w:rPr>
        <w:t>269</w:t>
      </w:r>
      <w:r>
        <w:rPr>
          <w:rFonts w:ascii="Times New Roman" w:hAnsi="Times New Roman"/>
          <w:strike w:val="0"/>
          <w:spacing w:val="0"/>
          <w:sz w:val="28"/>
          <w:vertAlign w:val="superscript"/>
        </w:rPr>
        <w:t>2</w:t>
      </w:r>
      <w:r>
        <w:rPr>
          <w:rFonts w:ascii="Times New Roman" w:hAnsi="Times New Roman"/>
          <w:strike w:val="0"/>
          <w:spacing w:val="0"/>
          <w:sz w:val="28"/>
        </w:rPr>
        <w:t xml:space="preserve"> Бюджетного</w:t>
      </w:r>
      <w:r>
        <w:rPr>
          <w:rFonts w:ascii="Times New Roman" w:hAnsi="Times New Roman"/>
          <w:strike w:val="0"/>
          <w:spacing w:val="0"/>
          <w:sz w:val="28"/>
        </w:rPr>
        <w:t xml:space="preserve"> кодекса Российской Федерации;</w:t>
      </w:r>
    </w:p>
    <w:p w14:paraId="66000000">
      <w:pPr>
        <w:spacing w:after="0" w:line="240" w:lineRule="auto"/>
        <w:ind w:firstLine="709" w:right="0"/>
        <w:jc w:val="both"/>
        <w:rPr>
          <w:rFonts w:ascii="Times New Roman" w:hAnsi="Times New Roman"/>
          <w:sz w:val="28"/>
        </w:rPr>
      </w:pPr>
      <w:r>
        <w:rPr>
          <w:rFonts w:ascii="Times New Roman" w:hAnsi="Times New Roman"/>
          <w:sz w:val="28"/>
        </w:rPr>
        <w:t>б)</w:t>
      </w:r>
      <w:r>
        <w:rPr>
          <w:rFonts w:ascii="Times New Roman" w:hAnsi="Times New Roman"/>
          <w:spacing w:val="0"/>
          <w:sz w:val="28"/>
        </w:rPr>
        <w:t> </w:t>
      </w:r>
      <w:r>
        <w:rPr>
          <w:rFonts w:ascii="Times New Roman" w:hAnsi="Times New Roman"/>
          <w:sz w:val="28"/>
        </w:rPr>
        <w:t>запрет приобретения получателем субсидии</w:t>
      </w:r>
      <w:r>
        <w:rPr>
          <w:rFonts w:ascii="Times New Roman" w:hAnsi="Times New Roman"/>
          <w:strike w:val="0"/>
          <w:spacing w:val="0"/>
          <w:sz w:val="28"/>
        </w:rPr>
        <w:t>, а также иными юридическими лицами, получающими средства на основании договоров (соглашений), заключенных с получателем субсидии, за счет полученных из краевого бюджета</w:t>
      </w:r>
      <w:r>
        <w:rPr>
          <w:rFonts w:ascii="Times New Roman" w:hAnsi="Times New Roman"/>
          <w:strike w:val="0"/>
          <w:spacing w:val="0"/>
          <w:sz w:val="28"/>
        </w:rPr>
        <w:t xml:space="preserve"> </w:t>
      </w:r>
      <w:r>
        <w:rPr>
          <w:rFonts w:ascii="Times New Roman" w:hAnsi="Times New Roman"/>
          <w:sz w:val="28"/>
        </w:rPr>
        <w:t>средств иностранной валюты, за исключением операций, осуществляемых в соответствии с в</w:t>
      </w:r>
      <w:r>
        <w:rPr>
          <w:rFonts w:ascii="Times New Roman" w:hAnsi="Times New Roman"/>
          <w:sz w:val="28"/>
        </w:rPr>
        <w:t>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14:paraId="67000000">
      <w:pPr>
        <w:spacing w:after="0" w:line="240" w:lineRule="auto"/>
        <w:ind w:firstLine="709" w:right="0"/>
        <w:jc w:val="both"/>
        <w:rPr>
          <w:rFonts w:ascii="Times New Roman" w:hAnsi="Times New Roman"/>
          <w:strike w:val="1"/>
          <w:sz w:val="28"/>
        </w:rPr>
      </w:pPr>
      <w:r>
        <w:rPr>
          <w:rFonts w:ascii="Times New Roman" w:hAnsi="Times New Roman"/>
          <w:sz w:val="28"/>
        </w:rPr>
        <w:t>11. По результатам отбора с победителем (победителями) отбора заключается соглашение.</w:t>
      </w:r>
    </w:p>
    <w:p w14:paraId="68000000">
      <w:pPr>
        <w:spacing w:after="0" w:line="240" w:lineRule="auto"/>
        <w:ind w:firstLine="709" w:right="0"/>
        <w:jc w:val="both"/>
        <w:rPr>
          <w:rFonts w:ascii="Times New Roman" w:hAnsi="Times New Roman"/>
          <w:strike w:val="1"/>
          <w:sz w:val="28"/>
        </w:rPr>
      </w:pPr>
      <w:r>
        <w:rPr>
          <w:rFonts w:ascii="Times New Roman" w:hAnsi="Times New Roman"/>
          <w:sz w:val="28"/>
        </w:rPr>
        <w:t>Соглашение, дополнительное соглашение к соглашению</w:t>
      </w:r>
      <w:r>
        <w:rPr>
          <w:rFonts w:ascii="Times New Roman" w:hAnsi="Times New Roman"/>
          <w:sz w:val="28"/>
        </w:rPr>
        <w:t xml:space="preserve"> (в случае внесения изменений в соглашение)</w:t>
      </w:r>
      <w:r>
        <w:rPr>
          <w:rFonts w:ascii="Times New Roman" w:hAnsi="Times New Roman"/>
          <w:sz w:val="28"/>
        </w:rPr>
        <w:t xml:space="preserve">, в том числе дополнительное соглашение о расторжении соглашения (при необходимости) заключаются </w:t>
      </w:r>
      <w:r>
        <w:rPr>
          <w:rFonts w:ascii="Times New Roman" w:hAnsi="Times New Roman"/>
          <w:sz w:val="28"/>
        </w:rPr>
        <w:t xml:space="preserve">в системе «Электронный бюджет» </w:t>
      </w:r>
      <w:r>
        <w:rPr>
          <w:rFonts w:ascii="Times New Roman" w:hAnsi="Times New Roman"/>
          <w:sz w:val="28"/>
        </w:rPr>
        <w:t>в соответствии с типовыми формами соглашений, установленным Министерством финансов Камчатского края.</w:t>
      </w:r>
    </w:p>
    <w:p w14:paraId="69000000">
      <w:pPr>
        <w:spacing w:after="0" w:line="240" w:lineRule="auto"/>
        <w:ind w:firstLine="709" w:right="0"/>
        <w:jc w:val="both"/>
        <w:rPr>
          <w:rFonts w:ascii="Times New Roman" w:hAnsi="Times New Roman"/>
          <w:sz w:val="28"/>
        </w:rPr>
      </w:pPr>
      <w:r>
        <w:rPr>
          <w:rFonts w:ascii="Times New Roman" w:hAnsi="Times New Roman"/>
          <w:sz w:val="28"/>
        </w:rPr>
        <w:t>12. </w:t>
      </w:r>
      <w:r>
        <w:rPr>
          <w:rFonts w:ascii="Times New Roman" w:hAnsi="Times New Roman"/>
          <w:sz w:val="28"/>
        </w:rPr>
        <w:t>Заключение соглашения осуществляется в следующем порядке и сроки:</w:t>
      </w:r>
    </w:p>
    <w:p w14:paraId="6A000000">
      <w:pPr>
        <w:spacing w:after="0" w:line="240" w:lineRule="auto"/>
        <w:ind w:firstLine="709" w:right="0"/>
        <w:jc w:val="both"/>
        <w:rPr>
          <w:rFonts w:ascii="Times New Roman" w:hAnsi="Times New Roman"/>
          <w:sz w:val="28"/>
        </w:rPr>
      </w:pPr>
      <w:r>
        <w:rPr>
          <w:rFonts w:ascii="Times New Roman" w:hAnsi="Times New Roman"/>
          <w:sz w:val="28"/>
        </w:rPr>
        <w:t xml:space="preserve">1) Министерство в течение 10 рабочих дней со дня формирования на едином портале протокола подведения итогов отбора формирует проект соглашения и направляет его </w:t>
      </w:r>
      <w:r>
        <w:rPr>
          <w:rFonts w:ascii="Times New Roman" w:hAnsi="Times New Roman"/>
          <w:sz w:val="28"/>
        </w:rPr>
        <w:t xml:space="preserve">победителю отбора </w:t>
      </w:r>
      <w:r>
        <w:rPr>
          <w:rFonts w:ascii="Times New Roman" w:hAnsi="Times New Roman"/>
          <w:sz w:val="28"/>
        </w:rPr>
        <w:t>посредством системы «Электронный бюджет»;</w:t>
      </w:r>
    </w:p>
    <w:p w14:paraId="6B000000">
      <w:pPr>
        <w:spacing w:after="0" w:line="240" w:lineRule="auto"/>
        <w:ind w:firstLine="709" w:right="0"/>
        <w:jc w:val="both"/>
        <w:rPr>
          <w:rFonts w:ascii="Times New Roman" w:hAnsi="Times New Roman"/>
          <w:sz w:val="28"/>
        </w:rPr>
      </w:pPr>
      <w:r>
        <w:rPr>
          <w:rFonts w:ascii="Times New Roman" w:hAnsi="Times New Roman"/>
          <w:sz w:val="28"/>
        </w:rPr>
        <w:t>2) </w:t>
      </w:r>
      <w:r>
        <w:rPr>
          <w:rFonts w:ascii="Times New Roman" w:hAnsi="Times New Roman"/>
          <w:sz w:val="28"/>
        </w:rPr>
        <w:t xml:space="preserve">победитель отбора </w:t>
      </w:r>
      <w:r>
        <w:rPr>
          <w:rFonts w:ascii="Times New Roman" w:hAnsi="Times New Roman"/>
          <w:sz w:val="28"/>
        </w:rPr>
        <w:t xml:space="preserve">в течение 5 рабочих дней со дня </w:t>
      </w:r>
      <w:r>
        <w:rPr>
          <w:rFonts w:ascii="Times New Roman" w:hAnsi="Times New Roman"/>
          <w:sz w:val="28"/>
        </w:rPr>
        <w:t>направления проекта соглашения Министерством в системе «Электронный бюджет» подписывает проект соглашения усиленной квалифицированной электронной подписью;</w:t>
      </w:r>
    </w:p>
    <w:p w14:paraId="6C000000">
      <w:pPr>
        <w:spacing w:after="0" w:line="240" w:lineRule="auto"/>
        <w:ind w:firstLine="709" w:right="0"/>
        <w:jc w:val="both"/>
        <w:rPr>
          <w:rFonts w:ascii="Times New Roman" w:hAnsi="Times New Roman"/>
          <w:sz w:val="28"/>
        </w:rPr>
      </w:pPr>
      <w:r>
        <w:rPr>
          <w:rFonts w:ascii="Times New Roman" w:hAnsi="Times New Roman"/>
          <w:sz w:val="28"/>
        </w:rPr>
        <w:t>3) </w:t>
      </w:r>
      <w:r>
        <w:rPr>
          <w:rFonts w:ascii="Times New Roman" w:hAnsi="Times New Roman"/>
          <w:sz w:val="28"/>
        </w:rPr>
        <w:t>Министерство в течение 5 рабочих дней со дня подписания победителем отбора проекта соглашения усиленной квалифицированной электронной подписью осуществляет</w:t>
      </w:r>
      <w:r>
        <w:rPr>
          <w:rFonts w:ascii="Times New Roman" w:hAnsi="Times New Roman"/>
          <w:sz w:val="28"/>
        </w:rPr>
        <w:t xml:space="preserve"> проверку победителя отб</w:t>
      </w:r>
      <w:r>
        <w:rPr>
          <w:rFonts w:ascii="Times New Roman" w:hAnsi="Times New Roman"/>
          <w:sz w:val="28"/>
        </w:rPr>
        <w:t>ор</w:t>
      </w:r>
      <w:r>
        <w:rPr>
          <w:rFonts w:ascii="Times New Roman" w:hAnsi="Times New Roman"/>
          <w:sz w:val="28"/>
        </w:rPr>
        <w:t xml:space="preserve">а </w:t>
      </w:r>
      <w:r>
        <w:rPr>
          <w:rFonts w:ascii="Times New Roman" w:hAnsi="Times New Roman"/>
          <w:sz w:val="28"/>
        </w:rPr>
        <w:t>в порядке, установл</w:t>
      </w:r>
      <w:r>
        <w:rPr>
          <w:rFonts w:ascii="Times New Roman" w:hAnsi="Times New Roman"/>
          <w:sz w:val="28"/>
        </w:rPr>
        <w:t xml:space="preserve">енном в </w:t>
      </w:r>
      <w:r>
        <w:rPr>
          <w:rFonts w:ascii="Times New Roman" w:hAnsi="Times New Roman"/>
          <w:sz w:val="28"/>
        </w:rPr>
        <w:t>части 5</w:t>
      </w:r>
      <w:r>
        <w:rPr>
          <w:rFonts w:ascii="Times New Roman" w:hAnsi="Times New Roman"/>
          <w:sz w:val="28"/>
        </w:rPr>
        <w:t>5 н</w:t>
      </w:r>
      <w:r>
        <w:rPr>
          <w:rFonts w:ascii="Times New Roman" w:hAnsi="Times New Roman"/>
          <w:sz w:val="28"/>
        </w:rPr>
        <w:t>астоящего Порядка,</w:t>
      </w:r>
      <w:r>
        <w:rPr>
          <w:rFonts w:ascii="Times New Roman" w:hAnsi="Times New Roman"/>
          <w:sz w:val="28"/>
        </w:rPr>
        <w:t xml:space="preserve"> на соответствие тр</w:t>
      </w:r>
      <w:r>
        <w:rPr>
          <w:rFonts w:ascii="Times New Roman" w:hAnsi="Times New Roman"/>
          <w:sz w:val="28"/>
        </w:rPr>
        <w:t>ебованиям, установленным частью 6 настоящего Порядка, и в случае соответствия побе</w:t>
      </w:r>
      <w:r>
        <w:rPr>
          <w:rFonts w:ascii="Times New Roman" w:hAnsi="Times New Roman"/>
          <w:sz w:val="28"/>
        </w:rPr>
        <w:t>дителя отбора, подписывает его со своей стороны усиленной квалифицированной электронной подписью в системе «Электронный бюджет»;</w:t>
      </w:r>
    </w:p>
    <w:p w14:paraId="6D000000">
      <w:pPr>
        <w:spacing w:after="0" w:line="240" w:lineRule="auto"/>
        <w:ind w:firstLine="709" w:right="0"/>
        <w:jc w:val="both"/>
        <w:rPr>
          <w:rFonts w:ascii="Times New Roman" w:hAnsi="Times New Roman"/>
          <w:sz w:val="28"/>
        </w:rPr>
      </w:pPr>
      <w:r>
        <w:rPr>
          <w:rFonts w:ascii="Times New Roman" w:hAnsi="Times New Roman"/>
          <w:sz w:val="28"/>
        </w:rPr>
        <w:t xml:space="preserve">4) соглашение считается заключенным после подписания его </w:t>
      </w:r>
      <w:r>
        <w:rPr>
          <w:rFonts w:ascii="Times New Roman" w:hAnsi="Times New Roman"/>
          <w:sz w:val="28"/>
        </w:rPr>
        <w:t>победителем отбора</w:t>
      </w:r>
      <w:r>
        <w:rPr>
          <w:rFonts w:ascii="Times New Roman" w:hAnsi="Times New Roman"/>
          <w:sz w:val="28"/>
        </w:rPr>
        <w:t xml:space="preserve"> и Министерством, при этом дата заключения соглашения, сведения о </w:t>
      </w:r>
      <w:r>
        <w:rPr>
          <w:rFonts w:ascii="Times New Roman" w:hAnsi="Times New Roman"/>
          <w:sz w:val="28"/>
        </w:rPr>
        <w:t>которой в соответствии с приказом Министерства финансов Российской Федерации от 19.06.2023 № 92н содержатся в реестре соглашений (договоров) о предоставлении из бюджетов бюджетной системы Российской Федерации субсидий и бюджет</w:t>
      </w:r>
      <w:r>
        <w:rPr>
          <w:rFonts w:ascii="Times New Roman" w:hAnsi="Times New Roman"/>
          <w:sz w:val="28"/>
        </w:rPr>
        <w:t>ных инвестиций юридическим лицам, индивидуальным предпринимателям, физическим лицам – производителям товаров, работ, услуг и межбюджетных трансфертов бюджетам бюджетной системы Российской Федерации, является днем принятия решения о предоставлении субсидии.</w:t>
      </w:r>
    </w:p>
    <w:p w14:paraId="6E000000">
      <w:pPr>
        <w:spacing w:after="0" w:line="240" w:lineRule="auto"/>
        <w:ind w:firstLine="709" w:right="0"/>
        <w:jc w:val="both"/>
        <w:rPr>
          <w:rFonts w:ascii="Times New Roman" w:hAnsi="Times New Roman"/>
          <w:sz w:val="28"/>
        </w:rPr>
      </w:pPr>
      <w:r>
        <w:rPr>
          <w:rFonts w:ascii="Times New Roman" w:hAnsi="Times New Roman"/>
          <w:sz w:val="28"/>
        </w:rPr>
        <w:t xml:space="preserve">13. Победитель отбора признается уклонившимся от заключения соглашения в случае </w:t>
      </w:r>
      <w:r>
        <w:rPr>
          <w:rFonts w:ascii="Times New Roman" w:hAnsi="Times New Roman"/>
          <w:sz w:val="28"/>
        </w:rPr>
        <w:t>неподписания</w:t>
      </w:r>
      <w:r>
        <w:rPr>
          <w:rFonts w:ascii="Times New Roman" w:hAnsi="Times New Roman"/>
          <w:sz w:val="28"/>
        </w:rPr>
        <w:t xml:space="preserve"> усиленной квалифицированной электронной подписью проекта соглашения в системе «Электронный бюджет» в срок, предусмотренный пун</w:t>
      </w:r>
      <w:r>
        <w:rPr>
          <w:rFonts w:ascii="Times New Roman" w:hAnsi="Times New Roman"/>
          <w:sz w:val="28"/>
        </w:rPr>
        <w:t xml:space="preserve">ктом </w:t>
      </w:r>
      <w:r>
        <w:rPr>
          <w:rFonts w:ascii="Times New Roman" w:hAnsi="Times New Roman"/>
          <w:sz w:val="28"/>
        </w:rPr>
        <w:t>2 части 1</w:t>
      </w:r>
      <w:r>
        <w:rPr>
          <w:rFonts w:ascii="Times New Roman" w:hAnsi="Times New Roman"/>
          <w:sz w:val="28"/>
        </w:rPr>
        <w:t>2 н</w:t>
      </w:r>
      <w:r>
        <w:rPr>
          <w:rFonts w:ascii="Times New Roman" w:hAnsi="Times New Roman"/>
          <w:sz w:val="28"/>
        </w:rPr>
        <w:t xml:space="preserve">астоящего Порядка. </w:t>
      </w:r>
    </w:p>
    <w:p w14:paraId="6F000000">
      <w:pPr>
        <w:spacing w:after="0" w:line="240" w:lineRule="auto"/>
        <w:ind w:firstLine="709" w:right="0"/>
        <w:jc w:val="both"/>
        <w:rPr>
          <w:rFonts w:ascii="Times New Roman" w:hAnsi="Times New Roman"/>
          <w:sz w:val="28"/>
        </w:rPr>
      </w:pPr>
      <w:r>
        <w:rPr>
          <w:rFonts w:ascii="Times New Roman" w:hAnsi="Times New Roman"/>
          <w:sz w:val="28"/>
        </w:rPr>
        <w:t xml:space="preserve">14. В случаях, предусмотренных законодательством Российской Федерации и (или) законодательством Камчатского края, в соглашение могут быть внесены изменения. </w:t>
      </w:r>
    </w:p>
    <w:p w14:paraId="70000000">
      <w:pPr>
        <w:spacing w:after="0" w:line="240" w:lineRule="auto"/>
        <w:ind w:firstLine="709" w:right="0"/>
        <w:jc w:val="both"/>
        <w:rPr>
          <w:rFonts w:ascii="Times New Roman" w:hAnsi="Times New Roman"/>
          <w:sz w:val="28"/>
        </w:rPr>
      </w:pPr>
      <w:r>
        <w:rPr>
          <w:rFonts w:ascii="Times New Roman" w:hAnsi="Times New Roman"/>
          <w:sz w:val="28"/>
        </w:rPr>
        <w:t>Министерство в течение 7 рабочих дней со дня принятия решения о заключении дополнительного соглашения к соглашению (дополнительного с</w:t>
      </w:r>
      <w:r>
        <w:rPr>
          <w:rFonts w:ascii="Times New Roman" w:hAnsi="Times New Roman"/>
          <w:sz w:val="28"/>
        </w:rPr>
        <w:t>оглашения о расторжении соглашения) формирует проект дополнительного соглашения к соглашению (дополнительного соглашения о расторжении соглашения) в системе «Электронный бюджет» и направляет его получателю субсидии посредством системы «Электронный бюджет».</w:t>
      </w:r>
    </w:p>
    <w:p w14:paraId="71000000">
      <w:pPr>
        <w:spacing w:after="0" w:line="240" w:lineRule="auto"/>
        <w:ind w:firstLine="709" w:right="0"/>
        <w:jc w:val="both"/>
        <w:rPr>
          <w:rFonts w:ascii="Times New Roman" w:hAnsi="Times New Roman"/>
          <w:sz w:val="28"/>
        </w:rPr>
      </w:pPr>
      <w:r>
        <w:rPr>
          <w:rFonts w:ascii="Times New Roman" w:hAnsi="Times New Roman"/>
          <w:sz w:val="28"/>
        </w:rPr>
        <w:t>Получатель субсидии в течение 10 рабочих дней со дня направления проекта соглашения, указанного в абзаце втором насто</w:t>
      </w:r>
      <w:r>
        <w:rPr>
          <w:rFonts w:ascii="Times New Roman" w:hAnsi="Times New Roman"/>
          <w:sz w:val="28"/>
        </w:rPr>
        <w:t>ящей части, но не позднее 20 декабря соответствующего финансового года, подписывает усиленной квалифицированной электронной подписью проект дополнительного соглашения к соглашению (дополнительного соглашения о расторжении соглашения) в системе «Электронный бюджет».</w:t>
      </w:r>
    </w:p>
    <w:p w14:paraId="72000000">
      <w:pPr>
        <w:spacing w:after="0" w:line="240" w:lineRule="auto"/>
        <w:ind w:firstLine="709" w:right="0"/>
        <w:jc w:val="both"/>
        <w:rPr>
          <w:rFonts w:ascii="Times New Roman" w:hAnsi="Times New Roman"/>
          <w:strike w:val="1"/>
          <w:sz w:val="28"/>
        </w:rPr>
      </w:pPr>
      <w:r>
        <w:rPr>
          <w:rFonts w:ascii="Times New Roman" w:hAnsi="Times New Roman"/>
          <w:sz w:val="28"/>
        </w:rPr>
        <w:t>Министерство в течение 5 рабочих дней со дня подписания усиленной квалифициров</w:t>
      </w:r>
      <w:r>
        <w:rPr>
          <w:rFonts w:ascii="Times New Roman" w:hAnsi="Times New Roman"/>
          <w:sz w:val="28"/>
        </w:rPr>
        <w:t>анной электронной подписью получателем субсидии проекта дополнительного соглашения к соглашению (дополнительного соглашения о расторжении соглашения), подписывает его со своей стороны усиленной квалифицированной электронной подписью в системе «Электронный бюджет».</w:t>
      </w:r>
    </w:p>
    <w:p w14:paraId="73000000">
      <w:pPr>
        <w:spacing w:after="0" w:line="240" w:lineRule="auto"/>
        <w:ind w:firstLine="709" w:right="0"/>
        <w:jc w:val="both"/>
        <w:rPr>
          <w:rFonts w:ascii="Times New Roman" w:hAnsi="Times New Roman"/>
          <w:sz w:val="28"/>
        </w:rPr>
      </w:pPr>
      <w:r>
        <w:rPr>
          <w:rFonts w:ascii="Times New Roman" w:hAnsi="Times New Roman"/>
          <w:sz w:val="28"/>
        </w:rPr>
        <w:t xml:space="preserve">15. Для перечисления субсидии Министерство в течение 3 рабочих дней после </w:t>
      </w:r>
      <w:r>
        <w:rPr>
          <w:rFonts w:ascii="Times New Roman" w:hAnsi="Times New Roman"/>
          <w:sz w:val="28"/>
        </w:rPr>
        <w:t xml:space="preserve">принятия решения о предоставлении субсидии </w:t>
      </w:r>
      <w:r>
        <w:rPr>
          <w:rFonts w:ascii="Times New Roman" w:hAnsi="Times New Roman"/>
          <w:sz w:val="28"/>
        </w:rPr>
        <w:t>готовит реестр на перечисление субсидии, необходимый для дальнейшего перечисления денежных средств получателю субсидии.</w:t>
      </w:r>
    </w:p>
    <w:p w14:paraId="74000000">
      <w:pPr>
        <w:spacing w:after="0" w:line="240" w:lineRule="auto"/>
        <w:ind w:firstLine="709"/>
        <w:jc w:val="both"/>
        <w:rPr>
          <w:rFonts w:ascii="Times New Roman" w:hAnsi="Times New Roman"/>
          <w:sz w:val="28"/>
        </w:rPr>
      </w:pPr>
      <w:r>
        <w:rPr>
          <w:rFonts w:ascii="Times New Roman" w:hAnsi="Times New Roman"/>
          <w:sz w:val="28"/>
        </w:rPr>
        <w:t>Перечисление субсидии на</w:t>
      </w:r>
      <w:r>
        <w:rPr>
          <w:rFonts w:ascii="Times New Roman" w:hAnsi="Times New Roman"/>
          <w:sz w:val="28"/>
        </w:rPr>
        <w:t xml:space="preserve"> счет получателя субсидии, открытый им в учреждениях Центрального банка Российской Федерации или кредитных организациях, реквизиты которого указаны в соглашении, осуществляется Министерством не позднее 10 рабочего </w:t>
      </w:r>
      <w:r>
        <w:rPr>
          <w:rFonts w:ascii="Times New Roman" w:hAnsi="Times New Roman"/>
          <w:sz w:val="28"/>
        </w:rPr>
        <w:t>дня, следующего за днем принятия по результатам рассмотрения и проверки документов решения о предоставлении субсидии.</w:t>
      </w:r>
    </w:p>
    <w:p w14:paraId="75000000">
      <w:pPr>
        <w:spacing w:after="0" w:line="240" w:lineRule="auto"/>
        <w:ind w:firstLine="709" w:right="0"/>
        <w:jc w:val="both"/>
        <w:rPr>
          <w:rFonts w:ascii="Times New Roman" w:hAnsi="Times New Roman"/>
          <w:sz w:val="28"/>
        </w:rPr>
      </w:pPr>
      <w:r>
        <w:rPr>
          <w:rFonts w:ascii="Times New Roman" w:hAnsi="Times New Roman"/>
          <w:sz w:val="28"/>
        </w:rPr>
        <w:t>16. </w:t>
      </w:r>
      <w:r>
        <w:rPr>
          <w:rFonts w:ascii="Times New Roman" w:hAnsi="Times New Roman"/>
          <w:sz w:val="28"/>
        </w:rPr>
        <w:t>Результ</w:t>
      </w:r>
      <w:r>
        <w:rPr>
          <w:rFonts w:ascii="Times New Roman" w:hAnsi="Times New Roman"/>
          <w:sz w:val="28"/>
        </w:rPr>
        <w:t xml:space="preserve">атом предоставления субсидии является </w:t>
      </w:r>
      <w:r>
        <w:rPr>
          <w:rFonts w:ascii="Times New Roman" w:hAnsi="Times New Roman"/>
          <w:sz w:val="28"/>
        </w:rPr>
        <w:t>«п</w:t>
      </w:r>
      <w:r>
        <w:rPr>
          <w:rFonts w:ascii="Times New Roman" w:hAnsi="Times New Roman"/>
          <w:sz w:val="28"/>
        </w:rPr>
        <w:t>риобретено оборудования и (или) техники предприятиями агропромышленного комплекса</w:t>
      </w:r>
      <w:r>
        <w:rPr>
          <w:rFonts w:ascii="Times New Roman" w:hAnsi="Times New Roman"/>
          <w:sz w:val="28"/>
        </w:rPr>
        <w:t>».</w:t>
      </w:r>
    </w:p>
    <w:p w14:paraId="76000000">
      <w:pPr>
        <w:spacing w:after="0" w:line="240" w:lineRule="auto"/>
        <w:ind w:firstLine="709" w:right="0"/>
        <w:jc w:val="both"/>
        <w:rPr>
          <w:rFonts w:ascii="Times New Roman" w:hAnsi="Times New Roman"/>
          <w:sz w:val="28"/>
        </w:rPr>
      </w:pPr>
      <w:r>
        <w:rPr>
          <w:rFonts w:ascii="Times New Roman" w:hAnsi="Times New Roman"/>
          <w:sz w:val="28"/>
        </w:rPr>
        <w:t>Значение</w:t>
      </w:r>
      <w:r>
        <w:rPr>
          <w:rFonts w:ascii="Times New Roman" w:hAnsi="Times New Roman"/>
          <w:sz w:val="28"/>
        </w:rPr>
        <w:t xml:space="preserve"> результата предоставления субсидии </w:t>
      </w:r>
      <w:r>
        <w:rPr>
          <w:rFonts w:ascii="Times New Roman" w:hAnsi="Times New Roman"/>
          <w:sz w:val="28"/>
        </w:rPr>
        <w:t>устанавливае</w:t>
      </w:r>
      <w:r>
        <w:rPr>
          <w:rFonts w:ascii="Times New Roman" w:hAnsi="Times New Roman"/>
          <w:sz w:val="28"/>
        </w:rPr>
        <w:t>тся Министерством в соглашении.</w:t>
      </w:r>
    </w:p>
    <w:p w14:paraId="77000000">
      <w:pPr>
        <w:spacing w:after="0" w:line="240" w:lineRule="auto"/>
        <w:ind w:firstLine="709" w:right="0"/>
        <w:jc w:val="both"/>
        <w:rPr>
          <w:rFonts w:ascii="Times New Roman" w:hAnsi="Times New Roman"/>
          <w:sz w:val="28"/>
        </w:rPr>
      </w:pPr>
      <w:r>
        <w:rPr>
          <w:rFonts w:ascii="Times New Roman" w:hAnsi="Times New Roman"/>
          <w:sz w:val="28"/>
        </w:rPr>
        <w:t>17.</w:t>
      </w:r>
      <w:r>
        <w:rPr>
          <w:rFonts w:ascii="Times New Roman" w:hAnsi="Times New Roman"/>
          <w:spacing w:val="0"/>
          <w:sz w:val="28"/>
        </w:rPr>
        <w:t> </w:t>
      </w:r>
      <w:r>
        <w:rPr>
          <w:rFonts w:ascii="Times New Roman" w:hAnsi="Times New Roman"/>
          <w:sz w:val="28"/>
        </w:rPr>
        <w:t>При реорганизации получателя субсидии в форме слиян</w:t>
      </w:r>
      <w:r>
        <w:rPr>
          <w:rFonts w:ascii="Times New Roman" w:hAnsi="Times New Roman"/>
          <w:sz w:val="28"/>
        </w:rPr>
        <w:t>ия, присоединения или преобразования получателя субсидии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78000000">
      <w:pPr>
        <w:spacing w:after="0" w:line="240" w:lineRule="auto"/>
        <w:ind w:firstLine="709" w:right="0"/>
        <w:jc w:val="both"/>
        <w:rPr>
          <w:rFonts w:ascii="Times New Roman" w:hAnsi="Times New Roman"/>
          <w:sz w:val="28"/>
        </w:rPr>
      </w:pPr>
      <w:r>
        <w:rPr>
          <w:rFonts w:ascii="Times New Roman" w:hAnsi="Times New Roman"/>
          <w:sz w:val="28"/>
        </w:rPr>
        <w:t>При реорганизации получателя субсидии в форме разделения, выделения, а также при ликвидации получателя субсидии соглашение расторгается с формированием уведомления о расторжении</w:t>
      </w:r>
      <w:r>
        <w:rPr>
          <w:rFonts w:ascii="Times New Roman" w:hAnsi="Times New Roman"/>
          <w:sz w:val="28"/>
        </w:rPr>
        <w:t xml:space="preserve">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w:t>
      </w:r>
      <w:r>
        <w:rPr>
          <w:rFonts w:ascii="Times New Roman" w:hAnsi="Times New Roman"/>
          <w:sz w:val="28"/>
        </w:rPr>
        <w:t>тка субсидии в краевой бюджет.</w:t>
      </w:r>
    </w:p>
    <w:p w14:paraId="79000000">
      <w:pPr>
        <w:spacing w:after="0" w:line="240" w:lineRule="auto"/>
        <w:ind w:firstLine="709" w:right="0"/>
        <w:jc w:val="both"/>
        <w:rPr>
          <w:rFonts w:ascii="Times New Roman" w:hAnsi="Times New Roman"/>
          <w:sz w:val="28"/>
          <w:shd w:fill="95BFFF" w:val="clear"/>
        </w:rPr>
      </w:pPr>
      <w:r>
        <w:rPr>
          <w:rFonts w:ascii="Times New Roman" w:hAnsi="Times New Roman"/>
          <w:sz w:val="28"/>
        </w:rPr>
        <w:t>18</w:t>
      </w:r>
      <w:r>
        <w:rPr>
          <w:rFonts w:ascii="Times New Roman" w:hAnsi="Times New Roman"/>
          <w:sz w:val="28"/>
        </w:rPr>
        <w:t>. Получатель субсидии представляет посредством системы «Электронный бюджет» следующую отчетность:</w:t>
      </w:r>
    </w:p>
    <w:p w14:paraId="7A000000">
      <w:pPr>
        <w:spacing w:after="0" w:line="240" w:lineRule="auto"/>
        <w:ind w:firstLine="709" w:right="0"/>
        <w:jc w:val="both"/>
        <w:rPr>
          <w:rFonts w:ascii="Times New Roman" w:hAnsi="Times New Roman"/>
          <w:sz w:val="28"/>
        </w:rPr>
      </w:pPr>
      <w:r>
        <w:rPr>
          <w:rFonts w:ascii="Times New Roman" w:hAnsi="Times New Roman"/>
          <w:sz w:val="28"/>
        </w:rPr>
        <w:t>1) ежеквартально по состоянию на первое число месяца, следующего за отчетным периодом, в срок не позднее 10 рабочего дня месяца, следующего за отчетным кварталом</w:t>
      </w:r>
      <w:r>
        <w:rPr>
          <w:rFonts w:ascii="Times New Roman" w:hAnsi="Times New Roman"/>
          <w:sz w:val="28"/>
        </w:rPr>
        <w:t xml:space="preserve"> (отчетны</w:t>
      </w:r>
      <w:r>
        <w:rPr>
          <w:rFonts w:ascii="Times New Roman" w:hAnsi="Times New Roman"/>
          <w:sz w:val="28"/>
        </w:rPr>
        <w:t xml:space="preserve">м годом), </w:t>
      </w:r>
    </w:p>
    <w:p w14:paraId="7B000000">
      <w:pPr>
        <w:spacing w:after="0" w:line="240" w:lineRule="auto"/>
        <w:ind w:firstLine="709" w:right="0"/>
        <w:jc w:val="both"/>
        <w:rPr>
          <w:rFonts w:ascii="Times New Roman" w:hAnsi="Times New Roman"/>
          <w:sz w:val="28"/>
        </w:rPr>
      </w:pPr>
      <w:r>
        <w:rPr>
          <w:rFonts w:ascii="Times New Roman" w:hAnsi="Times New Roman"/>
          <w:sz w:val="28"/>
        </w:rPr>
        <w:t>а)</w:t>
      </w:r>
      <w:r>
        <w:rPr>
          <w:rFonts w:ascii="Times New Roman" w:hAnsi="Times New Roman"/>
          <w:spacing w:val="0"/>
          <w:sz w:val="28"/>
        </w:rPr>
        <w:t> </w:t>
      </w:r>
      <w:r>
        <w:rPr>
          <w:rFonts w:ascii="Times New Roman" w:hAnsi="Times New Roman"/>
          <w:sz w:val="28"/>
        </w:rPr>
        <w:t>отчет о достижении значения результата предоставлени</w:t>
      </w:r>
      <w:r>
        <w:rPr>
          <w:rFonts w:ascii="Times New Roman" w:hAnsi="Times New Roman"/>
          <w:sz w:val="28"/>
        </w:rPr>
        <w:t xml:space="preserve">я субсидии </w:t>
      </w:r>
      <w:r>
        <w:rPr>
          <w:rFonts w:ascii="Times New Roman" w:hAnsi="Times New Roman"/>
          <w:sz w:val="28"/>
        </w:rPr>
        <w:t>по форме, предусмотренной</w:t>
      </w:r>
      <w:r>
        <w:rPr>
          <w:rFonts w:ascii="Times New Roman" w:hAnsi="Times New Roman"/>
          <w:sz w:val="28"/>
        </w:rPr>
        <w:t xml:space="preserve"> типовыми формами соглашений, установленным</w:t>
      </w:r>
      <w:r>
        <w:rPr>
          <w:rFonts w:ascii="Times New Roman" w:hAnsi="Times New Roman"/>
          <w:sz w:val="28"/>
        </w:rPr>
        <w:t xml:space="preserve"> </w:t>
      </w:r>
      <w:r>
        <w:rPr>
          <w:rFonts w:ascii="Times New Roman" w:hAnsi="Times New Roman"/>
          <w:sz w:val="28"/>
        </w:rPr>
        <w:t>Министерством финансов Камчатского края</w:t>
      </w:r>
      <w:r>
        <w:rPr>
          <w:rFonts w:ascii="Times New Roman" w:hAnsi="Times New Roman"/>
          <w:sz w:val="28"/>
        </w:rPr>
        <w:t xml:space="preserve"> </w:t>
      </w:r>
      <w:r>
        <w:rPr>
          <w:rFonts w:ascii="Times New Roman" w:hAnsi="Times New Roman"/>
          <w:sz w:val="28"/>
        </w:rPr>
        <w:t>(</w:t>
      </w:r>
      <w:r>
        <w:rPr>
          <w:rFonts w:ascii="Times New Roman" w:hAnsi="Times New Roman"/>
          <w:sz w:val="28"/>
        </w:rPr>
        <w:t>за исключением сельскохозяйственных товаропроизводителей, являющихся субъектами микропредпринимательства в соответствии с Федеральным законом от 24.07.2007 № 209-ФЗ «О развитии малого и среднего предпринимательства в Российской Федерации», которые представляют указанный отчет не позднее 10 рабочего дня месяца, следующего за годом получения субсидии</w:t>
      </w:r>
      <w:r>
        <w:rPr>
          <w:rFonts w:ascii="Times New Roman" w:hAnsi="Times New Roman"/>
          <w:sz w:val="28"/>
        </w:rPr>
        <w:t>)</w:t>
      </w:r>
      <w:r>
        <w:rPr>
          <w:rFonts w:ascii="Times New Roman" w:hAnsi="Times New Roman"/>
          <w:sz w:val="28"/>
        </w:rPr>
        <w:t>;</w:t>
      </w:r>
    </w:p>
    <w:p w14:paraId="7C000000">
      <w:pPr>
        <w:spacing w:after="0" w:line="240" w:lineRule="auto"/>
        <w:ind w:firstLine="709" w:right="0"/>
        <w:jc w:val="both"/>
        <w:rPr>
          <w:rFonts w:ascii="Times New Roman" w:hAnsi="Times New Roman"/>
          <w:sz w:val="28"/>
        </w:rPr>
      </w:pPr>
      <w:r>
        <w:rPr>
          <w:rFonts w:ascii="Times New Roman" w:hAnsi="Times New Roman"/>
          <w:sz w:val="28"/>
        </w:rPr>
        <w:t>б) отчет об осуществлении расходов, источником финансового обеспечения</w:t>
      </w:r>
      <w:r>
        <w:rPr>
          <w:rFonts w:ascii="Times New Roman" w:hAnsi="Times New Roman"/>
          <w:sz w:val="28"/>
        </w:rPr>
        <w:t xml:space="preserve"> </w:t>
      </w:r>
      <w:r>
        <w:rPr>
          <w:rFonts w:ascii="Times New Roman" w:hAnsi="Times New Roman"/>
          <w:sz w:val="28"/>
        </w:rPr>
        <w:t>которых</w:t>
      </w:r>
      <w:r>
        <w:rPr>
          <w:rFonts w:ascii="Times New Roman" w:hAnsi="Times New Roman"/>
          <w:sz w:val="28"/>
        </w:rPr>
        <w:t xml:space="preserve"> является субсидия </w:t>
      </w:r>
      <w:r>
        <w:rPr>
          <w:rFonts w:ascii="Times New Roman" w:hAnsi="Times New Roman"/>
          <w:sz w:val="28"/>
        </w:rPr>
        <w:t>по форме, предусмотренной</w:t>
      </w:r>
      <w:r>
        <w:rPr>
          <w:rFonts w:ascii="Times New Roman" w:hAnsi="Times New Roman"/>
          <w:sz w:val="28"/>
        </w:rPr>
        <w:t xml:space="preserve"> типовыми формами соглашений, установленным</w:t>
      </w:r>
      <w:r>
        <w:rPr>
          <w:rFonts w:ascii="Times New Roman" w:hAnsi="Times New Roman"/>
          <w:sz w:val="28"/>
        </w:rPr>
        <w:t xml:space="preserve"> </w:t>
      </w:r>
      <w:r>
        <w:rPr>
          <w:rFonts w:ascii="Times New Roman" w:hAnsi="Times New Roman"/>
          <w:sz w:val="28"/>
        </w:rPr>
        <w:t>Министерством</w:t>
      </w:r>
      <w:r>
        <w:rPr>
          <w:rFonts w:ascii="Times New Roman" w:hAnsi="Times New Roman"/>
          <w:sz w:val="28"/>
        </w:rPr>
        <w:t xml:space="preserve"> финансов Камчатского края</w:t>
      </w:r>
      <w:r>
        <w:rPr>
          <w:rFonts w:ascii="Times New Roman" w:hAnsi="Times New Roman"/>
          <w:sz w:val="28"/>
        </w:rPr>
        <w:t>;</w:t>
      </w:r>
    </w:p>
    <w:p w14:paraId="7D000000">
      <w:pPr>
        <w:spacing w:after="0" w:line="240" w:lineRule="auto"/>
        <w:ind w:firstLine="709" w:right="0"/>
        <w:jc w:val="both"/>
        <w:rPr>
          <w:rFonts w:ascii="Times New Roman" w:hAnsi="Times New Roman"/>
          <w:sz w:val="28"/>
        </w:rPr>
      </w:pPr>
      <w:r>
        <w:rPr>
          <w:rFonts w:ascii="Times New Roman" w:hAnsi="Times New Roman"/>
          <w:sz w:val="28"/>
        </w:rPr>
        <w:t>в) подтверждающие документы к отчету</w:t>
      </w:r>
      <w:r>
        <w:rPr>
          <w:rFonts w:ascii="Times New Roman" w:hAnsi="Times New Roman"/>
          <w:strike w:val="0"/>
          <w:sz w:val="28"/>
        </w:rPr>
        <w:t xml:space="preserve"> </w:t>
      </w:r>
      <w:r>
        <w:rPr>
          <w:rFonts w:ascii="Times New Roman" w:hAnsi="Times New Roman"/>
          <w:strike w:val="0"/>
          <w:sz w:val="28"/>
        </w:rPr>
        <w:t>об осуществлении расходов</w:t>
      </w:r>
      <w:r>
        <w:rPr>
          <w:rFonts w:ascii="Times New Roman" w:hAnsi="Times New Roman"/>
          <w:sz w:val="28"/>
        </w:rPr>
        <w:t xml:space="preserve">, источником </w:t>
      </w:r>
      <w:r>
        <w:rPr>
          <w:rFonts w:ascii="Times New Roman" w:hAnsi="Times New Roman"/>
          <w:sz w:val="28"/>
        </w:rPr>
        <w:t>фина</w:t>
      </w:r>
      <w:r>
        <w:rPr>
          <w:rFonts w:ascii="Times New Roman" w:hAnsi="Times New Roman"/>
          <w:sz w:val="28"/>
        </w:rPr>
        <w:t>нсового обеспечени</w:t>
      </w:r>
      <w:r>
        <w:rPr>
          <w:rFonts w:ascii="Times New Roman" w:hAnsi="Times New Roman"/>
          <w:sz w:val="28"/>
        </w:rPr>
        <w:t xml:space="preserve">я </w:t>
      </w:r>
      <w:r>
        <w:rPr>
          <w:rFonts w:ascii="Times New Roman" w:hAnsi="Times New Roman"/>
          <w:sz w:val="28"/>
        </w:rPr>
        <w:t>которы</w:t>
      </w:r>
      <w:r>
        <w:rPr>
          <w:rFonts w:ascii="Times New Roman" w:hAnsi="Times New Roman"/>
          <w:sz w:val="28"/>
        </w:rPr>
        <w:t>х я</w:t>
      </w:r>
      <w:r>
        <w:rPr>
          <w:rFonts w:ascii="Times New Roman" w:hAnsi="Times New Roman"/>
          <w:sz w:val="28"/>
        </w:rPr>
        <w:t>вл</w:t>
      </w:r>
      <w:r>
        <w:rPr>
          <w:rFonts w:ascii="Times New Roman" w:hAnsi="Times New Roman"/>
          <w:sz w:val="28"/>
        </w:rPr>
        <w:t>яется субсидия, в форме электронных копий документов (</w:t>
      </w:r>
      <w:r>
        <w:rPr>
          <w:rFonts w:ascii="Times New Roman" w:hAnsi="Times New Roman"/>
          <w:sz w:val="28"/>
        </w:rPr>
        <w:t xml:space="preserve">документов на бумажном носителе, </w:t>
      </w:r>
      <w:r>
        <w:rPr>
          <w:rFonts w:ascii="Times New Roman" w:hAnsi="Times New Roman"/>
          <w:sz w:val="28"/>
        </w:rPr>
        <w:t>преобразованных в электронную фо</w:t>
      </w:r>
      <w:r>
        <w:rPr>
          <w:rFonts w:ascii="Times New Roman" w:hAnsi="Times New Roman"/>
          <w:sz w:val="28"/>
        </w:rPr>
        <w:t xml:space="preserve">рму путем сканирования), </w:t>
      </w:r>
      <w:r>
        <w:rPr>
          <w:rFonts w:ascii="Times New Roman" w:hAnsi="Times New Roman"/>
          <w:sz w:val="28"/>
        </w:rPr>
        <w:t xml:space="preserve">не представленные ранее в Министерство в рамках </w:t>
      </w:r>
      <w:r>
        <w:rPr>
          <w:rFonts w:ascii="Times New Roman" w:hAnsi="Times New Roman"/>
          <w:sz w:val="28"/>
        </w:rPr>
        <w:t>иных нормативных правовых актов</w:t>
      </w:r>
      <w:r>
        <w:rPr>
          <w:rFonts w:ascii="Times New Roman" w:hAnsi="Times New Roman"/>
          <w:sz w:val="28"/>
        </w:rPr>
        <w:t>:</w:t>
      </w:r>
    </w:p>
    <w:p w14:paraId="7E000000">
      <w:pPr>
        <w:spacing w:after="0" w:line="240" w:lineRule="auto"/>
        <w:ind w:firstLine="709" w:right="0"/>
        <w:jc w:val="both"/>
        <w:rPr>
          <w:rFonts w:ascii="Times New Roman" w:hAnsi="Times New Roman"/>
          <w:sz w:val="28"/>
        </w:rPr>
      </w:pPr>
      <w:r>
        <w:rPr>
          <w:rFonts w:ascii="Times New Roman" w:hAnsi="Times New Roman"/>
          <w:sz w:val="28"/>
        </w:rPr>
        <w:t xml:space="preserve">договоры (соглашения), счета, счета-фактуры, платежные поручения, </w:t>
      </w:r>
      <w:r>
        <w:rPr>
          <w:rFonts w:ascii="Times New Roman" w:hAnsi="Times New Roman"/>
          <w:sz w:val="28"/>
        </w:rPr>
        <w:t xml:space="preserve">накладные, </w:t>
      </w:r>
      <w:r>
        <w:rPr>
          <w:rFonts w:ascii="Times New Roman" w:hAnsi="Times New Roman"/>
          <w:sz w:val="28"/>
        </w:rPr>
        <w:t xml:space="preserve">акты приема, </w:t>
      </w:r>
      <w:r>
        <w:rPr>
          <w:rFonts w:ascii="Times New Roman" w:hAnsi="Times New Roman"/>
          <w:sz w:val="28"/>
        </w:rPr>
        <w:t>акты приема-передачи, универсальные передаточные документы и другие документы</w:t>
      </w:r>
      <w:r>
        <w:rPr>
          <w:rFonts w:ascii="Times New Roman" w:hAnsi="Times New Roman"/>
          <w:sz w:val="28"/>
        </w:rPr>
        <w:t>, подтверждающие фактически произведенные затраты в отчетном квартале</w:t>
      </w:r>
      <w:r>
        <w:rPr>
          <w:rFonts w:ascii="Times New Roman" w:hAnsi="Times New Roman"/>
          <w:sz w:val="28"/>
        </w:rPr>
        <w:t>;</w:t>
      </w:r>
    </w:p>
    <w:p w14:paraId="7F000000">
      <w:pPr>
        <w:pStyle w:val="Style_3"/>
        <w:spacing w:after="0" w:line="240" w:lineRule="auto"/>
        <w:ind w:firstLine="709" w:right="0"/>
        <w:jc w:val="both"/>
        <w:rPr>
          <w:rFonts w:ascii="Times New Roman" w:hAnsi="Times New Roman"/>
          <w:sz w:val="28"/>
        </w:rPr>
      </w:pPr>
      <w:r>
        <w:rPr>
          <w:rFonts w:ascii="Times New Roman" w:hAnsi="Times New Roman"/>
          <w:sz w:val="28"/>
        </w:rPr>
        <w:t xml:space="preserve">паспорт </w:t>
      </w:r>
      <w:r>
        <w:rPr>
          <w:rFonts w:ascii="Times New Roman" w:hAnsi="Times New Roman"/>
          <w:sz w:val="28"/>
        </w:rPr>
        <w:t xml:space="preserve">оборудования </w:t>
      </w:r>
      <w:r>
        <w:rPr>
          <w:rFonts w:ascii="Times New Roman" w:hAnsi="Times New Roman"/>
          <w:sz w:val="28"/>
        </w:rPr>
        <w:t xml:space="preserve">или </w:t>
      </w:r>
      <w:r>
        <w:rPr>
          <w:rFonts w:ascii="Times New Roman" w:hAnsi="Times New Roman"/>
          <w:sz w:val="28"/>
        </w:rPr>
        <w:t xml:space="preserve">иной </w:t>
      </w:r>
      <w:r>
        <w:rPr>
          <w:rFonts w:ascii="Times New Roman" w:hAnsi="Times New Roman"/>
          <w:sz w:val="28"/>
        </w:rPr>
        <w:t>документ, подтверждающий страну и год производства оборудования (в случае приобретения оборудования);</w:t>
      </w:r>
    </w:p>
    <w:p w14:paraId="80000000">
      <w:pPr>
        <w:pStyle w:val="Style_3"/>
        <w:spacing w:after="0" w:line="240" w:lineRule="auto"/>
        <w:ind w:firstLine="709" w:right="0"/>
        <w:jc w:val="both"/>
        <w:rPr>
          <w:rFonts w:ascii="Times New Roman" w:hAnsi="Times New Roman"/>
          <w:sz w:val="28"/>
        </w:rPr>
      </w:pPr>
      <w:r>
        <w:rPr>
          <w:rFonts w:ascii="Times New Roman" w:hAnsi="Times New Roman"/>
          <w:sz w:val="28"/>
        </w:rPr>
        <w:t xml:space="preserve">паспорт транспортного средства или выписку из электронного паспорта транспортного </w:t>
      </w:r>
      <w:r>
        <w:rPr>
          <w:rFonts w:ascii="Times New Roman" w:hAnsi="Times New Roman"/>
          <w:sz w:val="28"/>
        </w:rPr>
        <w:t xml:space="preserve">средства и (или) карточку учета транспортного средства (в случае приобретения </w:t>
      </w:r>
      <w:r>
        <w:rPr>
          <w:rFonts w:ascii="Times New Roman" w:hAnsi="Times New Roman"/>
          <w:sz w:val="28"/>
        </w:rPr>
        <w:t>транспортного средства</w:t>
      </w:r>
      <w:r>
        <w:rPr>
          <w:rFonts w:ascii="Times New Roman" w:hAnsi="Times New Roman"/>
          <w:sz w:val="28"/>
        </w:rPr>
        <w:t xml:space="preserve">), </w:t>
      </w:r>
    </w:p>
    <w:p w14:paraId="81000000">
      <w:pPr>
        <w:pStyle w:val="Style_3"/>
        <w:spacing w:after="0" w:line="240" w:lineRule="auto"/>
        <w:ind w:firstLine="709" w:right="0"/>
        <w:jc w:val="both"/>
        <w:rPr>
          <w:rFonts w:ascii="Times New Roman" w:hAnsi="Times New Roman"/>
          <w:sz w:val="28"/>
        </w:rPr>
      </w:pPr>
      <w:r>
        <w:rPr>
          <w:rFonts w:ascii="Times New Roman" w:hAnsi="Times New Roman"/>
          <w:sz w:val="28"/>
        </w:rPr>
        <w:t xml:space="preserve">акты о приеме-передаче объектов основных средств или инвентарные карточки </w:t>
      </w:r>
      <w:r>
        <w:rPr>
          <w:rFonts w:ascii="Times New Roman" w:hAnsi="Times New Roman"/>
          <w:sz w:val="28"/>
        </w:rPr>
        <w:t>учета основных средств или приказ о постановке на баланс основных средств;</w:t>
      </w:r>
    </w:p>
    <w:p w14:paraId="82000000">
      <w:pPr>
        <w:spacing w:after="0" w:line="240" w:lineRule="auto"/>
        <w:ind w:firstLine="709" w:right="0"/>
        <w:jc w:val="both"/>
        <w:rPr>
          <w:rFonts w:ascii="Times New Roman" w:hAnsi="Times New Roman"/>
          <w:sz w:val="28"/>
        </w:rPr>
      </w:pPr>
      <w:r>
        <w:rPr>
          <w:rFonts w:ascii="Times New Roman" w:hAnsi="Times New Roman"/>
          <w:sz w:val="28"/>
        </w:rPr>
        <w:t>2)</w:t>
      </w:r>
      <w:r>
        <w:rPr>
          <w:rFonts w:ascii="Times New Roman" w:hAnsi="Times New Roman"/>
          <w:spacing w:val="0"/>
          <w:sz w:val="28"/>
        </w:rPr>
        <w:t> ежегодно</w:t>
      </w:r>
      <w:r>
        <w:rPr>
          <w:rFonts w:ascii="Times New Roman" w:hAnsi="Times New Roman"/>
          <w:sz w:val="28"/>
        </w:rPr>
        <w:t xml:space="preserve"> </w:t>
      </w:r>
      <w:r>
        <w:rPr>
          <w:rFonts w:ascii="Times New Roman" w:hAnsi="Times New Roman"/>
          <w:sz w:val="28"/>
        </w:rPr>
        <w:t>в течение 5 лет с года, следующего за годом предоставления субсидии,</w:t>
      </w:r>
      <w:r>
        <w:rPr>
          <w:rFonts w:ascii="Times New Roman" w:hAnsi="Times New Roman"/>
          <w:sz w:val="28"/>
        </w:rPr>
        <w:t xml:space="preserve"> </w:t>
      </w:r>
      <w:r>
        <w:rPr>
          <w:rFonts w:ascii="Times New Roman" w:hAnsi="Times New Roman"/>
          <w:sz w:val="28"/>
        </w:rPr>
        <w:t>инвентарные карточки учёта объектов основных средств, на приобретенные оборудование и (или) технику.</w:t>
      </w:r>
    </w:p>
    <w:p w14:paraId="83000000">
      <w:pPr>
        <w:spacing w:after="0" w:line="240" w:lineRule="auto"/>
        <w:ind w:firstLine="709" w:right="0"/>
        <w:jc w:val="both"/>
        <w:rPr>
          <w:rFonts w:ascii="Times New Roman" w:hAnsi="Times New Roman"/>
          <w:strike w:val="0"/>
          <w:color w:val="000000"/>
          <w:sz w:val="28"/>
        </w:rPr>
      </w:pPr>
      <w:r>
        <w:rPr>
          <w:rFonts w:ascii="Times New Roman" w:hAnsi="Times New Roman"/>
          <w:strike w:val="0"/>
          <w:sz w:val="28"/>
        </w:rPr>
        <w:t>19</w:t>
      </w:r>
      <w:r>
        <w:rPr>
          <w:rFonts w:ascii="Times New Roman" w:hAnsi="Times New Roman"/>
          <w:strike w:val="0"/>
          <w:sz w:val="28"/>
        </w:rPr>
        <w:t>. </w:t>
      </w:r>
      <w:r>
        <w:rPr>
          <w:rFonts w:ascii="Times New Roman" w:hAnsi="Times New Roman"/>
          <w:strike w:val="0"/>
          <w:sz w:val="28"/>
        </w:rPr>
        <w:t>Министерство осуществляет</w:t>
      </w:r>
      <w:r>
        <w:rPr>
          <w:rFonts w:ascii="Times New Roman" w:hAnsi="Times New Roman"/>
          <w:strike w:val="0"/>
          <w:sz w:val="28"/>
        </w:rPr>
        <w:t xml:space="preserve"> проверку </w:t>
      </w:r>
      <w:r>
        <w:rPr>
          <w:rFonts w:ascii="Times New Roman" w:hAnsi="Times New Roman"/>
          <w:strike w:val="0"/>
          <w:sz w:val="28"/>
        </w:rPr>
        <w:t>о</w:t>
      </w:r>
      <w:r>
        <w:rPr>
          <w:rFonts w:ascii="Times New Roman" w:hAnsi="Times New Roman"/>
          <w:strike w:val="0"/>
          <w:sz w:val="28"/>
        </w:rPr>
        <w:t>тчетности, указа</w:t>
      </w:r>
      <w:r>
        <w:rPr>
          <w:rFonts w:ascii="Times New Roman" w:hAnsi="Times New Roman"/>
          <w:strike w:val="0"/>
          <w:sz w:val="28"/>
        </w:rPr>
        <w:t xml:space="preserve">нной в </w:t>
      </w:r>
      <w:r>
        <w:rPr>
          <w:rFonts w:ascii="Times New Roman" w:hAnsi="Times New Roman"/>
          <w:strike w:val="0"/>
          <w:sz w:val="28"/>
        </w:rPr>
        <w:t>части 18</w:t>
      </w:r>
      <w:r>
        <w:rPr>
          <w:rFonts w:ascii="Times New Roman" w:hAnsi="Times New Roman"/>
          <w:strike w:val="0"/>
          <w:sz w:val="28"/>
        </w:rPr>
        <w:t xml:space="preserve"> </w:t>
      </w:r>
      <w:r>
        <w:rPr>
          <w:rFonts w:ascii="Times New Roman" w:hAnsi="Times New Roman"/>
          <w:strike w:val="0"/>
          <w:sz w:val="28"/>
        </w:rPr>
        <w:t>настоящего Порядка</w:t>
      </w:r>
      <w:r>
        <w:rPr>
          <w:rFonts w:ascii="Times New Roman" w:hAnsi="Times New Roman"/>
          <w:strike w:val="0"/>
          <w:sz w:val="28"/>
        </w:rPr>
        <w:t>, устанавливает полноту и достоверность сведений, содержащихся в отчетах и в прилагаемых к отче</w:t>
      </w:r>
      <w:r>
        <w:rPr>
          <w:rFonts w:ascii="Times New Roman" w:hAnsi="Times New Roman"/>
          <w:strike w:val="0"/>
          <w:sz w:val="28"/>
        </w:rPr>
        <w:t>там документах</w:t>
      </w:r>
      <w:r>
        <w:rPr>
          <w:rFonts w:ascii="Times New Roman" w:hAnsi="Times New Roman"/>
          <w:strike w:val="0"/>
          <w:sz w:val="28"/>
        </w:rPr>
        <w:t xml:space="preserve"> (пр</w:t>
      </w:r>
      <w:r>
        <w:rPr>
          <w:rFonts w:ascii="Times New Roman" w:hAnsi="Times New Roman"/>
          <w:strike w:val="0"/>
          <w:sz w:val="28"/>
        </w:rPr>
        <w:t xml:space="preserve">и наличии) </w:t>
      </w:r>
      <w:r>
        <w:rPr>
          <w:rFonts w:ascii="Times New Roman" w:hAnsi="Times New Roman"/>
          <w:strike w:val="0"/>
          <w:sz w:val="28"/>
        </w:rPr>
        <w:t>в срок, не превышающий</w:t>
      </w:r>
      <w:r>
        <w:rPr>
          <w:rFonts w:ascii="Times New Roman" w:hAnsi="Times New Roman"/>
          <w:strike w:val="0"/>
          <w:sz w:val="28"/>
        </w:rPr>
        <w:t xml:space="preserve"> </w:t>
      </w:r>
      <w:r>
        <w:rPr>
          <w:rFonts w:ascii="Times New Roman" w:hAnsi="Times New Roman"/>
          <w:strike w:val="0"/>
          <w:sz w:val="28"/>
        </w:rPr>
        <w:t xml:space="preserve">30 </w:t>
      </w:r>
      <w:r>
        <w:rPr>
          <w:rFonts w:ascii="Times New Roman" w:hAnsi="Times New Roman"/>
          <w:strike w:val="0"/>
          <w:sz w:val="28"/>
        </w:rPr>
        <w:t xml:space="preserve">рабочих дней со дня </w:t>
      </w:r>
      <w:r>
        <w:rPr>
          <w:rFonts w:ascii="Times New Roman" w:hAnsi="Times New Roman"/>
          <w:strike w:val="0"/>
          <w:sz w:val="28"/>
        </w:rPr>
        <w:t xml:space="preserve">окончания срока </w:t>
      </w:r>
      <w:r>
        <w:rPr>
          <w:rFonts w:ascii="Times New Roman" w:hAnsi="Times New Roman"/>
          <w:strike w:val="0"/>
          <w:sz w:val="28"/>
        </w:rPr>
        <w:t>представления получателем субсидии</w:t>
      </w:r>
      <w:r>
        <w:rPr>
          <w:rFonts w:ascii="Times New Roman" w:hAnsi="Times New Roman"/>
          <w:strike w:val="0"/>
          <w:sz w:val="28"/>
        </w:rPr>
        <w:t xml:space="preserve"> </w:t>
      </w:r>
      <w:r>
        <w:rPr>
          <w:rFonts w:ascii="Times New Roman" w:hAnsi="Times New Roman"/>
          <w:strike w:val="0"/>
          <w:sz w:val="28"/>
        </w:rPr>
        <w:t>месячно</w:t>
      </w:r>
      <w:r>
        <w:rPr>
          <w:rFonts w:ascii="Times New Roman" w:hAnsi="Times New Roman"/>
          <w:strike w:val="0"/>
          <w:color w:val="000000"/>
          <w:sz w:val="28"/>
        </w:rPr>
        <w:t xml:space="preserve">й и квартальной отчетности, в </w:t>
      </w:r>
      <w:r>
        <w:rPr>
          <w:rFonts w:ascii="Times New Roman" w:hAnsi="Times New Roman"/>
          <w:strike w:val="0"/>
          <w:color w:val="000000"/>
          <w:sz w:val="28"/>
        </w:rPr>
        <w:t xml:space="preserve">срок </w:t>
      </w:r>
      <w:r>
        <w:rPr>
          <w:rFonts w:ascii="Times New Roman" w:hAnsi="Times New Roman"/>
          <w:strike w:val="0"/>
          <w:color w:val="000000"/>
          <w:sz w:val="28"/>
        </w:rPr>
        <w:t>не</w:t>
      </w:r>
      <w:r>
        <w:rPr>
          <w:rFonts w:ascii="Times New Roman" w:hAnsi="Times New Roman"/>
          <w:strike w:val="0"/>
          <w:color w:val="000000"/>
          <w:sz w:val="28"/>
        </w:rPr>
        <w:t xml:space="preserve"> позднее 5 февраля</w:t>
      </w:r>
      <w:r>
        <w:rPr>
          <w:rFonts w:ascii="Times New Roman" w:hAnsi="Times New Roman"/>
          <w:strike w:val="0"/>
          <w:color w:val="000000"/>
          <w:sz w:val="28"/>
        </w:rPr>
        <w:t xml:space="preserve"> очере</w:t>
      </w:r>
      <w:r>
        <w:rPr>
          <w:rFonts w:ascii="Times New Roman" w:hAnsi="Times New Roman"/>
          <w:strike w:val="0"/>
          <w:color w:val="000000"/>
          <w:sz w:val="28"/>
        </w:rPr>
        <w:t xml:space="preserve">дного финансового года </w:t>
      </w:r>
      <w:r>
        <w:rPr>
          <w:rFonts w:ascii="Times New Roman" w:hAnsi="Times New Roman"/>
          <w:strike w:val="0"/>
          <w:color w:val="000000"/>
          <w:sz w:val="28"/>
        </w:rPr>
        <w:t xml:space="preserve">отчетности, предоставляемой </w:t>
      </w:r>
      <w:r>
        <w:rPr>
          <w:rFonts w:ascii="Times New Roman" w:hAnsi="Times New Roman"/>
          <w:strike w:val="0"/>
          <w:color w:val="000000"/>
          <w:sz w:val="28"/>
        </w:rPr>
        <w:t>по итогам отчетного финансового года</w:t>
      </w:r>
      <w:r>
        <w:rPr>
          <w:rFonts w:ascii="Times New Roman" w:hAnsi="Times New Roman"/>
          <w:strike w:val="0"/>
          <w:color w:val="000000"/>
          <w:sz w:val="28"/>
        </w:rPr>
        <w:t>.</w:t>
      </w:r>
    </w:p>
    <w:p w14:paraId="84000000">
      <w:pPr>
        <w:spacing w:after="0" w:line="240" w:lineRule="auto"/>
        <w:ind w:firstLine="709" w:right="0"/>
        <w:jc w:val="both"/>
        <w:rPr>
          <w:rFonts w:ascii="Times New Roman" w:hAnsi="Times New Roman"/>
          <w:sz w:val="28"/>
        </w:rPr>
      </w:pPr>
      <w:r>
        <w:rPr>
          <w:rFonts w:ascii="Times New Roman" w:hAnsi="Times New Roman"/>
          <w:sz w:val="28"/>
        </w:rPr>
        <w:t xml:space="preserve">Отчеты, указанные </w:t>
      </w:r>
      <w:r>
        <w:rPr>
          <w:rFonts w:ascii="Times New Roman" w:hAnsi="Times New Roman"/>
          <w:sz w:val="28"/>
        </w:rPr>
        <w:t xml:space="preserve">в </w:t>
      </w:r>
      <w:r>
        <w:rPr>
          <w:rFonts w:ascii="Times New Roman" w:hAnsi="Times New Roman"/>
          <w:sz w:val="28"/>
        </w:rPr>
        <w:t>части 18</w:t>
      </w:r>
      <w:r>
        <w:rPr>
          <w:rFonts w:ascii="Times New Roman" w:hAnsi="Times New Roman"/>
          <w:sz w:val="28"/>
        </w:rPr>
        <w:t xml:space="preserve"> настоя</w:t>
      </w:r>
      <w:r>
        <w:rPr>
          <w:rFonts w:ascii="Times New Roman" w:hAnsi="Times New Roman"/>
          <w:sz w:val="28"/>
        </w:rPr>
        <w:t xml:space="preserve">щего Порядка, считаются принятыми в случае отсутствия нарушений по результатам их проверки и подписания усиленной </w:t>
      </w:r>
      <w:r>
        <w:rPr>
          <w:rFonts w:ascii="Times New Roman" w:hAnsi="Times New Roman"/>
          <w:sz w:val="28"/>
        </w:rPr>
        <w:fldChar w:fldCharType="begin"/>
      </w:r>
      <w:r>
        <w:rPr>
          <w:rFonts w:ascii="Times New Roman" w:hAnsi="Times New Roman"/>
          <w:sz w:val="28"/>
        </w:rPr>
        <w:instrText>HYPERLINK "https://internet.garant.ru/document/redirect/12184522/54" \o "https://internet.garant.ru/document/redirect/12184522/54"</w:instrText>
      </w:r>
      <w:r>
        <w:rPr>
          <w:rFonts w:ascii="Times New Roman" w:hAnsi="Times New Roman"/>
          <w:sz w:val="28"/>
        </w:rPr>
        <w:fldChar w:fldCharType="separate"/>
      </w:r>
      <w:r>
        <w:rPr>
          <w:rFonts w:ascii="Times New Roman" w:hAnsi="Times New Roman"/>
          <w:sz w:val="28"/>
        </w:rPr>
        <w:t>квалифицированной электронной подписью</w:t>
      </w:r>
      <w:r>
        <w:rPr>
          <w:rFonts w:ascii="Times New Roman" w:hAnsi="Times New Roman"/>
          <w:sz w:val="28"/>
        </w:rPr>
        <w:fldChar w:fldCharType="end"/>
      </w:r>
      <w:r>
        <w:rPr>
          <w:rFonts w:ascii="Times New Roman" w:hAnsi="Times New Roman"/>
          <w:sz w:val="28"/>
        </w:rPr>
        <w:t xml:space="preserve"> руководителем Министерства (уполномоченным им лицом) в системе «Электронный б</w:t>
      </w:r>
      <w:r>
        <w:rPr>
          <w:rFonts w:ascii="Times New Roman" w:hAnsi="Times New Roman"/>
          <w:sz w:val="28"/>
        </w:rPr>
        <w:t xml:space="preserve">юджет» </w:t>
      </w:r>
      <w:r>
        <w:rPr>
          <w:rFonts w:ascii="Times New Roman" w:hAnsi="Times New Roman"/>
          <w:sz w:val="28"/>
        </w:rPr>
        <w:t>в течение сроков, указа</w:t>
      </w:r>
      <w:r>
        <w:rPr>
          <w:rFonts w:ascii="Times New Roman" w:hAnsi="Times New Roman"/>
          <w:sz w:val="28"/>
        </w:rPr>
        <w:t>нн</w:t>
      </w:r>
      <w:r>
        <w:rPr>
          <w:rFonts w:ascii="Times New Roman" w:hAnsi="Times New Roman"/>
          <w:sz w:val="28"/>
        </w:rPr>
        <w:t>ых</w:t>
      </w:r>
      <w:r>
        <w:rPr>
          <w:rFonts w:ascii="Times New Roman" w:hAnsi="Times New Roman"/>
          <w:sz w:val="28"/>
        </w:rPr>
        <w:t xml:space="preserve"> в абзаце первом настоящей части</w:t>
      </w:r>
      <w:r>
        <w:rPr>
          <w:rFonts w:ascii="Times New Roman" w:hAnsi="Times New Roman"/>
          <w:sz w:val="28"/>
        </w:rPr>
        <w:t>.</w:t>
      </w:r>
    </w:p>
    <w:p w14:paraId="85000000">
      <w:pPr>
        <w:spacing w:after="0" w:line="240" w:lineRule="auto"/>
        <w:ind w:firstLine="709" w:right="0"/>
        <w:jc w:val="both"/>
        <w:rPr>
          <w:rFonts w:ascii="Times New Roman" w:hAnsi="Times New Roman"/>
          <w:sz w:val="28"/>
        </w:rPr>
      </w:pPr>
      <w:r>
        <w:rPr>
          <w:rFonts w:ascii="Times New Roman" w:hAnsi="Times New Roman"/>
          <w:sz w:val="28"/>
        </w:rPr>
        <w:t>20.</w:t>
      </w:r>
      <w:r>
        <w:rPr>
          <w:rFonts w:ascii="Times New Roman" w:hAnsi="Times New Roman"/>
          <w:spacing w:val="0"/>
          <w:sz w:val="28"/>
        </w:rPr>
        <w:t> </w:t>
      </w:r>
      <w:r>
        <w:rPr>
          <w:rFonts w:ascii="Times New Roman" w:hAnsi="Times New Roman"/>
          <w:sz w:val="28"/>
        </w:rPr>
        <w:t>В слу</w:t>
      </w:r>
      <w:r>
        <w:rPr>
          <w:rFonts w:ascii="Times New Roman" w:hAnsi="Times New Roman"/>
          <w:sz w:val="28"/>
        </w:rPr>
        <w:t>чае непринятия отчетов,</w:t>
      </w:r>
      <w:r>
        <w:rPr>
          <w:rFonts w:ascii="Times New Roman" w:hAnsi="Times New Roman"/>
          <w:sz w:val="28"/>
        </w:rPr>
        <w:t xml:space="preserve"> указанн</w:t>
      </w:r>
      <w:r>
        <w:rPr>
          <w:rFonts w:ascii="Times New Roman" w:hAnsi="Times New Roman"/>
          <w:sz w:val="28"/>
        </w:rPr>
        <w:t xml:space="preserve">ых в </w:t>
      </w:r>
      <w:r>
        <w:rPr>
          <w:rFonts w:ascii="Times New Roman" w:hAnsi="Times New Roman"/>
          <w:sz w:val="28"/>
        </w:rPr>
        <w:t>части 18</w:t>
      </w:r>
      <w:r>
        <w:rPr>
          <w:rFonts w:ascii="Times New Roman" w:hAnsi="Times New Roman"/>
          <w:sz w:val="28"/>
        </w:rPr>
        <w:t xml:space="preserve"> нас</w:t>
      </w:r>
      <w:r>
        <w:rPr>
          <w:rFonts w:ascii="Times New Roman" w:hAnsi="Times New Roman"/>
          <w:sz w:val="28"/>
        </w:rPr>
        <w:t xml:space="preserve">тоящего Порядка, получатель субсидии автоматически информируется </w:t>
      </w:r>
      <w:r>
        <w:rPr>
          <w:rFonts w:ascii="Times New Roman" w:hAnsi="Times New Roman"/>
          <w:sz w:val="28"/>
        </w:rPr>
        <w:t xml:space="preserve">в течение сроков, </w:t>
      </w:r>
      <w:r>
        <w:rPr>
          <w:rFonts w:ascii="Times New Roman" w:hAnsi="Times New Roman"/>
          <w:sz w:val="28"/>
        </w:rPr>
        <w:t>указанн</w:t>
      </w:r>
      <w:r>
        <w:rPr>
          <w:rFonts w:ascii="Times New Roman" w:hAnsi="Times New Roman"/>
          <w:sz w:val="28"/>
        </w:rPr>
        <w:t xml:space="preserve">ых </w:t>
      </w:r>
      <w:r>
        <w:rPr>
          <w:rFonts w:ascii="Times New Roman" w:hAnsi="Times New Roman"/>
          <w:sz w:val="28"/>
        </w:rPr>
        <w:t xml:space="preserve">в </w:t>
      </w:r>
      <w:r>
        <w:rPr>
          <w:rFonts w:ascii="Times New Roman" w:hAnsi="Times New Roman"/>
          <w:sz w:val="28"/>
        </w:rPr>
        <w:t>абзаце первом части 19</w:t>
      </w:r>
      <w:r>
        <w:rPr>
          <w:rFonts w:ascii="Times New Roman" w:hAnsi="Times New Roman"/>
          <w:sz w:val="28"/>
        </w:rPr>
        <w:t xml:space="preserve"> нас</w:t>
      </w:r>
      <w:r>
        <w:rPr>
          <w:rFonts w:ascii="Times New Roman" w:hAnsi="Times New Roman"/>
          <w:sz w:val="28"/>
        </w:rPr>
        <w:t>тоящего Порядка,</w:t>
      </w:r>
      <w:r>
        <w:rPr>
          <w:rFonts w:ascii="Times New Roman" w:hAnsi="Times New Roman"/>
          <w:sz w:val="28"/>
        </w:rPr>
        <w:t xml:space="preserve"> </w:t>
      </w:r>
      <w:r>
        <w:rPr>
          <w:rFonts w:ascii="Times New Roman" w:hAnsi="Times New Roman"/>
          <w:sz w:val="28"/>
        </w:rPr>
        <w:t>п</w:t>
      </w:r>
      <w:r>
        <w:rPr>
          <w:rFonts w:ascii="Times New Roman" w:hAnsi="Times New Roman"/>
          <w:sz w:val="28"/>
        </w:rPr>
        <w:t>осредством системы «Электронный бюджет» об отклонении отчетов с указанием причин отклонения и сроков предоставления скорректированных отчетов.</w:t>
      </w:r>
    </w:p>
    <w:p w14:paraId="86000000">
      <w:pPr>
        <w:spacing w:after="0" w:line="240" w:lineRule="auto"/>
        <w:ind w:firstLine="709" w:right="0"/>
        <w:jc w:val="both"/>
        <w:rPr>
          <w:rFonts w:ascii="Times New Roman" w:hAnsi="Times New Roman"/>
          <w:sz w:val="28"/>
        </w:rPr>
      </w:pPr>
      <w:r>
        <w:rPr>
          <w:rFonts w:ascii="Times New Roman" w:hAnsi="Times New Roman"/>
          <w:sz w:val="28"/>
        </w:rPr>
        <w:t>21</w:t>
      </w:r>
      <w:r>
        <w:rPr>
          <w:rFonts w:ascii="Times New Roman" w:hAnsi="Times New Roman"/>
          <w:sz w:val="28"/>
        </w:rPr>
        <w:t>.</w:t>
      </w:r>
      <w:r>
        <w:rPr>
          <w:rFonts w:ascii="Times New Roman" w:hAnsi="Times New Roman"/>
          <w:spacing w:val="0"/>
          <w:sz w:val="28"/>
        </w:rPr>
        <w:t> </w:t>
      </w:r>
      <w:r>
        <w:rPr>
          <w:rFonts w:ascii="Times New Roman" w:hAnsi="Times New Roman"/>
          <w:sz w:val="28"/>
        </w:rPr>
        <w:t>Отчеты отклоняются по следующим основаниям:</w:t>
      </w:r>
    </w:p>
    <w:p w14:paraId="87000000">
      <w:pPr>
        <w:spacing w:after="0" w:line="240" w:lineRule="auto"/>
        <w:ind w:firstLine="709" w:right="0"/>
        <w:jc w:val="both"/>
        <w:rPr>
          <w:rFonts w:ascii="Times New Roman" w:hAnsi="Times New Roman"/>
          <w:sz w:val="28"/>
        </w:rPr>
      </w:pPr>
      <w:r>
        <w:rPr>
          <w:rFonts w:ascii="Times New Roman" w:hAnsi="Times New Roman"/>
          <w:sz w:val="28"/>
        </w:rPr>
        <w:t>1)</w:t>
      </w:r>
      <w:r>
        <w:rPr>
          <w:rFonts w:ascii="Times New Roman" w:hAnsi="Times New Roman"/>
          <w:spacing w:val="0"/>
          <w:sz w:val="28"/>
        </w:rPr>
        <w:t> </w:t>
      </w:r>
      <w:r>
        <w:rPr>
          <w:rFonts w:ascii="Times New Roman" w:hAnsi="Times New Roman"/>
          <w:sz w:val="28"/>
        </w:rPr>
        <w:t>некорректное заполнение (</w:t>
      </w:r>
      <w:r>
        <w:rPr>
          <w:rFonts w:ascii="Times New Roman" w:hAnsi="Times New Roman"/>
          <w:sz w:val="28"/>
        </w:rPr>
        <w:t>незаполнение</w:t>
      </w:r>
      <w:r>
        <w:rPr>
          <w:rFonts w:ascii="Times New Roman" w:hAnsi="Times New Roman"/>
          <w:sz w:val="28"/>
        </w:rPr>
        <w:t>) получателем субсидии граф, предусмотренных в отчетах;</w:t>
      </w:r>
    </w:p>
    <w:p w14:paraId="88000000">
      <w:pPr>
        <w:spacing w:after="0" w:line="240" w:lineRule="auto"/>
        <w:ind w:firstLine="709" w:right="0"/>
        <w:jc w:val="both"/>
        <w:rPr>
          <w:rFonts w:ascii="Times New Roman" w:hAnsi="Times New Roman"/>
          <w:sz w:val="28"/>
        </w:rPr>
      </w:pPr>
      <w:r>
        <w:rPr>
          <w:rFonts w:ascii="Times New Roman" w:hAnsi="Times New Roman"/>
          <w:sz w:val="28"/>
        </w:rPr>
        <w:t>2)</w:t>
      </w:r>
      <w:r>
        <w:rPr>
          <w:rFonts w:ascii="Times New Roman" w:hAnsi="Times New Roman"/>
          <w:spacing w:val="0"/>
          <w:sz w:val="28"/>
        </w:rPr>
        <w:t> </w:t>
      </w:r>
      <w:r>
        <w:rPr>
          <w:rFonts w:ascii="Times New Roman" w:hAnsi="Times New Roman"/>
          <w:sz w:val="28"/>
        </w:rPr>
        <w:t>недостоверность информации, содержащейся в отчетности;</w:t>
      </w:r>
    </w:p>
    <w:p w14:paraId="89000000">
      <w:pPr>
        <w:spacing w:after="0" w:line="240" w:lineRule="auto"/>
        <w:ind w:firstLine="709" w:right="0"/>
        <w:jc w:val="both"/>
        <w:rPr>
          <w:rFonts w:ascii="Times New Roman" w:hAnsi="Times New Roman"/>
          <w:sz w:val="28"/>
        </w:rPr>
      </w:pPr>
      <w:r>
        <w:rPr>
          <w:rFonts w:ascii="Times New Roman" w:hAnsi="Times New Roman"/>
          <w:sz w:val="28"/>
        </w:rPr>
        <w:t>3) непредставление (представление не в полном объеме) документов, предусмотрен</w:t>
      </w:r>
      <w:r>
        <w:rPr>
          <w:rFonts w:ascii="Times New Roman" w:hAnsi="Times New Roman"/>
          <w:sz w:val="28"/>
        </w:rPr>
        <w:t xml:space="preserve">ных </w:t>
      </w:r>
      <w:r>
        <w:rPr>
          <w:rFonts w:ascii="Times New Roman" w:hAnsi="Times New Roman"/>
          <w:sz w:val="28"/>
        </w:rPr>
        <w:t>подпунктом «в» пункта 1</w:t>
      </w:r>
      <w:r>
        <w:rPr>
          <w:rFonts w:ascii="Times New Roman" w:hAnsi="Times New Roman"/>
          <w:sz w:val="28"/>
        </w:rPr>
        <w:t xml:space="preserve"> части 18</w:t>
      </w:r>
      <w:r>
        <w:rPr>
          <w:rFonts w:ascii="Times New Roman" w:hAnsi="Times New Roman"/>
          <w:sz w:val="28"/>
        </w:rPr>
        <w:t xml:space="preserve"> н</w:t>
      </w:r>
      <w:r>
        <w:rPr>
          <w:rFonts w:ascii="Times New Roman" w:hAnsi="Times New Roman"/>
          <w:sz w:val="28"/>
        </w:rPr>
        <w:t>астоящего Порядка.</w:t>
      </w:r>
    </w:p>
    <w:p w14:paraId="8A000000">
      <w:pPr>
        <w:spacing w:after="0" w:line="240" w:lineRule="auto"/>
        <w:ind w:firstLine="709" w:right="0"/>
        <w:jc w:val="both"/>
        <w:rPr>
          <w:rFonts w:ascii="Times New Roman" w:hAnsi="Times New Roman"/>
          <w:sz w:val="28"/>
        </w:rPr>
      </w:pPr>
      <w:r>
        <w:rPr>
          <w:rFonts w:ascii="Times New Roman" w:hAnsi="Times New Roman"/>
          <w:sz w:val="28"/>
        </w:rPr>
        <w:t>22. Министерством проводитс</w:t>
      </w:r>
      <w:r>
        <w:rPr>
          <w:rFonts w:ascii="Times New Roman" w:hAnsi="Times New Roman"/>
          <w:sz w:val="28"/>
        </w:rPr>
        <w:t>я мониторинг достижения значения</w:t>
      </w:r>
      <w:r>
        <w:rPr>
          <w:rFonts w:ascii="Times New Roman" w:hAnsi="Times New Roman"/>
          <w:sz w:val="28"/>
        </w:rPr>
        <w:t xml:space="preserve"> результата предоставления субсидии, определенного</w:t>
      </w:r>
      <w:r>
        <w:rPr>
          <w:rFonts w:ascii="Times New Roman" w:hAnsi="Times New Roman"/>
          <w:sz w:val="28"/>
        </w:rPr>
        <w:t xml:space="preserve"> соглашением, и событий, отражающих факт завершения соответствующего мероприятия по получению </w:t>
      </w:r>
      <w:r>
        <w:rPr>
          <w:rFonts w:ascii="Times New Roman" w:hAnsi="Times New Roman"/>
          <w:sz w:val="28"/>
        </w:rPr>
        <w:t>результата предоставления субсидии (контрольные точки) в порядке и по формам, установленным Министерством финансов Российской Федерации.</w:t>
      </w:r>
    </w:p>
    <w:p w14:paraId="8B000000">
      <w:pPr>
        <w:spacing w:after="0" w:line="240" w:lineRule="auto"/>
        <w:ind w:firstLine="709" w:right="0"/>
        <w:jc w:val="both"/>
        <w:rPr>
          <w:rFonts w:ascii="Times New Roman" w:hAnsi="Times New Roman"/>
          <w:strike w:val="1"/>
          <w:sz w:val="28"/>
        </w:rPr>
      </w:pPr>
      <w:r>
        <w:rPr>
          <w:rFonts w:ascii="Times New Roman" w:hAnsi="Times New Roman"/>
          <w:sz w:val="28"/>
        </w:rPr>
        <w:t xml:space="preserve">В случае если получатель субсидии является субъектом микропредпринимательства в соответствии с Федеральным законом </w:t>
      </w:r>
      <w:r>
        <w:rPr>
          <w:rFonts w:ascii="Times New Roman" w:hAnsi="Times New Roman"/>
          <w:sz w:val="28"/>
        </w:rPr>
        <w:t xml:space="preserve">от 24.07.2007 № 209-ФЗ «О развитии малого и среднего предпринимательства в Российской Федерации» в целях оказания государственной поддержки в соответствии со статьей 3 и пунктом 1 части 1 статьи 7 Федерального закона </w:t>
      </w:r>
      <w:r>
        <w:rPr>
          <w:rFonts w:ascii="Times New Roman" w:hAnsi="Times New Roman"/>
          <w:sz w:val="28"/>
        </w:rPr>
        <w:t>от 29.12.2006 № 264-ФЗ «О развитии сельского хозяйства» Министерство осуществляет мониторинг достижения результата предоставления субсидии не реже одного раза в год.</w:t>
      </w:r>
    </w:p>
    <w:p w14:paraId="8C000000">
      <w:pPr>
        <w:spacing w:after="0" w:line="240" w:lineRule="auto"/>
        <w:ind w:firstLine="709" w:right="0"/>
        <w:jc w:val="both"/>
        <w:rPr>
          <w:rFonts w:ascii="Times New Roman" w:hAnsi="Times New Roman"/>
          <w:sz w:val="28"/>
        </w:rPr>
      </w:pPr>
      <w:r>
        <w:rPr>
          <w:rFonts w:ascii="Times New Roman" w:hAnsi="Times New Roman"/>
          <w:sz w:val="28"/>
        </w:rPr>
        <w:t>23.</w:t>
      </w:r>
      <w:r>
        <w:rPr>
          <w:rFonts w:ascii="Times New Roman" w:hAnsi="Times New Roman"/>
          <w:spacing w:val="0"/>
          <w:sz w:val="28"/>
        </w:rPr>
        <w:t> </w:t>
      </w:r>
      <w:r>
        <w:rPr>
          <w:rFonts w:ascii="Times New Roman" w:hAnsi="Times New Roman"/>
          <w:sz w:val="28"/>
        </w:rPr>
        <w:t xml:space="preserve">Министерство осуществляет </w:t>
      </w:r>
      <w:r>
        <w:rPr>
          <w:rFonts w:ascii="Times New Roman" w:hAnsi="Times New Roman"/>
          <w:sz w:val="28"/>
        </w:rPr>
        <w:t>в отношении получателя субсидии и лиц,</w:t>
      </w:r>
      <w:r>
        <w:rPr>
          <w:rFonts w:ascii="Times New Roman" w:hAnsi="Times New Roman"/>
          <w:sz w:val="28"/>
        </w:rPr>
        <w:t xml:space="preserve"> </w:t>
      </w:r>
      <w:r>
        <w:rPr>
          <w:rFonts w:ascii="Times New Roman" w:hAnsi="Times New Roman"/>
          <w:sz w:val="28"/>
        </w:rPr>
        <w:t>получивших средства на основании договоров (соглашений), заключенных с получателем субсидии в целях исполнения обязательств по соглашению</w:t>
      </w:r>
      <w:r>
        <w:rPr>
          <w:rFonts w:ascii="Times New Roman" w:hAnsi="Times New Roman"/>
          <w:sz w:val="28"/>
        </w:rPr>
        <w:t>, проверки соблюдения ими порядка и условий предоставления субсидии, в том числе в части достижения результа</w:t>
      </w:r>
      <w:r>
        <w:rPr>
          <w:rFonts w:ascii="Times New Roman" w:hAnsi="Times New Roman"/>
          <w:sz w:val="28"/>
        </w:rPr>
        <w:t>та ее предоставления, а органы государственного финансового контроля осуществляют проверки в соответствии со статьями 268</w:t>
      </w:r>
      <w:r>
        <w:rPr>
          <w:rFonts w:ascii="Times New Roman" w:hAnsi="Times New Roman"/>
          <w:sz w:val="28"/>
          <w:vertAlign w:val="superscript"/>
        </w:rPr>
        <w:t>1</w:t>
      </w:r>
      <w:r>
        <w:rPr>
          <w:rFonts w:ascii="Times New Roman" w:hAnsi="Times New Roman"/>
          <w:sz w:val="28"/>
        </w:rPr>
        <w:t xml:space="preserve"> и 269</w:t>
      </w:r>
      <w:r>
        <w:rPr>
          <w:rFonts w:ascii="Times New Roman" w:hAnsi="Times New Roman"/>
          <w:sz w:val="28"/>
          <w:vertAlign w:val="superscript"/>
        </w:rPr>
        <w:t>2</w:t>
      </w:r>
      <w:r>
        <w:rPr>
          <w:rFonts w:ascii="Times New Roman" w:hAnsi="Times New Roman"/>
          <w:sz w:val="28"/>
        </w:rPr>
        <w:t xml:space="preserve"> Бюджетного кодекса Российской Федерации.</w:t>
      </w:r>
    </w:p>
    <w:p w14:paraId="8D000000">
      <w:pPr>
        <w:spacing w:after="0" w:line="240" w:lineRule="auto"/>
        <w:ind w:firstLine="709" w:right="0"/>
        <w:jc w:val="both"/>
        <w:rPr>
          <w:rFonts w:ascii="Times New Roman" w:hAnsi="Times New Roman"/>
          <w:sz w:val="28"/>
        </w:rPr>
      </w:pPr>
      <w:r>
        <w:rPr>
          <w:rFonts w:ascii="Times New Roman" w:hAnsi="Times New Roman"/>
          <w:sz w:val="28"/>
        </w:rPr>
        <w:t xml:space="preserve">Министерство оформляет результаты проверок в порядке, установленном пунктами </w:t>
      </w:r>
      <w:r>
        <w:rPr>
          <w:rFonts w:ascii="Times New Roman" w:hAnsi="Times New Roman"/>
          <w:sz w:val="28"/>
        </w:rPr>
        <w:t>48–59 Федерального стандарта внутреннего государственного (муниципального) финансового контроля «Проведение проверок, ревизий и обследований и оформление их результатов», утвержденного постановлением Правительства Российской Федерации от 17.08.2020 № 1235.</w:t>
      </w:r>
    </w:p>
    <w:p w14:paraId="8E000000">
      <w:pPr>
        <w:spacing w:after="0" w:line="240" w:lineRule="auto"/>
        <w:ind w:firstLine="709" w:right="0"/>
        <w:jc w:val="both"/>
        <w:rPr>
          <w:rFonts w:ascii="Times New Roman" w:hAnsi="Times New Roman"/>
          <w:sz w:val="28"/>
        </w:rPr>
      </w:pPr>
      <w:r>
        <w:rPr>
          <w:rFonts w:ascii="Times New Roman" w:hAnsi="Times New Roman"/>
          <w:sz w:val="28"/>
        </w:rPr>
        <w:t>24.</w:t>
      </w:r>
      <w:r>
        <w:rPr>
          <w:rFonts w:ascii="Times New Roman" w:hAnsi="Times New Roman"/>
          <w:spacing w:val="0"/>
          <w:sz w:val="28"/>
        </w:rPr>
        <w:t> </w:t>
      </w:r>
      <w:r>
        <w:rPr>
          <w:rFonts w:ascii="Times New Roman" w:hAnsi="Times New Roman"/>
          <w:sz w:val="28"/>
        </w:rPr>
        <w:t xml:space="preserve">В случае выявленного, в том числе по фактам проверок, проведенных Министерством и (или) органами государственного финансового контроля, нарушения получателем субсидии условий и порядка, установленных при предоставлении субсидии, а также в случае </w:t>
      </w:r>
      <w:r>
        <w:rPr>
          <w:rFonts w:ascii="Times New Roman" w:hAnsi="Times New Roman"/>
          <w:sz w:val="28"/>
        </w:rPr>
        <w:t>недостижения</w:t>
      </w:r>
      <w:r>
        <w:rPr>
          <w:rFonts w:ascii="Times New Roman" w:hAnsi="Times New Roman"/>
          <w:sz w:val="28"/>
        </w:rPr>
        <w:t xml:space="preserve"> значения результата предоставления субсидии, </w:t>
      </w:r>
      <w:r>
        <w:rPr>
          <w:rFonts w:ascii="Times New Roman" w:hAnsi="Times New Roman"/>
          <w:sz w:val="28"/>
        </w:rPr>
        <w:t>средства субсидии подлежат</w:t>
      </w:r>
      <w:r>
        <w:rPr>
          <w:rFonts w:ascii="Times New Roman" w:hAnsi="Times New Roman"/>
          <w:sz w:val="28"/>
        </w:rPr>
        <w:t xml:space="preserve"> возврату в краевой бюджет в следующем порядке и сроки:</w:t>
      </w:r>
    </w:p>
    <w:p w14:paraId="8F000000">
      <w:pPr>
        <w:spacing w:after="0" w:line="240" w:lineRule="auto"/>
        <w:ind w:firstLine="709" w:right="0"/>
        <w:jc w:val="both"/>
        <w:rPr>
          <w:rFonts w:ascii="Times New Roman" w:hAnsi="Times New Roman"/>
          <w:sz w:val="28"/>
        </w:rPr>
      </w:pPr>
      <w:r>
        <w:rPr>
          <w:rFonts w:ascii="Times New Roman" w:hAnsi="Times New Roman"/>
          <w:sz w:val="28"/>
        </w:rPr>
        <w:t>1) в случае выявления нарушения органом государственного финансового контроля – на основании представления и (или) предписания органа государственного финансового контроля в сроки, указанные в представлении и (или) предписании;</w:t>
      </w:r>
    </w:p>
    <w:p w14:paraId="90000000">
      <w:pPr>
        <w:spacing w:after="0" w:line="240" w:lineRule="auto"/>
        <w:ind w:firstLine="709" w:right="0"/>
        <w:jc w:val="both"/>
        <w:rPr>
          <w:rFonts w:ascii="Times New Roman" w:hAnsi="Times New Roman"/>
          <w:sz w:val="28"/>
        </w:rPr>
      </w:pPr>
      <w:r>
        <w:rPr>
          <w:rFonts w:ascii="Times New Roman" w:hAnsi="Times New Roman"/>
          <w:sz w:val="28"/>
        </w:rPr>
        <w:t xml:space="preserve">2) в случае выявления нарушения Министерством </w:t>
      </w:r>
      <w:r>
        <w:rPr>
          <w:rFonts w:ascii="Times New Roman" w:hAnsi="Times New Roman"/>
          <w:sz w:val="28"/>
        </w:rPr>
        <w:t xml:space="preserve">– </w:t>
      </w:r>
      <w:r>
        <w:rPr>
          <w:rFonts w:ascii="Times New Roman" w:hAnsi="Times New Roman"/>
          <w:sz w:val="28"/>
        </w:rPr>
        <w:t>в течение 20 рабочих дней со дня получения требования Министерства;</w:t>
      </w:r>
    </w:p>
    <w:p w14:paraId="91000000">
      <w:pPr>
        <w:spacing w:after="0" w:line="240" w:lineRule="auto"/>
        <w:ind w:firstLine="709" w:right="0"/>
        <w:jc w:val="both"/>
        <w:rPr>
          <w:rFonts w:ascii="Times New Roman" w:hAnsi="Times New Roman"/>
          <w:sz w:val="28"/>
        </w:rPr>
      </w:pPr>
      <w:r>
        <w:rPr>
          <w:rFonts w:ascii="Times New Roman" w:hAnsi="Times New Roman"/>
          <w:sz w:val="28"/>
        </w:rPr>
        <w:t xml:space="preserve">3) в иных случаях </w:t>
      </w:r>
      <w:r>
        <w:rPr>
          <w:rFonts w:ascii="Times New Roman" w:hAnsi="Times New Roman"/>
          <w:sz w:val="28"/>
        </w:rPr>
        <w:t xml:space="preserve">– </w:t>
      </w:r>
      <w:r>
        <w:rPr>
          <w:rFonts w:ascii="Times New Roman" w:hAnsi="Times New Roman"/>
          <w:sz w:val="28"/>
        </w:rPr>
        <w:t>в течение 20 рабочих дней</w:t>
      </w:r>
      <w:r>
        <w:rPr>
          <w:rFonts w:ascii="Times New Roman" w:hAnsi="Times New Roman"/>
          <w:sz w:val="28"/>
        </w:rPr>
        <w:t xml:space="preserve"> </w:t>
      </w:r>
      <w:r>
        <w:rPr>
          <w:rFonts w:ascii="Times New Roman" w:hAnsi="Times New Roman"/>
          <w:sz w:val="28"/>
        </w:rPr>
        <w:t>со дня выявления нарушения</w:t>
      </w:r>
      <w:r>
        <w:rPr>
          <w:rFonts w:ascii="Times New Roman" w:hAnsi="Times New Roman"/>
          <w:sz w:val="28"/>
        </w:rPr>
        <w:t>.</w:t>
      </w:r>
    </w:p>
    <w:p w14:paraId="92000000">
      <w:pPr>
        <w:spacing w:after="0" w:line="240" w:lineRule="auto"/>
        <w:ind w:firstLine="709" w:right="0"/>
        <w:jc w:val="both"/>
        <w:rPr>
          <w:rFonts w:ascii="Times New Roman" w:hAnsi="Times New Roman"/>
          <w:sz w:val="28"/>
        </w:rPr>
      </w:pPr>
      <w:r>
        <w:rPr>
          <w:rFonts w:ascii="Times New Roman" w:hAnsi="Times New Roman"/>
          <w:sz w:val="28"/>
        </w:rPr>
        <w:t>25.</w:t>
      </w:r>
      <w:r>
        <w:rPr>
          <w:rFonts w:ascii="Times New Roman" w:hAnsi="Times New Roman"/>
          <w:spacing w:val="0"/>
          <w:sz w:val="28"/>
        </w:rPr>
        <w:t> </w:t>
      </w:r>
      <w:r>
        <w:rPr>
          <w:rFonts w:ascii="Times New Roman" w:hAnsi="Times New Roman"/>
          <w:sz w:val="28"/>
        </w:rPr>
        <w:t xml:space="preserve">Получатель субсидии обязан возвратить </w:t>
      </w:r>
      <w:r>
        <w:rPr>
          <w:rFonts w:ascii="Times New Roman" w:hAnsi="Times New Roman"/>
          <w:sz w:val="28"/>
        </w:rPr>
        <w:t xml:space="preserve">средства субсидии </w:t>
      </w:r>
      <w:r>
        <w:rPr>
          <w:rFonts w:ascii="Times New Roman" w:hAnsi="Times New Roman"/>
          <w:sz w:val="28"/>
        </w:rPr>
        <w:t>в краевой бюджет в следующих размерах:</w:t>
      </w:r>
    </w:p>
    <w:p w14:paraId="93000000">
      <w:pPr>
        <w:spacing w:after="0" w:line="240" w:lineRule="auto"/>
        <w:ind w:firstLine="709" w:right="0"/>
        <w:jc w:val="both"/>
        <w:rPr>
          <w:rFonts w:ascii="Times New Roman" w:hAnsi="Times New Roman"/>
          <w:sz w:val="28"/>
        </w:rPr>
      </w:pPr>
      <w:r>
        <w:rPr>
          <w:rFonts w:ascii="Times New Roman" w:hAnsi="Times New Roman"/>
          <w:sz w:val="28"/>
        </w:rPr>
        <w:t xml:space="preserve">1) в случае нарушения цели предоставления субсидии </w:t>
      </w:r>
      <w:r>
        <w:rPr>
          <w:rFonts w:ascii="Times New Roman" w:hAnsi="Times New Roman"/>
          <w:sz w:val="28"/>
        </w:rPr>
        <w:t xml:space="preserve">– </w:t>
      </w:r>
      <w:r>
        <w:rPr>
          <w:rFonts w:ascii="Times New Roman" w:hAnsi="Times New Roman"/>
          <w:sz w:val="28"/>
        </w:rPr>
        <w:t>в размере нецелевого использования денежных средств;</w:t>
      </w:r>
    </w:p>
    <w:p w14:paraId="94000000">
      <w:pPr>
        <w:spacing w:after="0" w:line="240" w:lineRule="auto"/>
        <w:ind w:firstLine="709" w:right="0"/>
        <w:jc w:val="both"/>
        <w:rPr>
          <w:rFonts w:ascii="Times New Roman" w:hAnsi="Times New Roman"/>
          <w:sz w:val="28"/>
        </w:rPr>
      </w:pPr>
      <w:r>
        <w:rPr>
          <w:rFonts w:ascii="Times New Roman" w:hAnsi="Times New Roman"/>
          <w:sz w:val="28"/>
        </w:rPr>
        <w:t xml:space="preserve">2) в случае нарушения условий и порядка, установленных при предоставлении субсидии </w:t>
      </w:r>
      <w:r>
        <w:rPr>
          <w:rFonts w:ascii="Times New Roman" w:hAnsi="Times New Roman"/>
          <w:sz w:val="28"/>
        </w:rPr>
        <w:t xml:space="preserve">– </w:t>
      </w:r>
      <w:r>
        <w:rPr>
          <w:rFonts w:ascii="Times New Roman" w:hAnsi="Times New Roman"/>
          <w:sz w:val="28"/>
        </w:rPr>
        <w:t>в полном объеме;</w:t>
      </w:r>
    </w:p>
    <w:p w14:paraId="95000000">
      <w:pPr>
        <w:spacing w:after="0" w:line="240" w:lineRule="auto"/>
        <w:ind w:firstLine="709" w:right="0"/>
        <w:jc w:val="both"/>
        <w:rPr>
          <w:rFonts w:ascii="Times New Roman" w:hAnsi="Times New Roman"/>
          <w:sz w:val="28"/>
        </w:rPr>
      </w:pPr>
      <w:r>
        <w:rPr>
          <w:rFonts w:ascii="Times New Roman" w:hAnsi="Times New Roman"/>
          <w:sz w:val="28"/>
        </w:rPr>
        <w:t>3) </w:t>
      </w:r>
      <w:r>
        <w:rPr>
          <w:rFonts w:ascii="Times New Roman" w:hAnsi="Times New Roman"/>
          <w:sz w:val="28"/>
        </w:rPr>
        <w:t xml:space="preserve">в случае </w:t>
      </w:r>
      <w:r>
        <w:rPr>
          <w:rFonts w:ascii="Times New Roman" w:hAnsi="Times New Roman"/>
          <w:sz w:val="28"/>
        </w:rPr>
        <w:t>недостижения</w:t>
      </w:r>
      <w:r>
        <w:rPr>
          <w:rFonts w:ascii="Times New Roman" w:hAnsi="Times New Roman"/>
          <w:sz w:val="28"/>
        </w:rPr>
        <w:t xml:space="preserve"> значения результата предоставления субсидии, предусмотренных соглашением, </w:t>
      </w:r>
      <w:r>
        <w:rPr>
          <w:rFonts w:ascii="Times New Roman" w:hAnsi="Times New Roman"/>
          <w:sz w:val="28"/>
        </w:rPr>
        <w:t xml:space="preserve">– </w:t>
      </w:r>
      <w:r>
        <w:rPr>
          <w:rFonts w:ascii="Times New Roman" w:hAnsi="Times New Roman"/>
          <w:sz w:val="28"/>
        </w:rPr>
        <w:t>в размере, определенном по следующей формуле:</w:t>
      </w:r>
    </w:p>
    <w:p w14:paraId="96000000">
      <w:pPr>
        <w:spacing w:after="0" w:line="240" w:lineRule="auto"/>
        <w:ind w:firstLine="709" w:right="0"/>
        <w:jc w:val="both"/>
        <w:rPr>
          <w:rFonts w:ascii="Times New Roman" w:hAnsi="Times New Roman"/>
          <w:sz w:val="28"/>
        </w:rPr>
      </w:pPr>
    </w:p>
    <w:p w14:paraId="97000000">
      <w:pPr>
        <w:spacing w:after="0" w:line="240" w:lineRule="auto"/>
        <w:ind w:firstLine="0" w:right="0"/>
        <w:jc w:val="center"/>
        <w:rPr>
          <w:rFonts w:ascii="Times New Roman" w:hAnsi="Times New Roman"/>
          <w:sz w:val="28"/>
        </w:rPr>
      </w:pPr>
      <w:r>
        <w:rPr>
          <w:rFonts w:ascii="Times New Roman" w:hAnsi="Times New Roman"/>
          <w:sz w:val="28"/>
        </w:rPr>
        <w:t>V</w:t>
      </w:r>
      <w:r>
        <w:rPr>
          <w:rFonts w:ascii="Times New Roman" w:hAnsi="Times New Roman"/>
          <w:sz w:val="28"/>
          <w:vertAlign w:val="subscript"/>
        </w:rPr>
        <w:t>возврата</w:t>
      </w:r>
      <w:r>
        <w:rPr>
          <w:rFonts w:ascii="Times New Roman" w:hAnsi="Times New Roman"/>
          <w:sz w:val="28"/>
        </w:rPr>
        <w:t> =</w:t>
      </w:r>
      <w:r>
        <w:rPr>
          <w:rFonts w:ascii="Times New Roman" w:hAnsi="Times New Roman"/>
          <w:spacing w:val="0"/>
          <w:sz w:val="28"/>
        </w:rPr>
        <w:t> </w:t>
      </w:r>
      <w:r>
        <w:rPr>
          <w:rFonts w:ascii="Times New Roman" w:hAnsi="Times New Roman"/>
          <w:sz w:val="28"/>
        </w:rPr>
        <w:t>(1</w:t>
      </w:r>
      <w:r>
        <w:rPr>
          <w:rFonts w:ascii="Times New Roman" w:hAnsi="Times New Roman"/>
          <w:spacing w:val="0"/>
          <w:sz w:val="28"/>
        </w:rPr>
        <w:t> </w:t>
      </w:r>
      <w:r>
        <w:rPr>
          <w:rFonts w:ascii="Times New Roman" w:hAnsi="Times New Roman"/>
          <w:sz w:val="28"/>
        </w:rPr>
        <w:t>-</w:t>
      </w:r>
      <w:r>
        <w:rPr>
          <w:rFonts w:ascii="Times New Roman" w:hAnsi="Times New Roman"/>
          <w:spacing w:val="0"/>
          <w:sz w:val="28"/>
        </w:rPr>
        <w:t> </w:t>
      </w:r>
      <w:r>
        <w:rPr>
          <w:rFonts w:ascii="Times New Roman" w:hAnsi="Times New Roman"/>
          <w:sz w:val="28"/>
        </w:rPr>
        <w:t>T/S)</w:t>
      </w:r>
      <w:r>
        <w:rPr>
          <w:rFonts w:ascii="Times New Roman" w:hAnsi="Times New Roman"/>
          <w:spacing w:val="0"/>
          <w:sz w:val="28"/>
        </w:rPr>
        <w:t> </w:t>
      </w:r>
      <w:r>
        <w:rPr>
          <w:rFonts w:ascii="Times New Roman" w:hAnsi="Times New Roman"/>
          <w:sz w:val="28"/>
        </w:rPr>
        <w:t>х</w:t>
      </w:r>
      <w:r>
        <w:rPr>
          <w:rFonts w:ascii="Times New Roman" w:hAnsi="Times New Roman"/>
          <w:spacing w:val="0"/>
          <w:sz w:val="28"/>
        </w:rPr>
        <w:t> </w:t>
      </w:r>
      <w:r>
        <w:rPr>
          <w:rFonts w:ascii="Times New Roman" w:hAnsi="Times New Roman"/>
          <w:sz w:val="28"/>
        </w:rPr>
        <w:t>С, где:</w:t>
      </w:r>
    </w:p>
    <w:p w14:paraId="98000000">
      <w:pPr>
        <w:spacing w:after="0" w:line="240" w:lineRule="auto"/>
        <w:ind w:firstLine="709" w:right="0"/>
        <w:jc w:val="center"/>
        <w:rPr>
          <w:rFonts w:ascii="Times New Roman" w:hAnsi="Times New Roman"/>
          <w:sz w:val="28"/>
        </w:rPr>
      </w:pPr>
    </w:p>
    <w:p w14:paraId="99000000">
      <w:pPr>
        <w:spacing w:after="0" w:line="240" w:lineRule="auto"/>
        <w:ind w:firstLine="709" w:right="0"/>
        <w:jc w:val="both"/>
        <w:rPr>
          <w:rFonts w:ascii="Times New Roman" w:hAnsi="Times New Roman"/>
          <w:sz w:val="28"/>
        </w:rPr>
      </w:pPr>
      <w:r>
        <w:rPr>
          <w:rFonts w:ascii="Times New Roman" w:hAnsi="Times New Roman"/>
          <w:sz w:val="28"/>
        </w:rPr>
        <w:t>V</w:t>
      </w:r>
      <w:r>
        <w:rPr>
          <w:rFonts w:ascii="Times New Roman" w:hAnsi="Times New Roman"/>
          <w:sz w:val="28"/>
          <w:vertAlign w:val="subscript"/>
        </w:rPr>
        <w:t>возврата</w:t>
      </w:r>
      <w:r>
        <w:rPr>
          <w:rFonts w:ascii="Times New Roman" w:hAnsi="Times New Roman"/>
          <w:sz w:val="28"/>
        </w:rPr>
        <w:t xml:space="preserve"> – </w:t>
      </w:r>
      <w:r>
        <w:rPr>
          <w:rFonts w:ascii="Times New Roman" w:hAnsi="Times New Roman"/>
          <w:sz w:val="28"/>
        </w:rPr>
        <w:t xml:space="preserve">размер </w:t>
      </w:r>
      <w:r>
        <w:rPr>
          <w:rFonts w:ascii="Times New Roman" w:hAnsi="Times New Roman"/>
          <w:sz w:val="28"/>
        </w:rPr>
        <w:t>средств субсидии, подлежащих</w:t>
      </w:r>
      <w:r>
        <w:rPr>
          <w:rFonts w:ascii="Times New Roman" w:hAnsi="Times New Roman"/>
          <w:sz w:val="28"/>
        </w:rPr>
        <w:t xml:space="preserve"> возврату в краевой бюджет;</w:t>
      </w:r>
    </w:p>
    <w:p w14:paraId="9A000000">
      <w:pPr>
        <w:spacing w:after="0" w:line="240" w:lineRule="auto"/>
        <w:ind w:firstLine="709" w:right="0"/>
        <w:jc w:val="both"/>
        <w:rPr>
          <w:rFonts w:ascii="Times New Roman" w:hAnsi="Times New Roman"/>
          <w:sz w:val="28"/>
        </w:rPr>
      </w:pPr>
      <w:r>
        <w:rPr>
          <w:rFonts w:ascii="Times New Roman" w:hAnsi="Times New Roman"/>
          <w:sz w:val="28"/>
        </w:rPr>
        <w:t xml:space="preserve">Т </w:t>
      </w:r>
      <w:r>
        <w:rPr>
          <w:rFonts w:ascii="Times New Roman" w:hAnsi="Times New Roman"/>
          <w:sz w:val="28"/>
        </w:rPr>
        <w:t xml:space="preserve">– </w:t>
      </w:r>
      <w:r>
        <w:rPr>
          <w:rFonts w:ascii="Times New Roman" w:hAnsi="Times New Roman"/>
          <w:sz w:val="28"/>
        </w:rPr>
        <w:t>фактически достигнутое значение результата предоставления субсидии;</w:t>
      </w:r>
    </w:p>
    <w:p w14:paraId="9B000000">
      <w:pPr>
        <w:spacing w:after="0" w:line="240" w:lineRule="auto"/>
        <w:ind w:firstLine="709" w:right="0"/>
        <w:jc w:val="both"/>
        <w:rPr>
          <w:rFonts w:ascii="Times New Roman" w:hAnsi="Times New Roman"/>
          <w:sz w:val="28"/>
        </w:rPr>
      </w:pPr>
      <w:r>
        <w:rPr>
          <w:rFonts w:ascii="Times New Roman" w:hAnsi="Times New Roman"/>
          <w:sz w:val="28"/>
        </w:rPr>
        <w:t xml:space="preserve">S </w:t>
      </w:r>
      <w:r>
        <w:rPr>
          <w:rFonts w:ascii="Times New Roman" w:hAnsi="Times New Roman"/>
          <w:sz w:val="28"/>
        </w:rPr>
        <w:t xml:space="preserve">– </w:t>
      </w:r>
      <w:r>
        <w:rPr>
          <w:rFonts w:ascii="Times New Roman" w:hAnsi="Times New Roman"/>
          <w:sz w:val="28"/>
        </w:rPr>
        <w:t>плановое значение результата предоставления субсидии, установленное соглашением;</w:t>
      </w:r>
    </w:p>
    <w:p w14:paraId="9C000000">
      <w:pPr>
        <w:spacing w:after="0" w:line="240" w:lineRule="auto"/>
        <w:ind w:firstLine="709" w:right="0"/>
        <w:jc w:val="both"/>
        <w:rPr>
          <w:rFonts w:ascii="Times New Roman" w:hAnsi="Times New Roman"/>
          <w:sz w:val="28"/>
        </w:rPr>
      </w:pPr>
      <w:r>
        <w:rPr>
          <w:rFonts w:ascii="Times New Roman" w:hAnsi="Times New Roman"/>
          <w:sz w:val="28"/>
        </w:rPr>
        <w:t xml:space="preserve">С </w:t>
      </w:r>
      <w:r>
        <w:rPr>
          <w:rFonts w:ascii="Times New Roman" w:hAnsi="Times New Roman"/>
          <w:sz w:val="28"/>
        </w:rPr>
        <w:t xml:space="preserve">– </w:t>
      </w:r>
      <w:r>
        <w:rPr>
          <w:rFonts w:ascii="Times New Roman" w:hAnsi="Times New Roman"/>
          <w:sz w:val="28"/>
        </w:rPr>
        <w:t>размер субсидии, предоставленной получателю субсидии.</w:t>
      </w:r>
    </w:p>
    <w:p w14:paraId="9D000000">
      <w:pPr>
        <w:spacing w:after="0" w:line="240" w:lineRule="auto"/>
        <w:ind w:firstLine="709" w:right="0"/>
        <w:jc w:val="both"/>
        <w:rPr>
          <w:rFonts w:ascii="Times New Roman" w:hAnsi="Times New Roman"/>
          <w:sz w:val="28"/>
        </w:rPr>
      </w:pPr>
      <w:r>
        <w:rPr>
          <w:rFonts w:ascii="Times New Roman" w:hAnsi="Times New Roman"/>
          <w:sz w:val="28"/>
        </w:rPr>
        <w:t>26.</w:t>
      </w:r>
      <w:r>
        <w:rPr>
          <w:rFonts w:ascii="Times New Roman" w:hAnsi="Times New Roman"/>
          <w:spacing w:val="0"/>
          <w:sz w:val="28"/>
        </w:rPr>
        <w:t> </w:t>
      </w:r>
      <w:r>
        <w:rPr>
          <w:rFonts w:ascii="Times New Roman" w:hAnsi="Times New Roman"/>
          <w:sz w:val="28"/>
        </w:rPr>
        <w:t>Перечень обстоятельств непреодолимой силы</w:t>
      </w:r>
      <w:r>
        <w:rPr>
          <w:rFonts w:ascii="Times New Roman" w:hAnsi="Times New Roman"/>
          <w:sz w:val="28"/>
        </w:rPr>
        <w:t>, вследствие возникновения которых соблюдение условий предоставления субсидии, в том числе исполнен</w:t>
      </w:r>
      <w:r>
        <w:rPr>
          <w:rFonts w:ascii="Times New Roman" w:hAnsi="Times New Roman"/>
          <w:sz w:val="28"/>
        </w:rPr>
        <w:t xml:space="preserve">ие обязательств по достижению </w:t>
      </w:r>
      <w:r>
        <w:rPr>
          <w:rFonts w:ascii="Times New Roman" w:hAnsi="Times New Roman"/>
          <w:sz w:val="28"/>
        </w:rPr>
        <w:t xml:space="preserve">значения </w:t>
      </w:r>
      <w:r>
        <w:rPr>
          <w:rFonts w:ascii="Times New Roman" w:hAnsi="Times New Roman"/>
          <w:sz w:val="28"/>
        </w:rPr>
        <w:t xml:space="preserve">результата предоставления субсидии, является невозможным, положения </w:t>
      </w:r>
      <w:r>
        <w:rPr>
          <w:rFonts w:ascii="Times New Roman" w:hAnsi="Times New Roman"/>
          <w:sz w:val="28"/>
        </w:rPr>
        <w:t>пунктов 2 и 3 части 2</w:t>
      </w:r>
      <w:r>
        <w:rPr>
          <w:rFonts w:ascii="Times New Roman" w:hAnsi="Times New Roman"/>
          <w:sz w:val="28"/>
        </w:rPr>
        <w:t xml:space="preserve">5 настоящего </w:t>
      </w:r>
      <w:r>
        <w:rPr>
          <w:rFonts w:ascii="Times New Roman" w:hAnsi="Times New Roman"/>
          <w:sz w:val="28"/>
        </w:rPr>
        <w:t>Порядка не применяются:</w:t>
      </w:r>
    </w:p>
    <w:p w14:paraId="9E000000">
      <w:pPr>
        <w:spacing w:after="0" w:line="240" w:lineRule="auto"/>
        <w:ind w:firstLine="709" w:right="0"/>
        <w:jc w:val="both"/>
        <w:rPr>
          <w:rFonts w:ascii="Times New Roman" w:hAnsi="Times New Roman"/>
          <w:sz w:val="28"/>
        </w:rPr>
      </w:pPr>
      <w:r>
        <w:rPr>
          <w:rFonts w:ascii="Times New Roman" w:hAnsi="Times New Roman"/>
          <w:sz w:val="28"/>
        </w:rPr>
        <w:t>1)</w:t>
      </w:r>
      <w:r>
        <w:rPr>
          <w:rFonts w:ascii="Times New Roman" w:hAnsi="Times New Roman"/>
          <w:spacing w:val="0"/>
          <w:sz w:val="28"/>
        </w:rPr>
        <w:t> </w:t>
      </w:r>
      <w:r>
        <w:rPr>
          <w:rFonts w:ascii="Times New Roman" w:hAnsi="Times New Roman"/>
          <w:sz w:val="28"/>
        </w:rPr>
        <w:t xml:space="preserve">аномальные погодные условия (атмосферная засуха, почвенная засуха, суховей, заморозки, </w:t>
      </w:r>
      <w:r>
        <w:rPr>
          <w:rFonts w:ascii="Times New Roman" w:hAnsi="Times New Roman"/>
          <w:sz w:val="28"/>
        </w:rPr>
        <w:t>выпревание</w:t>
      </w:r>
      <w:r>
        <w:rPr>
          <w:rFonts w:ascii="Times New Roman" w:hAnsi="Times New Roman"/>
          <w:sz w:val="28"/>
        </w:rPr>
        <w:t>, вымерзание, градобитие, ураганный ветер, ледяная корка, переувлажнение почвы, половодье);</w:t>
      </w:r>
    </w:p>
    <w:p w14:paraId="9F000000">
      <w:pPr>
        <w:spacing w:after="0" w:line="240" w:lineRule="auto"/>
        <w:ind w:firstLine="709" w:right="0"/>
        <w:jc w:val="both"/>
        <w:rPr>
          <w:rFonts w:ascii="Times New Roman" w:hAnsi="Times New Roman"/>
          <w:sz w:val="28"/>
        </w:rPr>
      </w:pPr>
      <w:r>
        <w:rPr>
          <w:rFonts w:ascii="Times New Roman" w:hAnsi="Times New Roman"/>
          <w:sz w:val="28"/>
        </w:rPr>
        <w:t>2)</w:t>
      </w:r>
      <w:r>
        <w:rPr>
          <w:rFonts w:ascii="Times New Roman" w:hAnsi="Times New Roman"/>
          <w:spacing w:val="0"/>
          <w:sz w:val="28"/>
        </w:rPr>
        <w:t> </w:t>
      </w:r>
      <w:r>
        <w:rPr>
          <w:rFonts w:ascii="Times New Roman" w:hAnsi="Times New Roman"/>
          <w:sz w:val="28"/>
        </w:rPr>
        <w:t xml:space="preserve">стихийные природные явления (землетрясение, наводнение, ураган, природный пожар); </w:t>
      </w:r>
    </w:p>
    <w:p w14:paraId="A0000000">
      <w:pPr>
        <w:spacing w:after="0" w:line="240" w:lineRule="auto"/>
        <w:ind w:firstLine="709" w:right="0"/>
        <w:jc w:val="both"/>
        <w:rPr>
          <w:rFonts w:ascii="Times New Roman" w:hAnsi="Times New Roman"/>
          <w:sz w:val="28"/>
        </w:rPr>
      </w:pPr>
      <w:r>
        <w:rPr>
          <w:rFonts w:ascii="Times New Roman" w:hAnsi="Times New Roman"/>
          <w:sz w:val="28"/>
        </w:rPr>
        <w:t>3)</w:t>
      </w:r>
      <w:r>
        <w:rPr>
          <w:rFonts w:ascii="Times New Roman" w:hAnsi="Times New Roman"/>
          <w:spacing w:val="0"/>
          <w:sz w:val="28"/>
        </w:rPr>
        <w:t> </w:t>
      </w:r>
      <w:r>
        <w:rPr>
          <w:rFonts w:ascii="Times New Roman" w:hAnsi="Times New Roman"/>
          <w:sz w:val="28"/>
        </w:rPr>
        <w:t xml:space="preserve">обстоятельства общественной жизни: </w:t>
      </w:r>
    </w:p>
    <w:p w14:paraId="A1000000">
      <w:pPr>
        <w:spacing w:after="0" w:line="240" w:lineRule="auto"/>
        <w:ind w:firstLine="709" w:right="0"/>
        <w:jc w:val="both"/>
        <w:rPr>
          <w:rFonts w:ascii="Times New Roman" w:hAnsi="Times New Roman"/>
          <w:sz w:val="28"/>
        </w:rPr>
      </w:pPr>
      <w:r>
        <w:rPr>
          <w:rFonts w:ascii="Times New Roman" w:hAnsi="Times New Roman"/>
          <w:sz w:val="28"/>
        </w:rPr>
        <w:t>а)</w:t>
      </w:r>
      <w:r>
        <w:rPr>
          <w:rFonts w:ascii="Times New Roman" w:hAnsi="Times New Roman"/>
          <w:spacing w:val="0"/>
          <w:sz w:val="28"/>
        </w:rPr>
        <w:t> </w:t>
      </w:r>
      <w:r>
        <w:rPr>
          <w:rFonts w:ascii="Times New Roman" w:hAnsi="Times New Roman"/>
          <w:sz w:val="28"/>
        </w:rPr>
        <w:t xml:space="preserve">война, террористические акты, диверсии; </w:t>
      </w:r>
    </w:p>
    <w:p w14:paraId="A2000000">
      <w:pPr>
        <w:spacing w:after="0" w:line="240" w:lineRule="auto"/>
        <w:ind w:firstLine="709" w:right="0"/>
        <w:jc w:val="both"/>
        <w:rPr>
          <w:rFonts w:ascii="Times New Roman" w:hAnsi="Times New Roman"/>
          <w:sz w:val="28"/>
        </w:rPr>
      </w:pPr>
      <w:r>
        <w:rPr>
          <w:rFonts w:ascii="Times New Roman" w:hAnsi="Times New Roman"/>
          <w:sz w:val="28"/>
        </w:rPr>
        <w:t>б)</w:t>
      </w:r>
      <w:r>
        <w:rPr>
          <w:rFonts w:ascii="Times New Roman" w:hAnsi="Times New Roman"/>
          <w:spacing w:val="0"/>
          <w:sz w:val="28"/>
        </w:rPr>
        <w:t> </w:t>
      </w:r>
      <w:r>
        <w:rPr>
          <w:rFonts w:ascii="Times New Roman" w:hAnsi="Times New Roman"/>
          <w:sz w:val="28"/>
        </w:rPr>
        <w:t xml:space="preserve">эпифитотия; </w:t>
      </w:r>
    </w:p>
    <w:p w14:paraId="A3000000">
      <w:pPr>
        <w:spacing w:after="0" w:line="240" w:lineRule="auto"/>
        <w:ind w:firstLine="709" w:right="0"/>
        <w:jc w:val="both"/>
        <w:rPr>
          <w:rFonts w:ascii="Times New Roman" w:hAnsi="Times New Roman"/>
          <w:sz w:val="28"/>
        </w:rPr>
      </w:pPr>
      <w:r>
        <w:rPr>
          <w:rFonts w:ascii="Times New Roman" w:hAnsi="Times New Roman"/>
          <w:sz w:val="28"/>
        </w:rPr>
        <w:t>в)</w:t>
      </w:r>
      <w:r>
        <w:rPr>
          <w:rFonts w:ascii="Times New Roman" w:hAnsi="Times New Roman"/>
          <w:spacing w:val="0"/>
          <w:sz w:val="28"/>
        </w:rPr>
        <w:t> </w:t>
      </w:r>
      <w:r>
        <w:rPr>
          <w:rFonts w:ascii="Times New Roman" w:hAnsi="Times New Roman"/>
          <w:sz w:val="28"/>
        </w:rPr>
        <w:t xml:space="preserve">вынужденный убой сельскохозяйственных животных вследствие заразных болезней животных, включенных в перечни, утвержденные Министерством сельского хозяйства Российской Федерации; </w:t>
      </w:r>
    </w:p>
    <w:p w14:paraId="A4000000">
      <w:pPr>
        <w:spacing w:after="0" w:line="240" w:lineRule="auto"/>
        <w:ind w:firstLine="709" w:right="0"/>
        <w:jc w:val="both"/>
        <w:rPr>
          <w:rFonts w:ascii="Times New Roman" w:hAnsi="Times New Roman"/>
          <w:sz w:val="28"/>
        </w:rPr>
      </w:pPr>
      <w:r>
        <w:rPr>
          <w:rFonts w:ascii="Times New Roman" w:hAnsi="Times New Roman"/>
          <w:sz w:val="28"/>
        </w:rPr>
        <w:t>г)</w:t>
      </w:r>
      <w:r>
        <w:rPr>
          <w:rFonts w:ascii="Times New Roman" w:hAnsi="Times New Roman"/>
          <w:spacing w:val="0"/>
          <w:sz w:val="28"/>
        </w:rPr>
        <w:t> </w:t>
      </w:r>
      <w:r>
        <w:rPr>
          <w:rFonts w:ascii="Times New Roman" w:hAnsi="Times New Roman"/>
          <w:sz w:val="28"/>
        </w:rPr>
        <w:t xml:space="preserve">падеж сельскохозяйственных животных вследствие заразных болезней животных, включенных в перечни, утвержденные Министерством сельского хозяйства Российской Федерации; </w:t>
      </w:r>
    </w:p>
    <w:p w14:paraId="A5000000">
      <w:pPr>
        <w:spacing w:after="0" w:line="240" w:lineRule="auto"/>
        <w:ind w:firstLine="709" w:right="0"/>
        <w:jc w:val="both"/>
        <w:rPr>
          <w:rFonts w:ascii="Times New Roman" w:hAnsi="Times New Roman"/>
          <w:sz w:val="28"/>
        </w:rPr>
      </w:pPr>
      <w:r>
        <w:rPr>
          <w:rFonts w:ascii="Times New Roman" w:hAnsi="Times New Roman"/>
          <w:sz w:val="28"/>
        </w:rPr>
        <w:t>д)</w:t>
      </w:r>
      <w:r>
        <w:rPr>
          <w:rFonts w:ascii="Times New Roman" w:hAnsi="Times New Roman"/>
          <w:spacing w:val="0"/>
          <w:sz w:val="28"/>
        </w:rPr>
        <w:t> </w:t>
      </w:r>
      <w:r>
        <w:rPr>
          <w:rFonts w:ascii="Times New Roman" w:hAnsi="Times New Roman"/>
          <w:sz w:val="28"/>
        </w:rPr>
        <w:t xml:space="preserve">пожар; </w:t>
      </w:r>
    </w:p>
    <w:p w14:paraId="A6000000">
      <w:pPr>
        <w:spacing w:after="0" w:line="240" w:lineRule="auto"/>
        <w:ind w:firstLine="709" w:right="0"/>
        <w:jc w:val="both"/>
        <w:rPr>
          <w:rFonts w:ascii="Times New Roman" w:hAnsi="Times New Roman"/>
          <w:sz w:val="28"/>
        </w:rPr>
      </w:pPr>
      <w:r>
        <w:rPr>
          <w:rFonts w:ascii="Times New Roman" w:hAnsi="Times New Roman"/>
          <w:sz w:val="28"/>
        </w:rPr>
        <w:t>4)</w:t>
      </w:r>
      <w:r>
        <w:rPr>
          <w:rFonts w:ascii="Times New Roman" w:hAnsi="Times New Roman"/>
          <w:spacing w:val="0"/>
          <w:sz w:val="28"/>
        </w:rPr>
        <w:t> </w:t>
      </w:r>
      <w:r>
        <w:rPr>
          <w:rFonts w:ascii="Times New Roman" w:hAnsi="Times New Roman"/>
          <w:sz w:val="28"/>
        </w:rPr>
        <w:t>установле</w:t>
      </w:r>
      <w:r>
        <w:rPr>
          <w:rFonts w:ascii="Times New Roman" w:hAnsi="Times New Roman"/>
          <w:sz w:val="28"/>
        </w:rPr>
        <w:t xml:space="preserve">ние регионального (межмуниципального) и (или) местного уровня реагирования на чрезвычайную ситуацию, подтвержденное правовым актом </w:t>
      </w:r>
      <w:r>
        <w:rPr>
          <w:rFonts w:ascii="Times New Roman" w:hAnsi="Times New Roman"/>
          <w:strike w:val="0"/>
          <w:sz w:val="28"/>
        </w:rPr>
        <w:t>органа государс</w:t>
      </w:r>
      <w:r>
        <w:rPr>
          <w:rFonts w:ascii="Times New Roman" w:hAnsi="Times New Roman"/>
          <w:strike w:val="0"/>
          <w:sz w:val="28"/>
        </w:rPr>
        <w:t>тв</w:t>
      </w:r>
      <w:r>
        <w:rPr>
          <w:rFonts w:ascii="Times New Roman" w:hAnsi="Times New Roman"/>
          <w:strike w:val="0"/>
          <w:sz w:val="28"/>
        </w:rPr>
        <w:t>енной власти</w:t>
      </w:r>
      <w:r>
        <w:rPr>
          <w:rFonts w:ascii="Times New Roman" w:hAnsi="Times New Roman"/>
          <w:strike w:val="0"/>
          <w:sz w:val="28"/>
        </w:rPr>
        <w:t xml:space="preserve"> </w:t>
      </w:r>
      <w:r>
        <w:rPr>
          <w:rFonts w:ascii="Times New Roman" w:hAnsi="Times New Roman"/>
          <w:sz w:val="28"/>
        </w:rPr>
        <w:t>Камчатского края</w:t>
      </w:r>
      <w:r>
        <w:rPr>
          <w:rFonts w:ascii="Times New Roman" w:hAnsi="Times New Roman"/>
          <w:sz w:val="28"/>
        </w:rPr>
        <w:t xml:space="preserve"> и (или) органа местного самоуправления муниципального образования в Камчатском крае; </w:t>
      </w:r>
    </w:p>
    <w:p w14:paraId="A7000000">
      <w:pPr>
        <w:spacing w:after="0" w:line="240" w:lineRule="auto"/>
        <w:ind w:firstLine="709" w:right="0"/>
        <w:jc w:val="both"/>
        <w:rPr>
          <w:rFonts w:ascii="Times New Roman" w:hAnsi="Times New Roman"/>
          <w:sz w:val="28"/>
        </w:rPr>
      </w:pPr>
      <w:r>
        <w:rPr>
          <w:rFonts w:ascii="Times New Roman" w:hAnsi="Times New Roman"/>
          <w:sz w:val="28"/>
        </w:rPr>
        <w:t>5)</w:t>
      </w:r>
      <w:r>
        <w:rPr>
          <w:rFonts w:ascii="Times New Roman" w:hAnsi="Times New Roman"/>
          <w:spacing w:val="0"/>
          <w:sz w:val="28"/>
        </w:rPr>
        <w:t> </w:t>
      </w:r>
      <w:r>
        <w:rPr>
          <w:rFonts w:ascii="Times New Roman" w:hAnsi="Times New Roman"/>
          <w:sz w:val="28"/>
        </w:rPr>
        <w:t>установление карантина и (или) иных ограничений, направленных на предотвращение распространения и ликвидацию очагов заразных и иных болезней животных, подтвержденное правовым актом</w:t>
      </w:r>
      <w:r>
        <w:rPr>
          <w:rFonts w:ascii="Times New Roman" w:hAnsi="Times New Roman"/>
          <w:sz w:val="28"/>
        </w:rPr>
        <w:t xml:space="preserve"> </w:t>
      </w:r>
      <w:r>
        <w:rPr>
          <w:rFonts w:ascii="Times New Roman" w:hAnsi="Times New Roman"/>
          <w:strike w:val="0"/>
          <w:sz w:val="28"/>
        </w:rPr>
        <w:t>органа государс</w:t>
      </w:r>
      <w:r>
        <w:rPr>
          <w:rFonts w:ascii="Times New Roman" w:hAnsi="Times New Roman"/>
          <w:strike w:val="0"/>
          <w:sz w:val="28"/>
        </w:rPr>
        <w:t>тв</w:t>
      </w:r>
      <w:r>
        <w:rPr>
          <w:rFonts w:ascii="Times New Roman" w:hAnsi="Times New Roman"/>
          <w:strike w:val="0"/>
          <w:sz w:val="28"/>
        </w:rPr>
        <w:t>енной власти</w:t>
      </w:r>
      <w:r>
        <w:rPr>
          <w:rFonts w:ascii="Times New Roman" w:hAnsi="Times New Roman"/>
          <w:strike w:val="0"/>
          <w:sz w:val="28"/>
        </w:rPr>
        <w:t xml:space="preserve"> </w:t>
      </w:r>
      <w:r>
        <w:rPr>
          <w:rFonts w:ascii="Times New Roman" w:hAnsi="Times New Roman"/>
          <w:sz w:val="28"/>
        </w:rPr>
        <w:t xml:space="preserve">Камчатского </w:t>
      </w:r>
      <w:r>
        <w:rPr>
          <w:rFonts w:ascii="Times New Roman" w:hAnsi="Times New Roman"/>
          <w:sz w:val="28"/>
        </w:rPr>
        <w:t>края</w:t>
      </w:r>
      <w:r>
        <w:rPr>
          <w:rFonts w:ascii="Times New Roman" w:hAnsi="Times New Roman"/>
          <w:sz w:val="28"/>
        </w:rPr>
        <w:t>.</w:t>
      </w:r>
    </w:p>
    <w:p w14:paraId="A8000000">
      <w:pPr>
        <w:spacing w:after="0" w:line="240" w:lineRule="auto"/>
        <w:ind w:firstLine="709" w:right="0"/>
        <w:jc w:val="both"/>
        <w:rPr>
          <w:rFonts w:ascii="Times New Roman" w:hAnsi="Times New Roman"/>
          <w:sz w:val="28"/>
        </w:rPr>
      </w:pPr>
      <w:r>
        <w:rPr>
          <w:rFonts w:ascii="Times New Roman" w:hAnsi="Times New Roman"/>
          <w:sz w:val="28"/>
        </w:rPr>
        <w:t xml:space="preserve">27. Письменное требование о возврате </w:t>
      </w:r>
      <w:r>
        <w:rPr>
          <w:rFonts w:ascii="Times New Roman" w:hAnsi="Times New Roman"/>
          <w:sz w:val="28"/>
        </w:rPr>
        <w:t>средств субсидии</w:t>
      </w:r>
      <w:r>
        <w:rPr>
          <w:rFonts w:ascii="Times New Roman" w:hAnsi="Times New Roman"/>
          <w:sz w:val="28"/>
        </w:rPr>
        <w:t xml:space="preserve"> в краевой бюджет направляется Министерством получателю субсидии в течение </w:t>
      </w:r>
      <w:r>
        <w:rPr>
          <w:rFonts w:ascii="Times New Roman" w:hAnsi="Times New Roman"/>
          <w:sz w:val="28"/>
        </w:rPr>
        <w:t>20 рабочих дней со дня выявления нарушений по факт</w:t>
      </w:r>
      <w:r>
        <w:rPr>
          <w:rFonts w:ascii="Times New Roman" w:hAnsi="Times New Roman"/>
          <w:sz w:val="28"/>
        </w:rPr>
        <w:t>ам проверок, проведенных Министерством, посредством электронной связи, почтового отправления, нарочно или иным способом, обеспечивающим подтверждение получения указанного требования получателем субсидии</w:t>
      </w:r>
      <w:r>
        <w:rPr>
          <w:rFonts w:ascii="Times New Roman" w:hAnsi="Times New Roman"/>
          <w:sz w:val="28"/>
        </w:rPr>
        <w:t>, в том числе посредством системы «Электронный бюджет»</w:t>
      </w:r>
      <w:r>
        <w:rPr>
          <w:rFonts w:ascii="Times New Roman" w:hAnsi="Times New Roman"/>
          <w:sz w:val="28"/>
        </w:rPr>
        <w:t>.</w:t>
      </w:r>
    </w:p>
    <w:p w14:paraId="A9000000">
      <w:pPr>
        <w:spacing w:after="0" w:line="240" w:lineRule="auto"/>
        <w:ind w:firstLine="709" w:right="0"/>
        <w:jc w:val="both"/>
        <w:rPr>
          <w:rFonts w:ascii="Times New Roman" w:hAnsi="Times New Roman"/>
          <w:sz w:val="28"/>
        </w:rPr>
      </w:pPr>
      <w:r>
        <w:rPr>
          <w:rFonts w:ascii="Times New Roman" w:hAnsi="Times New Roman"/>
          <w:sz w:val="28"/>
        </w:rPr>
        <w:t>28. </w:t>
      </w:r>
      <w:r>
        <w:rPr>
          <w:rFonts w:ascii="Times New Roman" w:hAnsi="Times New Roman"/>
          <w:sz w:val="28"/>
        </w:rPr>
        <w:t>В случае выявления нарушений, в том ч</w:t>
      </w:r>
      <w:r>
        <w:rPr>
          <w:rFonts w:ascii="Times New Roman" w:hAnsi="Times New Roman"/>
          <w:sz w:val="28"/>
        </w:rPr>
        <w:t>исле по фактам проверок, указанных в</w:t>
      </w:r>
      <w:r>
        <w:rPr>
          <w:rFonts w:ascii="Times New Roman" w:hAnsi="Times New Roman"/>
          <w:sz w:val="28"/>
        </w:rPr>
        <w:t xml:space="preserve"> части 23 </w:t>
      </w:r>
      <w:r>
        <w:rPr>
          <w:rFonts w:ascii="Times New Roman" w:hAnsi="Times New Roman"/>
          <w:sz w:val="28"/>
        </w:rPr>
        <w:t xml:space="preserve">настоящего Порядка, лица, </w:t>
      </w:r>
      <w:r>
        <w:rPr>
          <w:rFonts w:ascii="Times New Roman" w:hAnsi="Times New Roman"/>
          <w:sz w:val="28"/>
        </w:rPr>
        <w:t>получившие средства на основании договоров (соглашений), заключенных с получателем</w:t>
      </w:r>
      <w:r>
        <w:rPr>
          <w:rFonts w:ascii="Times New Roman" w:hAnsi="Times New Roman"/>
          <w:sz w:val="28"/>
        </w:rPr>
        <w:t xml:space="preserve"> </w:t>
      </w:r>
      <w:r>
        <w:rPr>
          <w:rFonts w:ascii="Times New Roman" w:hAnsi="Times New Roman"/>
          <w:sz w:val="28"/>
        </w:rPr>
        <w:t>субсидии, обязаны возвратить в сроки, не превышающие сроки,</w:t>
      </w:r>
      <w:r>
        <w:rPr>
          <w:rFonts w:ascii="Times New Roman" w:hAnsi="Times New Roman"/>
          <w:sz w:val="28"/>
        </w:rPr>
        <w:t xml:space="preserve"> указанные</w:t>
      </w:r>
      <w:r>
        <w:rPr>
          <w:rFonts w:ascii="Times New Roman" w:hAnsi="Times New Roman"/>
          <w:sz w:val="28"/>
        </w:rPr>
        <w:t xml:space="preserve"> в </w:t>
      </w:r>
      <w:r>
        <w:rPr>
          <w:rFonts w:ascii="Times New Roman" w:hAnsi="Times New Roman"/>
          <w:sz w:val="28"/>
        </w:rPr>
        <w:t xml:space="preserve">части 24 </w:t>
      </w:r>
      <w:r>
        <w:rPr>
          <w:rFonts w:ascii="Times New Roman" w:hAnsi="Times New Roman"/>
          <w:sz w:val="28"/>
        </w:rPr>
        <w:t>настоящего Порядка, средства</w:t>
      </w:r>
      <w:r>
        <w:rPr>
          <w:rFonts w:ascii="Times New Roman" w:hAnsi="Times New Roman"/>
          <w:sz w:val="28"/>
        </w:rPr>
        <w:t xml:space="preserve"> субсидии </w:t>
      </w:r>
      <w:r>
        <w:rPr>
          <w:rFonts w:ascii="Times New Roman" w:hAnsi="Times New Roman"/>
          <w:sz w:val="28"/>
        </w:rPr>
        <w:t>на счет получателя субсидии в целях последующего возврата указанных средств получателем субсидии в краевой бюджет в срок не позднее 10 рабочих дней со дня поступления денежных средств на счет получателя субсидии.</w:t>
      </w:r>
    </w:p>
    <w:p w14:paraId="AA000000">
      <w:pPr>
        <w:spacing w:after="0" w:line="240" w:lineRule="auto"/>
        <w:ind w:firstLine="709" w:right="0"/>
        <w:jc w:val="both"/>
        <w:rPr>
          <w:rFonts w:ascii="Times New Roman" w:hAnsi="Times New Roman"/>
          <w:sz w:val="28"/>
        </w:rPr>
      </w:pPr>
      <w:r>
        <w:rPr>
          <w:rFonts w:ascii="Times New Roman" w:hAnsi="Times New Roman"/>
          <w:sz w:val="28"/>
        </w:rPr>
        <w:t>В случае н</w:t>
      </w:r>
      <w:r>
        <w:rPr>
          <w:rFonts w:ascii="Times New Roman" w:hAnsi="Times New Roman"/>
          <w:sz w:val="28"/>
        </w:rPr>
        <w:t>евозврата лицами,</w:t>
      </w:r>
      <w:r>
        <w:rPr>
          <w:rFonts w:ascii="Times New Roman" w:hAnsi="Times New Roman"/>
          <w:sz w:val="28"/>
        </w:rPr>
        <w:t xml:space="preserve"> </w:t>
      </w:r>
      <w:r>
        <w:rPr>
          <w:rFonts w:ascii="Times New Roman" w:hAnsi="Times New Roman"/>
          <w:sz w:val="28"/>
        </w:rPr>
        <w:t xml:space="preserve">указанными в абзаце первом настоящей </w:t>
      </w:r>
      <w:r>
        <w:rPr>
          <w:rFonts w:ascii="Times New Roman" w:hAnsi="Times New Roman"/>
          <w:strike w:val="0"/>
          <w:sz w:val="28"/>
        </w:rPr>
        <w:t>части</w:t>
      </w:r>
      <w:r>
        <w:rPr>
          <w:rFonts w:ascii="Times New Roman" w:hAnsi="Times New Roman"/>
          <w:sz w:val="28"/>
        </w:rPr>
        <w:t>, средств субси</w:t>
      </w:r>
      <w:r>
        <w:rPr>
          <w:rFonts w:ascii="Times New Roman" w:hAnsi="Times New Roman"/>
          <w:sz w:val="28"/>
        </w:rPr>
        <w:t xml:space="preserve">дии на счет получателя субсидии в </w:t>
      </w:r>
      <w:r>
        <w:rPr>
          <w:rFonts w:ascii="Times New Roman" w:hAnsi="Times New Roman"/>
          <w:sz w:val="28"/>
        </w:rPr>
        <w:t>указанные сроки</w:t>
      </w:r>
      <w:r>
        <w:rPr>
          <w:rFonts w:ascii="Times New Roman" w:hAnsi="Times New Roman"/>
          <w:sz w:val="28"/>
        </w:rPr>
        <w:t>, получатель субсидии принимает необходимые меры по взысканию подлежащих возврату в краевой бюджет средств</w:t>
      </w:r>
      <w:r>
        <w:rPr>
          <w:rFonts w:ascii="Times New Roman" w:hAnsi="Times New Roman"/>
          <w:sz w:val="28"/>
        </w:rPr>
        <w:t xml:space="preserve"> субсидии </w:t>
      </w:r>
      <w:r>
        <w:rPr>
          <w:rFonts w:ascii="Times New Roman" w:hAnsi="Times New Roman"/>
          <w:sz w:val="28"/>
        </w:rPr>
        <w:t>в судебном порядке в срок не позднее 30 рабочих дней со дня, когда получателю субсидии стало известно о неисполнении обязанности возвратить средства</w:t>
      </w:r>
      <w:r>
        <w:rPr>
          <w:rFonts w:ascii="Times New Roman" w:hAnsi="Times New Roman"/>
          <w:sz w:val="28"/>
        </w:rPr>
        <w:t xml:space="preserve"> субсидии указанными лицами.</w:t>
      </w:r>
    </w:p>
    <w:p w14:paraId="AB000000">
      <w:pPr>
        <w:pStyle w:val="Style_3"/>
        <w:spacing w:after="0" w:line="240" w:lineRule="auto"/>
        <w:ind w:firstLine="709" w:right="0"/>
        <w:jc w:val="both"/>
        <w:rPr>
          <w:rFonts w:ascii="Times New Roman" w:hAnsi="Times New Roman"/>
          <w:sz w:val="28"/>
        </w:rPr>
      </w:pPr>
      <w:r>
        <w:rPr>
          <w:rFonts w:ascii="Times New Roman" w:hAnsi="Times New Roman"/>
          <w:sz w:val="28"/>
        </w:rPr>
        <w:t>29. При невозврате средств субсидии в сроки, установле</w:t>
      </w:r>
      <w:r>
        <w:rPr>
          <w:rFonts w:ascii="Times New Roman" w:hAnsi="Times New Roman"/>
          <w:sz w:val="28"/>
        </w:rPr>
        <w:t xml:space="preserve">нные </w:t>
      </w:r>
      <w:r>
        <w:rPr>
          <w:rFonts w:ascii="Times New Roman" w:hAnsi="Times New Roman"/>
          <w:sz w:val="28"/>
        </w:rPr>
        <w:t>частью 2</w:t>
      </w:r>
      <w:r>
        <w:rPr>
          <w:rFonts w:ascii="Times New Roman" w:hAnsi="Times New Roman"/>
          <w:sz w:val="28"/>
        </w:rPr>
        <w:t xml:space="preserve">4 </w:t>
      </w:r>
      <w:r>
        <w:rPr>
          <w:rFonts w:ascii="Times New Roman" w:hAnsi="Times New Roman"/>
          <w:sz w:val="28"/>
        </w:rPr>
        <w:t xml:space="preserve">настоящего Порядка, Министерство принимает необходимые меры </w:t>
      </w:r>
      <w:r>
        <w:rPr>
          <w:rFonts w:ascii="Times New Roman" w:hAnsi="Times New Roman"/>
          <w:sz w:val="28"/>
        </w:rPr>
        <w:t xml:space="preserve">по взысканию подлежащих возврату в краевой бюджет средств субсидии </w:t>
      </w:r>
      <w:r>
        <w:rPr>
          <w:rFonts w:ascii="Times New Roman" w:hAnsi="Times New Roman"/>
          <w:sz w:val="28"/>
        </w:rPr>
        <w:t>в судебном порядке в срок не позднее 30 рабочих дней со дня, когда Министерству стало известно о неисполнении получателем субсидии обязанности возвратить средства субсидии в краевой бюджет.</w:t>
      </w:r>
    </w:p>
    <w:p w14:paraId="AC000000">
      <w:pPr>
        <w:pStyle w:val="Style_3"/>
        <w:spacing w:after="0" w:line="240" w:lineRule="auto"/>
        <w:ind w:firstLine="709" w:right="0"/>
        <w:jc w:val="both"/>
        <w:rPr>
          <w:rFonts w:ascii="Times New Roman" w:hAnsi="Times New Roman"/>
          <w:sz w:val="28"/>
        </w:rPr>
      </w:pPr>
      <w:r>
        <w:rPr>
          <w:rFonts w:ascii="Times New Roman" w:hAnsi="Times New Roman"/>
          <w:sz w:val="28"/>
        </w:rPr>
        <w:t>30. </w:t>
      </w:r>
      <w:r>
        <w:rPr>
          <w:rFonts w:ascii="Times New Roman" w:hAnsi="Times New Roman"/>
          <w:sz w:val="28"/>
        </w:rPr>
        <w:t xml:space="preserve">Остаток субсидии, неиспользованный в отчетном финансовом году, может использоваться получателем субсидии в очередном финансовом году </w:t>
      </w:r>
      <w:r>
        <w:rPr>
          <w:rFonts w:ascii="Times New Roman" w:hAnsi="Times New Roman"/>
          <w:sz w:val="28"/>
        </w:rPr>
        <w:t>на цель, указанную в части 1 настоящего Порядка, в порядке, определенном Правительством Камчатского края, при условии принятия Министерством решения о наличии потребности в указанных средствах и при условии включения соответствующих положений в соглашение.</w:t>
      </w:r>
    </w:p>
    <w:p w14:paraId="AD000000">
      <w:pPr>
        <w:pStyle w:val="Style_3"/>
        <w:spacing w:after="0" w:line="240" w:lineRule="auto"/>
        <w:ind w:firstLine="709" w:right="0"/>
        <w:jc w:val="both"/>
        <w:rPr>
          <w:rFonts w:ascii="Times New Roman" w:hAnsi="Times New Roman"/>
          <w:sz w:val="28"/>
        </w:rPr>
      </w:pPr>
      <w:r>
        <w:rPr>
          <w:rFonts w:ascii="Times New Roman" w:hAnsi="Times New Roman"/>
          <w:sz w:val="28"/>
        </w:rPr>
        <w:t xml:space="preserve">В случае отсутствия указанного </w:t>
      </w:r>
      <w:r>
        <w:rPr>
          <w:rFonts w:ascii="Times New Roman" w:hAnsi="Times New Roman"/>
          <w:sz w:val="28"/>
        </w:rPr>
        <w:t xml:space="preserve">в абзаце первом настоящей части решения остаток субсидии (за исключением субсидии, предоставленной в пределах суммы, необходимой для оплаты денежных обязательств получателя субсидии, источником финансового обеспечения которых является указанная субсидия), </w:t>
      </w:r>
      <w:r>
        <w:rPr>
          <w:rFonts w:ascii="Times New Roman" w:hAnsi="Times New Roman"/>
          <w:sz w:val="28"/>
        </w:rPr>
        <w:t>неиспользованный в отчетно</w:t>
      </w:r>
      <w:r>
        <w:rPr>
          <w:rFonts w:ascii="Times New Roman" w:hAnsi="Times New Roman"/>
          <w:sz w:val="28"/>
        </w:rPr>
        <w:t xml:space="preserve">м финансовом году, подлежит возврату в краевой бюджет на лицевой счет Министерства не позднее </w:t>
      </w:r>
      <w:r>
        <w:rPr>
          <w:rFonts w:ascii="Times New Roman" w:hAnsi="Times New Roman"/>
          <w:sz w:val="28"/>
        </w:rPr>
        <w:t xml:space="preserve">15 февраля </w:t>
      </w:r>
      <w:r>
        <w:rPr>
          <w:rFonts w:ascii="Times New Roman" w:hAnsi="Times New Roman"/>
          <w:sz w:val="28"/>
        </w:rPr>
        <w:t xml:space="preserve">очередного финансового года. </w:t>
      </w:r>
    </w:p>
    <w:p w14:paraId="AE000000">
      <w:pPr>
        <w:pStyle w:val="Style_3"/>
        <w:spacing w:after="0" w:line="240" w:lineRule="auto"/>
        <w:ind w:firstLine="709" w:right="0"/>
        <w:jc w:val="both"/>
        <w:rPr>
          <w:rFonts w:ascii="Times New Roman" w:hAnsi="Times New Roman"/>
          <w:sz w:val="28"/>
        </w:rPr>
      </w:pPr>
    </w:p>
    <w:p w14:paraId="AF000000">
      <w:pPr>
        <w:spacing w:after="0" w:line="240" w:lineRule="auto"/>
        <w:ind w:firstLine="0" w:right="0"/>
        <w:jc w:val="center"/>
        <w:rPr>
          <w:rFonts w:ascii="Times New Roman" w:hAnsi="Times New Roman"/>
          <w:sz w:val="28"/>
        </w:rPr>
      </w:pPr>
      <w:r>
        <w:rPr>
          <w:rFonts w:ascii="Times New Roman" w:hAnsi="Times New Roman"/>
          <w:sz w:val="28"/>
        </w:rPr>
        <w:t>3. Отбор получателей субсидии</w:t>
      </w:r>
    </w:p>
    <w:p w14:paraId="B0000000">
      <w:pPr>
        <w:spacing w:after="0" w:line="240" w:lineRule="auto"/>
        <w:ind w:firstLine="709" w:right="0"/>
        <w:jc w:val="both"/>
        <w:rPr>
          <w:rFonts w:ascii="Times New Roman" w:hAnsi="Times New Roman"/>
          <w:sz w:val="28"/>
        </w:rPr>
      </w:pPr>
    </w:p>
    <w:p w14:paraId="B1000000">
      <w:pPr>
        <w:spacing w:after="0" w:line="240" w:lineRule="auto"/>
        <w:ind w:firstLine="709" w:right="0"/>
        <w:jc w:val="both"/>
        <w:rPr>
          <w:rFonts w:ascii="Times New Roman" w:hAnsi="Times New Roman"/>
          <w:sz w:val="28"/>
        </w:rPr>
      </w:pPr>
      <w:r>
        <w:rPr>
          <w:rFonts w:ascii="Times New Roman" w:hAnsi="Times New Roman"/>
          <w:sz w:val="28"/>
        </w:rPr>
        <w:t>31. Отбор получателей субсидии осуществляется в системе «Электронный бюджет».</w:t>
      </w:r>
    </w:p>
    <w:p w14:paraId="B2000000">
      <w:pPr>
        <w:spacing w:after="0" w:line="240" w:lineRule="auto"/>
        <w:ind w:firstLine="709" w:right="0"/>
        <w:jc w:val="both"/>
        <w:rPr>
          <w:rFonts w:ascii="Times New Roman" w:hAnsi="Times New Roman"/>
          <w:sz w:val="28"/>
        </w:rPr>
      </w:pPr>
      <w:r>
        <w:rPr>
          <w:rFonts w:ascii="Times New Roman" w:hAnsi="Times New Roman"/>
          <w:sz w:val="28"/>
        </w:rPr>
        <w:t>32.</w:t>
      </w:r>
      <w:r>
        <w:rPr>
          <w:rFonts w:ascii="Times New Roman" w:hAnsi="Times New Roman"/>
          <w:spacing w:val="0"/>
          <w:sz w:val="28"/>
        </w:rPr>
        <w:t> </w:t>
      </w:r>
      <w:r>
        <w:rPr>
          <w:rFonts w:ascii="Times New Roman" w:hAnsi="Times New Roman"/>
          <w:sz w:val="28"/>
        </w:rPr>
        <w:t xml:space="preserve">Информация о проведении отбора размещается на </w:t>
      </w:r>
      <w:r>
        <w:rPr>
          <w:rFonts w:ascii="Times New Roman" w:hAnsi="Times New Roman"/>
          <w:sz w:val="28"/>
        </w:rPr>
        <w:fldChar w:fldCharType="begin"/>
      </w:r>
      <w:r>
        <w:rPr>
          <w:rFonts w:ascii="Times New Roman" w:hAnsi="Times New Roman"/>
          <w:sz w:val="28"/>
        </w:rPr>
        <w:instrText>HYPERLINK "https://internet.garant.ru/document/redirect/26010116/524" \o "https://internet.garant.ru/document/redirect/26010116/524"</w:instrText>
      </w:r>
      <w:r>
        <w:rPr>
          <w:rFonts w:ascii="Times New Roman" w:hAnsi="Times New Roman"/>
          <w:sz w:val="28"/>
        </w:rPr>
        <w:fldChar w:fldCharType="separate"/>
      </w:r>
      <w:r>
        <w:rPr>
          <w:rFonts w:ascii="Times New Roman" w:hAnsi="Times New Roman"/>
          <w:sz w:val="28"/>
        </w:rPr>
        <w:t>едином портале</w:t>
      </w:r>
      <w:r>
        <w:rPr>
          <w:rFonts w:ascii="Times New Roman" w:hAnsi="Times New Roman"/>
          <w:sz w:val="28"/>
        </w:rPr>
        <w:fldChar w:fldCharType="end"/>
      </w:r>
      <w:r>
        <w:rPr>
          <w:rFonts w:ascii="Times New Roman" w:hAnsi="Times New Roman"/>
          <w:sz w:val="28"/>
        </w:rPr>
        <w:t xml:space="preserve"> и официальном сайте </w:t>
      </w:r>
      <w:r>
        <w:rPr>
          <w:rFonts w:ascii="Times New Roman" w:hAnsi="Times New Roman"/>
          <w:sz w:val="28"/>
        </w:rPr>
        <w:t xml:space="preserve">Министерства в сети «Интернет» https://www.kamgov.ru/minselhoz в разделе «Текущая деятельность», категория «Государственная поддержка» </w:t>
      </w:r>
      <w:r>
        <w:rPr>
          <w:rFonts w:ascii="Times New Roman" w:hAnsi="Times New Roman"/>
          <w:sz w:val="28"/>
        </w:rPr>
        <w:t>(далее –</w:t>
      </w:r>
      <w:r>
        <w:rPr>
          <w:rFonts w:ascii="Times New Roman" w:hAnsi="Times New Roman"/>
          <w:spacing w:val="0"/>
          <w:sz w:val="28"/>
        </w:rPr>
        <w:t> </w:t>
      </w:r>
      <w:r>
        <w:rPr>
          <w:rFonts w:ascii="Times New Roman" w:hAnsi="Times New Roman"/>
          <w:sz w:val="28"/>
        </w:rPr>
        <w:t>официальный сайт Министерства).</w:t>
      </w:r>
    </w:p>
    <w:p w14:paraId="B3000000">
      <w:pPr>
        <w:spacing w:after="0" w:line="240" w:lineRule="auto"/>
        <w:ind w:firstLine="709" w:right="0"/>
        <w:jc w:val="both"/>
        <w:rPr>
          <w:rFonts w:ascii="Times New Roman" w:hAnsi="Times New Roman"/>
          <w:sz w:val="28"/>
        </w:rPr>
      </w:pPr>
      <w:r>
        <w:rPr>
          <w:rFonts w:ascii="Times New Roman" w:hAnsi="Times New Roman"/>
          <w:sz w:val="28"/>
        </w:rPr>
        <w:t>33. При проведении отбора взаимодействие Министерства с участниками отбора осуществляется с использованием документов в электронной форме в системе «Электронный бюджет».</w:t>
      </w:r>
    </w:p>
    <w:p w14:paraId="B4000000">
      <w:pPr>
        <w:spacing w:after="0" w:line="240" w:lineRule="auto"/>
        <w:ind w:firstLine="709" w:right="0"/>
        <w:jc w:val="both"/>
        <w:rPr>
          <w:rFonts w:ascii="Times New Roman" w:hAnsi="Times New Roman"/>
          <w:sz w:val="28"/>
        </w:rPr>
      </w:pPr>
      <w:r>
        <w:rPr>
          <w:rFonts w:ascii="Times New Roman" w:hAnsi="Times New Roman"/>
          <w:sz w:val="28"/>
        </w:rPr>
        <w:t>34. Доступ к системе «Электронный бюджет» осуществляется с использованием федеральной государственной информа</w:t>
      </w:r>
      <w:r>
        <w:rPr>
          <w:rFonts w:ascii="Times New Roman" w:hAnsi="Times New Roman"/>
          <w:sz w:val="28"/>
        </w:rPr>
        <w:t xml:space="preserve">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14:paraId="B5000000">
      <w:pPr>
        <w:spacing w:after="0" w:line="240" w:lineRule="auto"/>
        <w:ind w:firstLine="709" w:right="0"/>
        <w:jc w:val="both"/>
        <w:rPr>
          <w:rFonts w:ascii="Times New Roman" w:hAnsi="Times New Roman"/>
          <w:sz w:val="28"/>
        </w:rPr>
      </w:pPr>
      <w:r>
        <w:rPr>
          <w:rFonts w:ascii="Times New Roman" w:hAnsi="Times New Roman"/>
          <w:sz w:val="28"/>
        </w:rPr>
        <w:t>35. Для проведения отбора применяется способ отбора в виде запроса предложений исходя из соответствия участника отбора категории, критерию</w:t>
      </w:r>
      <w:r>
        <w:rPr>
          <w:rFonts w:ascii="Times New Roman" w:hAnsi="Times New Roman"/>
          <w:sz w:val="28"/>
        </w:rPr>
        <w:t xml:space="preserve"> </w:t>
      </w:r>
      <w:r>
        <w:rPr>
          <w:rFonts w:ascii="Times New Roman" w:hAnsi="Times New Roman"/>
          <w:sz w:val="28"/>
        </w:rPr>
        <w:t>отбора</w:t>
      </w:r>
      <w:r>
        <w:rPr>
          <w:rFonts w:ascii="Times New Roman" w:hAnsi="Times New Roman"/>
          <w:sz w:val="28"/>
        </w:rPr>
        <w:t xml:space="preserve"> и очередности поступления заявок.</w:t>
      </w:r>
    </w:p>
    <w:p w14:paraId="B6000000">
      <w:pPr>
        <w:spacing w:after="0" w:line="240" w:lineRule="auto"/>
        <w:ind w:firstLine="709" w:right="0"/>
        <w:jc w:val="both"/>
        <w:rPr>
          <w:rFonts w:ascii="Times New Roman" w:hAnsi="Times New Roman"/>
          <w:sz w:val="28"/>
        </w:rPr>
      </w:pPr>
      <w:r>
        <w:rPr>
          <w:rFonts w:ascii="Times New Roman" w:hAnsi="Times New Roman"/>
          <w:sz w:val="28"/>
        </w:rPr>
        <w:t>36</w:t>
      </w:r>
      <w:r>
        <w:rPr>
          <w:rFonts w:ascii="Times New Roman" w:hAnsi="Times New Roman"/>
          <w:sz w:val="28"/>
        </w:rPr>
        <w:t xml:space="preserve">. К категории отбора относятся юридические лица, являющиеся сельскохозяйственными товаропроизводителями (за исключением сельскохозяйственных кредитных потребительских кооперативов), признанные таковыми в соответствии частью 1 статьи 3 Федерального закона </w:t>
      </w:r>
      <w:r>
        <w:rPr>
          <w:rFonts w:ascii="Times New Roman" w:hAnsi="Times New Roman"/>
          <w:sz w:val="28"/>
        </w:rPr>
        <w:t>от 29.12.2006 № 264-ФЗ «О развитии сельского хозяйства» и осуществляющие деятельность на территории Камчатского края.</w:t>
      </w:r>
    </w:p>
    <w:p w14:paraId="B7000000">
      <w:pPr>
        <w:pStyle w:val="Style_3"/>
        <w:spacing w:after="0" w:line="240" w:lineRule="auto"/>
        <w:ind w:firstLine="709" w:right="0"/>
        <w:jc w:val="both"/>
        <w:rPr>
          <w:rFonts w:ascii="Times New Roman" w:hAnsi="Times New Roman"/>
          <w:sz w:val="28"/>
        </w:rPr>
      </w:pPr>
      <w:r>
        <w:rPr>
          <w:rFonts w:ascii="Times New Roman" w:hAnsi="Times New Roman"/>
          <w:sz w:val="28"/>
        </w:rPr>
        <w:t>37. Критерием отбора является наличие у участника отбора на 31 декабря года, предшествующего году проведения отбора, не менее 50 голов коров молочного стада.</w:t>
      </w:r>
    </w:p>
    <w:p w14:paraId="B8000000">
      <w:pPr>
        <w:spacing w:after="0" w:line="240" w:lineRule="auto"/>
        <w:ind w:firstLine="709" w:right="0"/>
        <w:jc w:val="both"/>
        <w:rPr>
          <w:rFonts w:ascii="Times New Roman" w:hAnsi="Times New Roman"/>
          <w:sz w:val="28"/>
        </w:rPr>
      </w:pPr>
      <w:r>
        <w:rPr>
          <w:rFonts w:ascii="Times New Roman" w:hAnsi="Times New Roman"/>
          <w:sz w:val="28"/>
        </w:rPr>
        <w:t>38.</w:t>
      </w:r>
      <w:r>
        <w:rPr>
          <w:rFonts w:ascii="Times New Roman" w:hAnsi="Times New Roman"/>
          <w:spacing w:val="0"/>
          <w:sz w:val="28"/>
        </w:rPr>
        <w:t> </w:t>
      </w:r>
      <w:r>
        <w:rPr>
          <w:rFonts w:ascii="Times New Roman" w:hAnsi="Times New Roman"/>
          <w:sz w:val="28"/>
        </w:rPr>
        <w:t>Министерство в течение текущего финансового года, но не позднее, чем за 3 календарных дня до начала приема заявок, размещает на едином портале и официальном сайте Министерства объявление о проведении отбора (далее –</w:t>
      </w:r>
      <w:r>
        <w:rPr>
          <w:rFonts w:ascii="Times New Roman" w:hAnsi="Times New Roman"/>
          <w:spacing w:val="0"/>
          <w:sz w:val="28"/>
        </w:rPr>
        <w:t> </w:t>
      </w:r>
      <w:r>
        <w:rPr>
          <w:rFonts w:ascii="Times New Roman" w:hAnsi="Times New Roman"/>
          <w:sz w:val="28"/>
        </w:rPr>
        <w:t>объявление).</w:t>
      </w:r>
    </w:p>
    <w:p w14:paraId="B9000000">
      <w:pPr>
        <w:spacing w:after="0" w:line="240" w:lineRule="auto"/>
        <w:ind w:firstLine="709" w:right="0"/>
        <w:jc w:val="both"/>
        <w:rPr>
          <w:rFonts w:ascii="Times New Roman" w:hAnsi="Times New Roman"/>
          <w:sz w:val="28"/>
        </w:rPr>
      </w:pPr>
      <w:r>
        <w:rPr>
          <w:rFonts w:ascii="Times New Roman" w:hAnsi="Times New Roman"/>
          <w:sz w:val="28"/>
        </w:rPr>
        <w:t xml:space="preserve">39. Объявление формируется в электронной форме посредство заполнения соответствующих экранных форм веб-интерфейса системы </w:t>
      </w:r>
      <w:r>
        <w:rPr>
          <w:rFonts w:ascii="Times New Roman" w:hAnsi="Times New Roman"/>
          <w:sz w:val="28"/>
        </w:rPr>
        <w:t>«Электронный бюджет» и включает в себя в соответствии с настоящим Порядком следующую информацию:</w:t>
      </w:r>
    </w:p>
    <w:p w14:paraId="BA000000">
      <w:pPr>
        <w:spacing w:after="0" w:line="240" w:lineRule="auto"/>
        <w:ind w:firstLine="709" w:right="0"/>
        <w:jc w:val="both"/>
        <w:rPr>
          <w:rFonts w:ascii="Times New Roman" w:hAnsi="Times New Roman"/>
          <w:sz w:val="28"/>
          <w:highlight w:val="white"/>
        </w:rPr>
      </w:pPr>
      <w:r>
        <w:rPr>
          <w:rFonts w:ascii="Times New Roman" w:hAnsi="Times New Roman"/>
          <w:sz w:val="28"/>
          <w:highlight w:val="white"/>
        </w:rPr>
        <w:t>1) дата размещения объявления;</w:t>
      </w:r>
    </w:p>
    <w:p w14:paraId="BB000000">
      <w:pPr>
        <w:spacing w:after="0" w:line="240" w:lineRule="auto"/>
        <w:ind w:firstLine="709" w:right="0"/>
        <w:jc w:val="both"/>
        <w:rPr>
          <w:rFonts w:ascii="Times New Roman" w:hAnsi="Times New Roman"/>
          <w:sz w:val="28"/>
        </w:rPr>
      </w:pPr>
      <w:r>
        <w:rPr>
          <w:rFonts w:ascii="Times New Roman" w:hAnsi="Times New Roman"/>
          <w:sz w:val="28"/>
        </w:rPr>
        <w:t>2) срок</w:t>
      </w:r>
      <w:r>
        <w:rPr>
          <w:rFonts w:ascii="Times New Roman" w:hAnsi="Times New Roman"/>
          <w:sz w:val="28"/>
        </w:rPr>
        <w:t xml:space="preserve"> проведения отбора;</w:t>
      </w:r>
    </w:p>
    <w:p w14:paraId="BC000000">
      <w:pPr>
        <w:spacing w:after="0" w:line="240" w:lineRule="auto"/>
        <w:ind w:firstLine="709" w:right="0"/>
        <w:jc w:val="both"/>
        <w:rPr>
          <w:rFonts w:ascii="Times New Roman" w:hAnsi="Times New Roman"/>
          <w:sz w:val="28"/>
        </w:rPr>
      </w:pPr>
      <w:r>
        <w:rPr>
          <w:rFonts w:ascii="Times New Roman" w:hAnsi="Times New Roman"/>
          <w:sz w:val="28"/>
        </w:rPr>
        <w:t>3) дата начала подачи и окончания приема заявок;</w:t>
      </w:r>
    </w:p>
    <w:p w14:paraId="BD000000">
      <w:pPr>
        <w:spacing w:after="0" w:line="240" w:lineRule="auto"/>
        <w:ind w:firstLine="709" w:right="0"/>
        <w:jc w:val="both"/>
        <w:rPr>
          <w:rFonts w:ascii="Times New Roman" w:hAnsi="Times New Roman"/>
          <w:sz w:val="28"/>
        </w:rPr>
      </w:pPr>
      <w:r>
        <w:rPr>
          <w:rFonts w:ascii="Times New Roman" w:hAnsi="Times New Roman"/>
          <w:sz w:val="28"/>
        </w:rPr>
        <w:t>4) наименование, место нахождения, почтовый адрес, адрес электронной почты Министерства;</w:t>
      </w:r>
    </w:p>
    <w:p w14:paraId="BE000000">
      <w:pPr>
        <w:spacing w:after="0" w:line="240" w:lineRule="auto"/>
        <w:ind w:firstLine="709" w:right="0"/>
        <w:jc w:val="both"/>
        <w:rPr>
          <w:rFonts w:ascii="Times New Roman" w:hAnsi="Times New Roman"/>
          <w:sz w:val="28"/>
        </w:rPr>
      </w:pPr>
      <w:r>
        <w:rPr>
          <w:rFonts w:ascii="Times New Roman" w:hAnsi="Times New Roman"/>
          <w:sz w:val="28"/>
        </w:rPr>
        <w:t>5) результат предоставления субсидии;</w:t>
      </w:r>
    </w:p>
    <w:p w14:paraId="BF000000">
      <w:pPr>
        <w:spacing w:after="0" w:line="240" w:lineRule="auto"/>
        <w:ind w:firstLine="709" w:right="0"/>
        <w:jc w:val="both"/>
        <w:rPr>
          <w:rFonts w:ascii="Times New Roman" w:hAnsi="Times New Roman"/>
          <w:sz w:val="28"/>
        </w:rPr>
      </w:pPr>
      <w:r>
        <w:rPr>
          <w:rFonts w:ascii="Times New Roman" w:hAnsi="Times New Roman"/>
          <w:sz w:val="28"/>
        </w:rPr>
        <w:t>6) доменное имя и (или) указатели страниц официального сайта Министерства;</w:t>
      </w:r>
    </w:p>
    <w:p w14:paraId="C0000000">
      <w:pPr>
        <w:pStyle w:val="Style_3"/>
        <w:spacing w:after="0" w:line="240" w:lineRule="auto"/>
        <w:ind w:firstLine="709" w:right="0"/>
        <w:jc w:val="both"/>
        <w:rPr>
          <w:rFonts w:ascii="Times New Roman" w:hAnsi="Times New Roman"/>
          <w:sz w:val="28"/>
        </w:rPr>
      </w:pPr>
      <w:r>
        <w:rPr>
          <w:rFonts w:ascii="Times New Roman" w:hAnsi="Times New Roman"/>
          <w:sz w:val="28"/>
        </w:rPr>
        <w:t>7)</w:t>
      </w:r>
      <w:r>
        <w:rPr>
          <w:rFonts w:ascii="Times New Roman" w:hAnsi="Times New Roman"/>
          <w:spacing w:val="0"/>
          <w:sz w:val="28"/>
        </w:rPr>
        <w:t> </w:t>
      </w:r>
      <w:r>
        <w:rPr>
          <w:rFonts w:ascii="Times New Roman" w:hAnsi="Times New Roman"/>
          <w:sz w:val="28"/>
        </w:rPr>
        <w:t>требования к участнику отбора, опр</w:t>
      </w:r>
      <w:r>
        <w:rPr>
          <w:rFonts w:ascii="Times New Roman" w:hAnsi="Times New Roman"/>
          <w:sz w:val="28"/>
        </w:rPr>
        <w:t xml:space="preserve">еделенные в соответствии с </w:t>
      </w:r>
      <w:r>
        <w:rPr>
          <w:rFonts w:ascii="Times New Roman" w:hAnsi="Times New Roman"/>
          <w:sz w:val="28"/>
        </w:rPr>
        <w:t>частью 6</w:t>
      </w:r>
      <w:r>
        <w:rPr>
          <w:rFonts w:ascii="Times New Roman" w:hAnsi="Times New Roman"/>
          <w:sz w:val="28"/>
        </w:rPr>
        <w:t xml:space="preserve"> настоящего Порядка, и к перечню документов, представляемых участником отбора для подтверждения соответствия указан</w:t>
      </w:r>
      <w:r>
        <w:rPr>
          <w:rFonts w:ascii="Times New Roman" w:hAnsi="Times New Roman"/>
          <w:sz w:val="28"/>
        </w:rPr>
        <w:t>ным требованиям;</w:t>
      </w:r>
    </w:p>
    <w:p w14:paraId="C1000000">
      <w:pPr>
        <w:spacing w:after="0" w:line="240" w:lineRule="auto"/>
        <w:ind w:firstLine="709" w:right="0"/>
        <w:jc w:val="both"/>
        <w:rPr>
          <w:rFonts w:ascii="Times New Roman" w:hAnsi="Times New Roman"/>
          <w:sz w:val="28"/>
        </w:rPr>
      </w:pPr>
      <w:r>
        <w:rPr>
          <w:rFonts w:ascii="Times New Roman" w:hAnsi="Times New Roman"/>
          <w:sz w:val="28"/>
        </w:rPr>
        <w:t>8) категория и критерий отбора;</w:t>
      </w:r>
    </w:p>
    <w:p w14:paraId="C2000000">
      <w:pPr>
        <w:spacing w:after="0" w:line="240" w:lineRule="auto"/>
        <w:ind w:firstLine="709" w:right="0"/>
        <w:jc w:val="both"/>
        <w:rPr>
          <w:rFonts w:ascii="Times New Roman" w:hAnsi="Times New Roman"/>
          <w:sz w:val="28"/>
        </w:rPr>
      </w:pPr>
      <w:r>
        <w:rPr>
          <w:rFonts w:ascii="Times New Roman" w:hAnsi="Times New Roman"/>
          <w:sz w:val="28"/>
        </w:rPr>
        <w:t>9) порядок подачи участниками отбора заявок и требования, предъявляемые к форме и содержанию заявок;</w:t>
      </w:r>
    </w:p>
    <w:p w14:paraId="C3000000">
      <w:pPr>
        <w:spacing w:after="0" w:line="240" w:lineRule="auto"/>
        <w:ind w:firstLine="709" w:right="0"/>
        <w:jc w:val="both"/>
        <w:rPr>
          <w:rFonts w:ascii="Times New Roman" w:hAnsi="Times New Roman"/>
          <w:sz w:val="28"/>
        </w:rPr>
      </w:pPr>
      <w:r>
        <w:rPr>
          <w:rFonts w:ascii="Times New Roman" w:hAnsi="Times New Roman"/>
          <w:sz w:val="28"/>
        </w:rPr>
        <w:t>10) порядок отзыва заявок, порядок</w:t>
      </w:r>
      <w:r>
        <w:rPr>
          <w:rFonts w:ascii="Times New Roman" w:hAnsi="Times New Roman"/>
          <w:sz w:val="28"/>
        </w:rPr>
        <w:t xml:space="preserve"> их возврата, определяющий в том числе основания для возврата заявок, порядок внесения изменений в заявки;</w:t>
      </w:r>
    </w:p>
    <w:p w14:paraId="C4000000">
      <w:pPr>
        <w:spacing w:after="0" w:line="240" w:lineRule="auto"/>
        <w:ind w:firstLine="709" w:right="0"/>
        <w:jc w:val="both"/>
        <w:rPr>
          <w:rFonts w:ascii="Times New Roman" w:hAnsi="Times New Roman"/>
          <w:sz w:val="28"/>
        </w:rPr>
      </w:pPr>
      <w:r>
        <w:rPr>
          <w:rFonts w:ascii="Times New Roman" w:hAnsi="Times New Roman"/>
          <w:sz w:val="28"/>
        </w:rPr>
        <w:t>11) правила рассмотрения и оценки заявок;</w:t>
      </w:r>
    </w:p>
    <w:p w14:paraId="C5000000">
      <w:pPr>
        <w:spacing w:after="0" w:line="240" w:lineRule="auto"/>
        <w:ind w:firstLine="709" w:right="0"/>
        <w:jc w:val="both"/>
        <w:rPr>
          <w:rFonts w:ascii="Times New Roman" w:hAnsi="Times New Roman"/>
          <w:sz w:val="28"/>
        </w:rPr>
      </w:pPr>
      <w:r>
        <w:rPr>
          <w:rFonts w:ascii="Times New Roman" w:hAnsi="Times New Roman"/>
          <w:sz w:val="28"/>
        </w:rPr>
        <w:t>12) порядок возврата заявок на доработку;</w:t>
      </w:r>
    </w:p>
    <w:p w14:paraId="C6000000">
      <w:pPr>
        <w:spacing w:after="0" w:line="240" w:lineRule="auto"/>
        <w:ind w:firstLine="709" w:right="0"/>
        <w:jc w:val="both"/>
        <w:rPr>
          <w:rFonts w:ascii="Times New Roman" w:hAnsi="Times New Roman"/>
          <w:sz w:val="28"/>
        </w:rPr>
      </w:pPr>
      <w:r>
        <w:rPr>
          <w:rFonts w:ascii="Times New Roman" w:hAnsi="Times New Roman"/>
          <w:sz w:val="28"/>
        </w:rPr>
        <w:t>13) порядок отклонения заявок, а также информация об основаниях их отклонения;</w:t>
      </w:r>
    </w:p>
    <w:p w14:paraId="C7000000">
      <w:pPr>
        <w:spacing w:after="0" w:line="240" w:lineRule="auto"/>
        <w:ind w:firstLine="709" w:right="0"/>
        <w:jc w:val="both"/>
        <w:rPr>
          <w:rFonts w:ascii="Times New Roman" w:hAnsi="Times New Roman"/>
          <w:sz w:val="28"/>
        </w:rPr>
      </w:pPr>
      <w:r>
        <w:rPr>
          <w:rFonts w:ascii="Times New Roman" w:hAnsi="Times New Roman"/>
          <w:sz w:val="28"/>
        </w:rPr>
        <w:t>14) объем распре</w:t>
      </w:r>
      <w:r>
        <w:rPr>
          <w:rFonts w:ascii="Times New Roman" w:hAnsi="Times New Roman"/>
          <w:sz w:val="28"/>
        </w:rPr>
        <w:t>деляемой субсидии в рамках отбора, порядок расчета размера субсидии, устано</w:t>
      </w:r>
      <w:r>
        <w:rPr>
          <w:rFonts w:ascii="Times New Roman" w:hAnsi="Times New Roman"/>
          <w:sz w:val="28"/>
        </w:rPr>
        <w:t xml:space="preserve">вленный </w:t>
      </w:r>
      <w:r>
        <w:rPr>
          <w:rFonts w:ascii="Times New Roman" w:hAnsi="Times New Roman"/>
          <w:sz w:val="28"/>
        </w:rPr>
        <w:t xml:space="preserve">частью </w:t>
      </w:r>
      <w:r>
        <w:rPr>
          <w:rFonts w:ascii="Times New Roman" w:hAnsi="Times New Roman"/>
          <w:sz w:val="28"/>
        </w:rPr>
        <w:t>9 наст</w:t>
      </w:r>
      <w:r>
        <w:rPr>
          <w:rFonts w:ascii="Times New Roman" w:hAnsi="Times New Roman"/>
          <w:sz w:val="28"/>
        </w:rPr>
        <w:t>оящего Порядка, правила распределения субсидии по результатам отбора</w:t>
      </w:r>
      <w:r>
        <w:rPr>
          <w:rFonts w:ascii="Times New Roman" w:hAnsi="Times New Roman"/>
          <w:sz w:val="28"/>
        </w:rPr>
        <w:t>, а также предельное количество победителей отбор</w:t>
      </w:r>
      <w:r>
        <w:rPr>
          <w:rFonts w:ascii="Times New Roman" w:hAnsi="Times New Roman"/>
          <w:sz w:val="28"/>
        </w:rPr>
        <w:t>а</w:t>
      </w:r>
      <w:r>
        <w:rPr>
          <w:rFonts w:ascii="Times New Roman" w:hAnsi="Times New Roman"/>
          <w:sz w:val="28"/>
        </w:rPr>
        <w:t>;</w:t>
      </w:r>
    </w:p>
    <w:p w14:paraId="C8000000">
      <w:pPr>
        <w:spacing w:after="0" w:line="240" w:lineRule="auto"/>
        <w:ind w:firstLine="709" w:right="0"/>
        <w:jc w:val="both"/>
        <w:rPr>
          <w:rFonts w:ascii="Times New Roman" w:hAnsi="Times New Roman"/>
          <w:sz w:val="28"/>
        </w:rPr>
      </w:pPr>
      <w:r>
        <w:rPr>
          <w:rFonts w:ascii="Times New Roman" w:hAnsi="Times New Roman"/>
          <w:sz w:val="28"/>
        </w:rPr>
        <w:t>15) порядок предст</w:t>
      </w:r>
      <w:r>
        <w:rPr>
          <w:rFonts w:ascii="Times New Roman" w:hAnsi="Times New Roman"/>
          <w:sz w:val="28"/>
        </w:rPr>
        <w:t>авления участнику отбора разъяснений положений объявления, даты начала и окончания срока такого представления;</w:t>
      </w:r>
    </w:p>
    <w:p w14:paraId="C9000000">
      <w:pPr>
        <w:spacing w:after="0" w:line="240" w:lineRule="auto"/>
        <w:ind w:firstLine="709" w:right="0"/>
        <w:jc w:val="both"/>
        <w:rPr>
          <w:rFonts w:ascii="Times New Roman" w:hAnsi="Times New Roman"/>
          <w:sz w:val="28"/>
        </w:rPr>
      </w:pPr>
      <w:r>
        <w:rPr>
          <w:rFonts w:ascii="Times New Roman" w:hAnsi="Times New Roman"/>
          <w:sz w:val="28"/>
        </w:rPr>
        <w:t>16) срок, в течение которого победитель (победители) отбора должен подписать соглашение;</w:t>
      </w:r>
    </w:p>
    <w:p w14:paraId="CA000000">
      <w:pPr>
        <w:spacing w:after="0" w:line="240" w:lineRule="auto"/>
        <w:ind w:firstLine="709" w:right="0"/>
        <w:jc w:val="both"/>
        <w:rPr>
          <w:rFonts w:ascii="Times New Roman" w:hAnsi="Times New Roman"/>
          <w:sz w:val="28"/>
        </w:rPr>
      </w:pPr>
      <w:r>
        <w:rPr>
          <w:rFonts w:ascii="Times New Roman" w:hAnsi="Times New Roman"/>
          <w:sz w:val="28"/>
        </w:rPr>
        <w:t>17) условия признания победителя (победителей) отбора уклонившимся от заключения соглашения;</w:t>
      </w:r>
    </w:p>
    <w:p w14:paraId="CB000000">
      <w:pPr>
        <w:spacing w:after="0" w:line="240" w:lineRule="auto"/>
        <w:ind w:firstLine="709" w:right="0"/>
        <w:jc w:val="both"/>
        <w:rPr>
          <w:rFonts w:ascii="Times New Roman" w:hAnsi="Times New Roman"/>
          <w:sz w:val="28"/>
        </w:rPr>
      </w:pPr>
      <w:r>
        <w:rPr>
          <w:rFonts w:ascii="Times New Roman" w:hAnsi="Times New Roman"/>
          <w:sz w:val="28"/>
        </w:rPr>
        <w:t>18) сроки размещения протокола подведения итогов отбора на едином портале и на официальном сайте Министерства</w:t>
      </w:r>
      <w:r>
        <w:rPr>
          <w:rFonts w:ascii="Times New Roman" w:hAnsi="Times New Roman"/>
          <w:sz w:val="28"/>
        </w:rPr>
        <w:t>;</w:t>
      </w:r>
    </w:p>
    <w:p w14:paraId="CC000000">
      <w:pPr>
        <w:spacing w:after="0" w:line="240" w:lineRule="auto"/>
        <w:ind w:firstLine="709" w:right="0"/>
        <w:jc w:val="both"/>
        <w:rPr>
          <w:rFonts w:ascii="Times New Roman" w:hAnsi="Times New Roman"/>
          <w:sz w:val="28"/>
        </w:rPr>
      </w:pPr>
      <w:r>
        <w:rPr>
          <w:rFonts w:ascii="Times New Roman" w:hAnsi="Times New Roman"/>
          <w:sz w:val="28"/>
        </w:rPr>
        <w:t>19)</w:t>
      </w:r>
      <w:r>
        <w:rPr>
          <w:rFonts w:ascii="Times New Roman" w:hAnsi="Times New Roman"/>
          <w:spacing w:val="0"/>
          <w:sz w:val="28"/>
        </w:rPr>
        <w:t> </w:t>
      </w:r>
      <w:r>
        <w:rPr>
          <w:rFonts w:ascii="Times New Roman" w:hAnsi="Times New Roman"/>
          <w:sz w:val="28"/>
        </w:rPr>
        <w:t>порядок внесения изменений в объявление.</w:t>
      </w:r>
    </w:p>
    <w:p w14:paraId="CD000000">
      <w:pPr>
        <w:spacing w:after="0" w:line="240" w:lineRule="auto"/>
        <w:ind w:firstLine="709" w:right="0"/>
        <w:jc w:val="both"/>
        <w:rPr>
          <w:rFonts w:ascii="Times New Roman" w:hAnsi="Times New Roman"/>
          <w:sz w:val="28"/>
        </w:rPr>
      </w:pPr>
      <w:r>
        <w:rPr>
          <w:rFonts w:ascii="Times New Roman" w:hAnsi="Times New Roman"/>
          <w:sz w:val="28"/>
        </w:rPr>
        <w:t>40. </w:t>
      </w:r>
      <w:r>
        <w:rPr>
          <w:rFonts w:ascii="Times New Roman" w:hAnsi="Times New Roman"/>
          <w:sz w:val="28"/>
        </w:rPr>
        <w:t>Внесение изменений в объявление осуществляется Министерством в поряд</w:t>
      </w:r>
      <w:r>
        <w:rPr>
          <w:rFonts w:ascii="Times New Roman" w:hAnsi="Times New Roman"/>
          <w:sz w:val="28"/>
        </w:rPr>
        <w:t xml:space="preserve">ке, аналогичном порядку формирования объявления, установленному </w:t>
      </w:r>
      <w:r>
        <w:rPr>
          <w:rFonts w:ascii="Times New Roman" w:hAnsi="Times New Roman"/>
          <w:sz w:val="28"/>
        </w:rPr>
        <w:t>частью 3</w:t>
      </w:r>
      <w:r>
        <w:rPr>
          <w:rFonts w:ascii="Times New Roman" w:hAnsi="Times New Roman"/>
          <w:sz w:val="28"/>
        </w:rPr>
        <w:t>9 наст</w:t>
      </w:r>
      <w:r>
        <w:rPr>
          <w:rFonts w:ascii="Times New Roman" w:hAnsi="Times New Roman"/>
          <w:sz w:val="28"/>
        </w:rPr>
        <w:t>оящего Порядка, не позднее наступления даты окончания приема заявок с соблюдением следующих условий:</w:t>
      </w:r>
    </w:p>
    <w:p w14:paraId="CE000000">
      <w:pPr>
        <w:spacing w:after="0" w:line="240" w:lineRule="auto"/>
        <w:ind w:firstLine="709" w:right="0"/>
        <w:jc w:val="both"/>
        <w:rPr>
          <w:rFonts w:ascii="Times New Roman" w:hAnsi="Times New Roman"/>
          <w:sz w:val="28"/>
        </w:rPr>
      </w:pPr>
      <w:r>
        <w:rPr>
          <w:rFonts w:ascii="Times New Roman" w:hAnsi="Times New Roman"/>
          <w:sz w:val="28"/>
        </w:rPr>
        <w:t>1)</w:t>
      </w:r>
      <w:r>
        <w:rPr>
          <w:rFonts w:ascii="Times New Roman" w:hAnsi="Times New Roman"/>
          <w:spacing w:val="0"/>
          <w:sz w:val="28"/>
        </w:rPr>
        <w:t> </w:t>
      </w:r>
      <w:r>
        <w:rPr>
          <w:rFonts w:ascii="Times New Roman" w:hAnsi="Times New Roman"/>
          <w:sz w:val="28"/>
        </w:rPr>
        <w:t>срок подачи участниками отбора заявок продлевается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14:paraId="CF000000">
      <w:pPr>
        <w:spacing w:after="0" w:line="240" w:lineRule="auto"/>
        <w:ind w:firstLine="709" w:right="0"/>
        <w:jc w:val="both"/>
        <w:rPr>
          <w:rFonts w:ascii="Times New Roman" w:hAnsi="Times New Roman"/>
          <w:sz w:val="28"/>
        </w:rPr>
      </w:pPr>
      <w:r>
        <w:rPr>
          <w:rFonts w:ascii="Times New Roman" w:hAnsi="Times New Roman"/>
          <w:sz w:val="28"/>
        </w:rPr>
        <w:t>2)</w:t>
      </w:r>
      <w:r>
        <w:rPr>
          <w:rFonts w:ascii="Times New Roman" w:hAnsi="Times New Roman"/>
          <w:spacing w:val="0"/>
          <w:sz w:val="28"/>
        </w:rPr>
        <w:t> </w:t>
      </w:r>
      <w:r>
        <w:rPr>
          <w:rFonts w:ascii="Times New Roman" w:hAnsi="Times New Roman"/>
          <w:sz w:val="28"/>
        </w:rPr>
        <w:t>изменение способа отбора не допускается;</w:t>
      </w:r>
    </w:p>
    <w:p w14:paraId="D0000000">
      <w:pPr>
        <w:spacing w:after="0" w:line="240" w:lineRule="auto"/>
        <w:ind w:firstLine="709" w:right="0"/>
        <w:jc w:val="both"/>
        <w:rPr>
          <w:rFonts w:ascii="Times New Roman" w:hAnsi="Times New Roman"/>
          <w:sz w:val="28"/>
        </w:rPr>
      </w:pPr>
      <w:r>
        <w:rPr>
          <w:rFonts w:ascii="Times New Roman" w:hAnsi="Times New Roman"/>
          <w:sz w:val="28"/>
        </w:rPr>
        <w:t>3)</w:t>
      </w:r>
      <w:r>
        <w:rPr>
          <w:rFonts w:ascii="Times New Roman" w:hAnsi="Times New Roman"/>
          <w:spacing w:val="0"/>
          <w:sz w:val="28"/>
        </w:rPr>
        <w:t> </w:t>
      </w:r>
      <w:r>
        <w:rPr>
          <w:rFonts w:ascii="Times New Roman" w:hAnsi="Times New Roman"/>
          <w:sz w:val="28"/>
        </w:rPr>
        <w:t>в случае внесения изменений в объявление после наступления даты начала приема заявок в объявление включается положение, предусматривающее право участников отбора внести изменения в заявки;</w:t>
      </w:r>
    </w:p>
    <w:p w14:paraId="D1000000">
      <w:pPr>
        <w:spacing w:after="0" w:line="240" w:lineRule="auto"/>
        <w:ind w:firstLine="709" w:right="0"/>
        <w:jc w:val="both"/>
        <w:rPr>
          <w:rFonts w:ascii="Times New Roman" w:hAnsi="Times New Roman"/>
          <w:sz w:val="28"/>
        </w:rPr>
      </w:pPr>
      <w:r>
        <w:rPr>
          <w:rFonts w:ascii="Times New Roman" w:hAnsi="Times New Roman"/>
          <w:sz w:val="28"/>
        </w:rPr>
        <w:t>4)</w:t>
      </w:r>
      <w:r>
        <w:rPr>
          <w:rFonts w:ascii="Times New Roman" w:hAnsi="Times New Roman"/>
          <w:spacing w:val="0"/>
          <w:sz w:val="28"/>
        </w:rPr>
        <w:t> </w:t>
      </w:r>
      <w:r>
        <w:rPr>
          <w:rFonts w:ascii="Times New Roman" w:hAnsi="Times New Roman"/>
          <w:sz w:val="28"/>
        </w:rPr>
        <w:t>участники отбора, подавшие заявку, уведомляются о внесении изменений в объявление не позднее дня, следующего за днем внесения изменений в объявление, с использованием системы «Электронный бюджет».</w:t>
      </w:r>
    </w:p>
    <w:p w14:paraId="D2000000">
      <w:pPr>
        <w:spacing w:after="0" w:line="240" w:lineRule="auto"/>
        <w:ind w:firstLine="709" w:right="0"/>
        <w:jc w:val="both"/>
        <w:rPr>
          <w:rFonts w:ascii="Times New Roman" w:hAnsi="Times New Roman"/>
          <w:sz w:val="28"/>
        </w:rPr>
      </w:pPr>
      <w:r>
        <w:rPr>
          <w:rFonts w:ascii="Times New Roman" w:hAnsi="Times New Roman"/>
          <w:sz w:val="28"/>
        </w:rPr>
        <w:t>41. Заявки формируются участниками отбора в электронной форме посредством заполнения соответствующих экранных</w:t>
      </w:r>
      <w:r>
        <w:rPr>
          <w:rFonts w:ascii="Times New Roman" w:hAnsi="Times New Roman"/>
          <w:sz w:val="28"/>
        </w:rPr>
        <w:t xml:space="preserve"> форм веб-интерфейса в с</w:t>
      </w:r>
      <w:r>
        <w:rPr>
          <w:rFonts w:ascii="Times New Roman" w:hAnsi="Times New Roman"/>
          <w:sz w:val="28"/>
        </w:rPr>
        <w:t>истеме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и материалов, представление которых предусмотрено в объявлении</w:t>
      </w:r>
      <w:r>
        <w:rPr>
          <w:rFonts w:ascii="Times New Roman" w:hAnsi="Times New Roman"/>
          <w:sz w:val="28"/>
        </w:rPr>
        <w:t>.</w:t>
      </w:r>
    </w:p>
    <w:p w14:paraId="D3000000">
      <w:pPr>
        <w:spacing w:after="0" w:line="240" w:lineRule="auto"/>
        <w:ind w:firstLine="709" w:right="0"/>
        <w:jc w:val="both"/>
        <w:rPr>
          <w:rFonts w:ascii="Times New Roman" w:hAnsi="Times New Roman"/>
          <w:sz w:val="28"/>
        </w:rPr>
      </w:pPr>
      <w:r>
        <w:rPr>
          <w:rFonts w:ascii="Times New Roman" w:hAnsi="Times New Roman"/>
          <w:sz w:val="28"/>
        </w:rPr>
        <w:t>42.</w:t>
      </w:r>
      <w:r>
        <w:rPr>
          <w:rFonts w:ascii="Times New Roman" w:hAnsi="Times New Roman"/>
          <w:spacing w:val="0"/>
          <w:sz w:val="28"/>
        </w:rPr>
        <w:t> </w:t>
      </w:r>
      <w:r>
        <w:rPr>
          <w:rFonts w:ascii="Times New Roman" w:hAnsi="Times New Roman"/>
          <w:sz w:val="28"/>
        </w:rPr>
        <w:t>Участник отбора представляет не более одной заявки.</w:t>
      </w:r>
    </w:p>
    <w:p w14:paraId="D4000000">
      <w:pPr>
        <w:spacing w:after="0" w:line="240" w:lineRule="auto"/>
        <w:ind w:firstLine="709" w:right="0"/>
        <w:jc w:val="both"/>
        <w:rPr>
          <w:rFonts w:ascii="Times New Roman" w:hAnsi="Times New Roman"/>
          <w:sz w:val="28"/>
        </w:rPr>
      </w:pPr>
      <w:r>
        <w:rPr>
          <w:rFonts w:ascii="Times New Roman" w:hAnsi="Times New Roman"/>
          <w:sz w:val="28"/>
        </w:rPr>
        <w:t>43.</w:t>
      </w:r>
      <w:r>
        <w:rPr>
          <w:rFonts w:ascii="Times New Roman" w:hAnsi="Times New Roman"/>
          <w:spacing w:val="0"/>
          <w:sz w:val="28"/>
        </w:rPr>
        <w:t> </w:t>
      </w:r>
      <w:r>
        <w:rPr>
          <w:rFonts w:ascii="Times New Roman" w:hAnsi="Times New Roman"/>
          <w:sz w:val="28"/>
        </w:rPr>
        <w:t>Заявка содержит следующие сведения и документы:</w:t>
      </w:r>
    </w:p>
    <w:p w14:paraId="D5000000">
      <w:pPr>
        <w:spacing w:after="0" w:line="240" w:lineRule="auto"/>
        <w:ind w:firstLine="709" w:right="0"/>
        <w:jc w:val="both"/>
        <w:rPr>
          <w:rFonts w:ascii="Times New Roman" w:hAnsi="Times New Roman"/>
          <w:sz w:val="28"/>
        </w:rPr>
      </w:pPr>
      <w:r>
        <w:rPr>
          <w:rFonts w:ascii="Times New Roman" w:hAnsi="Times New Roman"/>
          <w:sz w:val="28"/>
        </w:rPr>
        <w:t>1)</w:t>
      </w:r>
      <w:r>
        <w:rPr>
          <w:rFonts w:ascii="Times New Roman" w:hAnsi="Times New Roman"/>
          <w:spacing w:val="0"/>
          <w:sz w:val="28"/>
        </w:rPr>
        <w:t> </w:t>
      </w:r>
      <w:r>
        <w:rPr>
          <w:rFonts w:ascii="Times New Roman" w:hAnsi="Times New Roman"/>
          <w:sz w:val="28"/>
        </w:rPr>
        <w:t>информацию об участнике отбора;</w:t>
      </w:r>
    </w:p>
    <w:p w14:paraId="D6000000">
      <w:pPr>
        <w:spacing w:after="0" w:line="240" w:lineRule="auto"/>
        <w:ind w:firstLine="709" w:right="0"/>
        <w:jc w:val="both"/>
        <w:rPr>
          <w:rFonts w:ascii="Times New Roman" w:hAnsi="Times New Roman"/>
          <w:sz w:val="28"/>
        </w:rPr>
      </w:pPr>
      <w:r>
        <w:rPr>
          <w:rFonts w:ascii="Times New Roman" w:hAnsi="Times New Roman"/>
          <w:sz w:val="28"/>
        </w:rPr>
        <w:t>2) документы, подтверждающие соответствие участника отбора требованиям, установленным в объявлении</w:t>
      </w:r>
      <w:r>
        <w:rPr>
          <w:rFonts w:ascii="Times New Roman" w:hAnsi="Times New Roman"/>
          <w:sz w:val="28"/>
        </w:rPr>
        <w:t xml:space="preserve"> (оформляются в произвольной форме в случае отсутствия технической возможности о</w:t>
      </w:r>
      <w:r>
        <w:rPr>
          <w:rFonts w:ascii="Times New Roman" w:hAnsi="Times New Roman"/>
          <w:sz w:val="28"/>
        </w:rPr>
        <w:t>существления автоматической проверки в системе «Электронный бюджет» путем проставления в электронном виде участником отбора отметок о соответствии требованиям посредством заполнения соответствующих экранных форм веб-интерфейса системы «Электронный бюджет»)</w:t>
      </w:r>
      <w:r>
        <w:rPr>
          <w:rFonts w:ascii="Times New Roman" w:hAnsi="Times New Roman"/>
          <w:sz w:val="28"/>
        </w:rPr>
        <w:t>;</w:t>
      </w:r>
    </w:p>
    <w:p w14:paraId="D7000000">
      <w:pPr>
        <w:spacing w:after="0" w:line="240" w:lineRule="auto"/>
        <w:ind w:firstLine="709" w:right="0"/>
        <w:jc w:val="both"/>
        <w:rPr>
          <w:rFonts w:ascii="Times New Roman" w:hAnsi="Times New Roman"/>
          <w:sz w:val="28"/>
        </w:rPr>
      </w:pPr>
      <w:r>
        <w:rPr>
          <w:rFonts w:ascii="Times New Roman" w:hAnsi="Times New Roman"/>
          <w:sz w:val="28"/>
        </w:rPr>
        <w:t>3) информацию и документы, представляемые при проведении отбора:</w:t>
      </w:r>
    </w:p>
    <w:p w14:paraId="D8000000">
      <w:pPr>
        <w:spacing w:after="0" w:line="240" w:lineRule="auto"/>
        <w:ind w:firstLine="709" w:right="0"/>
        <w:jc w:val="both"/>
        <w:rPr>
          <w:rFonts w:ascii="Times New Roman" w:hAnsi="Times New Roman"/>
          <w:sz w:val="28"/>
        </w:rPr>
      </w:pPr>
      <w:r>
        <w:rPr>
          <w:rFonts w:ascii="Times New Roman" w:hAnsi="Times New Roman"/>
          <w:sz w:val="28"/>
        </w:rPr>
        <w:t>а) согласие на публикацию (размещение)</w:t>
      </w:r>
      <w:r>
        <w:rPr>
          <w:rFonts w:ascii="Times New Roman" w:hAnsi="Times New Roman"/>
          <w:sz w:val="28"/>
        </w:rPr>
        <w:t xml:space="preserve"> </w:t>
      </w:r>
      <w:r>
        <w:rPr>
          <w:rFonts w:ascii="Times New Roman" w:hAnsi="Times New Roman"/>
          <w:sz w:val="28"/>
        </w:rPr>
        <w:t xml:space="preserve">в </w:t>
      </w:r>
      <w:r>
        <w:rPr>
          <w:rFonts w:ascii="Times New Roman" w:hAnsi="Times New Roman"/>
          <w:sz w:val="28"/>
        </w:rPr>
        <w:t>сети</w:t>
      </w:r>
      <w:r>
        <w:rPr>
          <w:rFonts w:ascii="Times New Roman" w:hAnsi="Times New Roman"/>
          <w:sz w:val="28"/>
        </w:rPr>
        <w:t xml:space="preserve"> «Интернет» информации об</w:t>
      </w:r>
      <w:r>
        <w:rPr>
          <w:rFonts w:ascii="Times New Roman" w:hAnsi="Times New Roman"/>
          <w:sz w:val="28"/>
        </w:rPr>
        <w:t xml:space="preserve"> участнике отбора, о подаваемо</w:t>
      </w:r>
      <w:r>
        <w:rPr>
          <w:rFonts w:ascii="Times New Roman" w:hAnsi="Times New Roman"/>
          <w:sz w:val="28"/>
        </w:rPr>
        <w:t>й участником отбора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14:paraId="D9000000">
      <w:pPr>
        <w:spacing w:after="0" w:line="240" w:lineRule="auto"/>
        <w:ind w:firstLine="709" w:right="0"/>
        <w:jc w:val="both"/>
        <w:rPr>
          <w:rFonts w:ascii="Times New Roman" w:hAnsi="Times New Roman"/>
          <w:sz w:val="28"/>
        </w:rPr>
      </w:pPr>
      <w:r>
        <w:rPr>
          <w:rFonts w:ascii="Times New Roman" w:hAnsi="Times New Roman"/>
          <w:sz w:val="28"/>
        </w:rPr>
        <w:t xml:space="preserve">б) согласие на обработку персональных данных в отношении руководителей участников отборов, подаваемое посредством заполнения </w:t>
      </w:r>
      <w:r>
        <w:rPr>
          <w:rFonts w:ascii="Times New Roman" w:hAnsi="Times New Roman"/>
          <w:sz w:val="28"/>
        </w:rPr>
        <w:t>соответствующих экранных форм веб-интерфейса системы «Электронный бюджет»</w:t>
      </w:r>
      <w:r>
        <w:rPr>
          <w:rFonts w:ascii="Times New Roman" w:hAnsi="Times New Roman"/>
          <w:color w:val="22272F"/>
          <w:sz w:val="28"/>
        </w:rPr>
        <w:t>;</w:t>
      </w:r>
    </w:p>
    <w:p w14:paraId="DA000000">
      <w:pPr>
        <w:spacing w:after="0" w:line="240" w:lineRule="auto"/>
        <w:ind w:firstLine="709" w:right="0"/>
        <w:jc w:val="both"/>
        <w:rPr>
          <w:rFonts w:ascii="Times New Roman" w:hAnsi="Times New Roman"/>
          <w:sz w:val="28"/>
        </w:rPr>
      </w:pPr>
      <w:r>
        <w:rPr>
          <w:rFonts w:ascii="Times New Roman" w:hAnsi="Times New Roman"/>
          <w:sz w:val="28"/>
        </w:rPr>
        <w:t>в) копию реестра акционеров, представленную держателем реестра (специализированной организацией, ведущей реестр) не ранее чем за 30 календарных дней до дня подачи заявки (представляется участн</w:t>
      </w:r>
      <w:r>
        <w:rPr>
          <w:rFonts w:ascii="Times New Roman" w:hAnsi="Times New Roman"/>
          <w:sz w:val="28"/>
        </w:rPr>
        <w:t xml:space="preserve">иком отбора, </w:t>
      </w:r>
      <w:r>
        <w:rPr>
          <w:rFonts w:ascii="Times New Roman" w:hAnsi="Times New Roman"/>
          <w:sz w:val="28"/>
        </w:rPr>
        <w:t>являющимся акционерным обществом или юридическим лицом независимо от его организационно-правовой формы в отношении акционерных обществ, являющихся его учредителями (участниками), при условии, что сведения об участнике (акционере) такого обществ</w:t>
      </w:r>
      <w:r>
        <w:rPr>
          <w:rFonts w:ascii="Times New Roman" w:hAnsi="Times New Roman"/>
          <w:sz w:val="28"/>
        </w:rPr>
        <w:t>а не содержатся в едином государственном реестре юридических лиц);</w:t>
      </w:r>
    </w:p>
    <w:p w14:paraId="DB000000">
      <w:pPr>
        <w:spacing w:after="0" w:line="240" w:lineRule="auto"/>
        <w:ind w:firstLine="709" w:right="0"/>
        <w:jc w:val="both"/>
        <w:rPr>
          <w:rFonts w:ascii="Times New Roman" w:hAnsi="Times New Roman"/>
          <w:sz w:val="28"/>
        </w:rPr>
      </w:pPr>
      <w:r>
        <w:rPr>
          <w:rFonts w:ascii="Times New Roman" w:hAnsi="Times New Roman"/>
          <w:sz w:val="28"/>
        </w:rPr>
        <w:t>г) предлага</w:t>
      </w:r>
      <w:r>
        <w:rPr>
          <w:rFonts w:ascii="Times New Roman" w:hAnsi="Times New Roman"/>
          <w:sz w:val="28"/>
        </w:rPr>
        <w:t>емое</w:t>
      </w:r>
      <w:r>
        <w:rPr>
          <w:rFonts w:ascii="Times New Roman" w:hAnsi="Times New Roman"/>
          <w:sz w:val="28"/>
        </w:rPr>
        <w:t xml:space="preserve"> участником отбора значение</w:t>
      </w:r>
      <w:r>
        <w:rPr>
          <w:rFonts w:ascii="Times New Roman" w:hAnsi="Times New Roman"/>
          <w:sz w:val="28"/>
        </w:rPr>
        <w:t xml:space="preserve"> результата предоставления субсидии и размер запрашиваемой субсидии;</w:t>
      </w:r>
    </w:p>
    <w:p w14:paraId="DC000000">
      <w:pPr>
        <w:spacing w:after="0" w:line="240" w:lineRule="auto"/>
        <w:ind w:firstLine="709" w:right="0"/>
        <w:jc w:val="both"/>
        <w:rPr>
          <w:rFonts w:ascii="Times New Roman" w:hAnsi="Times New Roman"/>
          <w:sz w:val="28"/>
        </w:rPr>
      </w:pPr>
      <w:r>
        <w:rPr>
          <w:rFonts w:ascii="Times New Roman" w:hAnsi="Times New Roman"/>
          <w:sz w:val="28"/>
        </w:rPr>
        <w:t>д) отчет о финансово-экономическом состоянии товаропроизводителей агропромышл</w:t>
      </w:r>
      <w:r>
        <w:rPr>
          <w:rFonts w:ascii="Times New Roman" w:hAnsi="Times New Roman"/>
          <w:sz w:val="28"/>
        </w:rPr>
        <w:t xml:space="preserve">енного комплекса за год, предшествующий году предоставления субсидии, по формам, установленным Министерством (для сельскохозяйственных товаропроизводителей Камчатского края, не получавших поддержку за счет средств федерального и краевого бюджетов в рамках </w:t>
      </w:r>
      <w:r>
        <w:rPr>
          <w:rFonts w:ascii="Times New Roman" w:hAnsi="Times New Roman"/>
          <w:sz w:val="28"/>
        </w:rPr>
        <w:fldChar w:fldCharType="begin"/>
      </w:r>
      <w:r>
        <w:rPr>
          <w:rFonts w:ascii="Times New Roman" w:hAnsi="Times New Roman"/>
          <w:sz w:val="28"/>
        </w:rPr>
        <w:instrText>HYPERLINK "https://internet.garant.ru/document/redirect/408318117/1000" \o "https://internet.garant.ru/document/redirect/408318117/1000"</w:instrText>
      </w:r>
      <w:r>
        <w:rPr>
          <w:rFonts w:ascii="Times New Roman" w:hAnsi="Times New Roman"/>
          <w:sz w:val="28"/>
        </w:rPr>
        <w:fldChar w:fldCharType="separate"/>
      </w:r>
      <w:r>
        <w:rPr>
          <w:rFonts w:ascii="Times New Roman" w:hAnsi="Times New Roman"/>
          <w:sz w:val="28"/>
        </w:rPr>
        <w:t>Госпрограммы</w:t>
      </w:r>
      <w:r>
        <w:rPr>
          <w:rFonts w:ascii="Times New Roman" w:hAnsi="Times New Roman"/>
          <w:sz w:val="28"/>
        </w:rPr>
        <w:fldChar w:fldCharType="end"/>
      </w:r>
      <w:r>
        <w:rPr>
          <w:rFonts w:ascii="Times New Roman" w:hAnsi="Times New Roman"/>
          <w:sz w:val="28"/>
        </w:rPr>
        <w:t xml:space="preserve"> в году, предшествующем году обращения за предоставлением субсидии);</w:t>
      </w:r>
    </w:p>
    <w:p w14:paraId="DD000000">
      <w:pPr>
        <w:pStyle w:val="Style_3"/>
        <w:spacing w:after="0" w:line="240" w:lineRule="auto"/>
        <w:ind w:firstLine="709" w:right="0"/>
        <w:jc w:val="both"/>
        <w:rPr>
          <w:rFonts w:ascii="Times New Roman" w:hAnsi="Times New Roman"/>
          <w:sz w:val="28"/>
        </w:rPr>
      </w:pPr>
      <w:r>
        <w:rPr>
          <w:rFonts w:ascii="Times New Roman" w:hAnsi="Times New Roman"/>
          <w:sz w:val="28"/>
        </w:rPr>
        <w:t>е)</w:t>
      </w:r>
      <w:r>
        <w:rPr>
          <w:rFonts w:ascii="Times New Roman" w:hAnsi="Times New Roman"/>
          <w:spacing w:val="0"/>
          <w:sz w:val="28"/>
        </w:rPr>
        <w:t> </w:t>
      </w:r>
      <w:r>
        <w:rPr>
          <w:rFonts w:ascii="Times New Roman" w:hAnsi="Times New Roman"/>
          <w:sz w:val="28"/>
        </w:rPr>
        <w:t>сведения из налогового органа об освобождении от исполнения обязанностей налогоплательщика, связанных с исчислением и уплатой налога на добавленную стоимость, при этом дата выдачи указанного документа не должна быть ранее 30 календарных дней до дня подачи заявки участником отбора (предоставляется участниками отбора изъявившим желание воспользоваться правом на финансовое возмещение затрат с учетом сумм налога на добавленную стоимость);</w:t>
      </w:r>
    </w:p>
    <w:p w14:paraId="DE000000">
      <w:pPr>
        <w:pStyle w:val="Style_3"/>
        <w:spacing w:after="0" w:line="240" w:lineRule="auto"/>
        <w:ind w:firstLine="709" w:right="0"/>
        <w:jc w:val="both"/>
        <w:rPr>
          <w:rFonts w:ascii="Times New Roman" w:hAnsi="Times New Roman"/>
          <w:sz w:val="28"/>
        </w:rPr>
      </w:pPr>
      <w:r>
        <w:rPr>
          <w:rFonts w:ascii="Times New Roman" w:hAnsi="Times New Roman"/>
          <w:sz w:val="28"/>
        </w:rPr>
        <w:t>ж)</w:t>
      </w:r>
      <w:r>
        <w:rPr>
          <w:rFonts w:ascii="Times New Roman" w:hAnsi="Times New Roman"/>
          <w:spacing w:val="0"/>
          <w:sz w:val="28"/>
        </w:rPr>
        <w:t> </w:t>
      </w:r>
      <w:r>
        <w:rPr>
          <w:rFonts w:ascii="Times New Roman" w:hAnsi="Times New Roman"/>
          <w:sz w:val="28"/>
        </w:rPr>
        <w:t xml:space="preserve">сведения о состоянии животноводства по </w:t>
      </w:r>
      <w:r>
        <w:rPr>
          <w:rFonts w:ascii="Times New Roman" w:hAnsi="Times New Roman"/>
          <w:sz w:val="28"/>
        </w:rPr>
        <w:t xml:space="preserve">форме федерального </w:t>
      </w:r>
      <w:r>
        <w:rPr>
          <w:rFonts w:ascii="Times New Roman" w:hAnsi="Times New Roman"/>
          <w:sz w:val="28"/>
        </w:rPr>
        <w:t xml:space="preserve">статистического наблюдения </w:t>
      </w:r>
      <w:r>
        <w:rPr>
          <w:rFonts w:ascii="Times New Roman" w:hAnsi="Times New Roman"/>
          <w:sz w:val="28"/>
        </w:rPr>
        <w:t>№</w:t>
      </w:r>
      <w:r>
        <w:rPr>
          <w:rFonts w:ascii="Times New Roman" w:hAnsi="Times New Roman"/>
          <w:sz w:val="28"/>
        </w:rPr>
        <w:t xml:space="preserve"> 24-СХ (</w:t>
      </w:r>
      <w:r>
        <w:rPr>
          <w:rFonts w:ascii="Times New Roman" w:hAnsi="Times New Roman"/>
          <w:sz w:val="28"/>
        </w:rPr>
        <w:t>кроме субъектов малого предпринимательст</w:t>
      </w:r>
      <w:r>
        <w:rPr>
          <w:rFonts w:ascii="Times New Roman" w:hAnsi="Times New Roman"/>
          <w:sz w:val="28"/>
        </w:rPr>
        <w:t xml:space="preserve">ва </w:t>
      </w:r>
      <w:r>
        <w:rPr>
          <w:rFonts w:ascii="Times New Roman" w:hAnsi="Times New Roman"/>
          <w:sz w:val="28"/>
        </w:rPr>
        <w:t>и крестьянских (фермерских) хозяйств</w:t>
      </w:r>
      <w:r>
        <w:rPr>
          <w:rFonts w:ascii="Times New Roman" w:hAnsi="Times New Roman"/>
          <w:sz w:val="28"/>
        </w:rPr>
        <w:t>)</w:t>
      </w:r>
      <w:r>
        <w:rPr>
          <w:rFonts w:ascii="Times New Roman" w:hAnsi="Times New Roman"/>
          <w:sz w:val="28"/>
        </w:rPr>
        <w:t xml:space="preserve"> или</w:t>
      </w:r>
      <w:r>
        <w:rPr>
          <w:rFonts w:ascii="Times New Roman" w:hAnsi="Times New Roman"/>
          <w:sz w:val="28"/>
        </w:rPr>
        <w:t xml:space="preserve"> сведен</w:t>
      </w:r>
      <w:r>
        <w:rPr>
          <w:rFonts w:ascii="Times New Roman" w:hAnsi="Times New Roman"/>
          <w:sz w:val="28"/>
        </w:rPr>
        <w:t xml:space="preserve">ия о производстве продукции животноводства и поголовье скота по </w:t>
      </w:r>
      <w:r>
        <w:rPr>
          <w:rFonts w:ascii="Times New Roman" w:hAnsi="Times New Roman"/>
          <w:sz w:val="28"/>
        </w:rPr>
        <w:t xml:space="preserve">форме </w:t>
      </w:r>
      <w:r>
        <w:rPr>
          <w:rFonts w:ascii="Times New Roman" w:hAnsi="Times New Roman"/>
          <w:sz w:val="28"/>
        </w:rPr>
        <w:t xml:space="preserve">федерального </w:t>
      </w:r>
      <w:r>
        <w:rPr>
          <w:rFonts w:ascii="Times New Roman" w:hAnsi="Times New Roman"/>
          <w:sz w:val="28"/>
        </w:rPr>
        <w:t>статистического наблюдения</w:t>
      </w:r>
      <w:r>
        <w:rPr>
          <w:rFonts w:ascii="Times New Roman" w:hAnsi="Times New Roman"/>
          <w:sz w:val="28"/>
        </w:rPr>
        <w:t xml:space="preserve"> № 3</w:t>
      </w:r>
      <w:r>
        <w:rPr>
          <w:rFonts w:ascii="Times New Roman" w:hAnsi="Times New Roman"/>
          <w:sz w:val="28"/>
        </w:rPr>
        <w:t xml:space="preserve">-фермер </w:t>
      </w:r>
      <w:r>
        <w:rPr>
          <w:rFonts w:ascii="Times New Roman" w:hAnsi="Times New Roman"/>
          <w:sz w:val="28"/>
        </w:rPr>
        <w:t xml:space="preserve">(для </w:t>
      </w:r>
      <w:r>
        <w:rPr>
          <w:rFonts w:ascii="Times New Roman" w:hAnsi="Times New Roman"/>
          <w:sz w:val="28"/>
        </w:rPr>
        <w:t>микропредприятий, крестьянских (фермерских) хозяйств</w:t>
      </w:r>
      <w:r>
        <w:rPr>
          <w:rFonts w:ascii="Times New Roman" w:hAnsi="Times New Roman"/>
          <w:sz w:val="28"/>
        </w:rPr>
        <w:t xml:space="preserve">) </w:t>
      </w:r>
      <w:r>
        <w:rPr>
          <w:rFonts w:ascii="Times New Roman" w:hAnsi="Times New Roman"/>
          <w:sz w:val="28"/>
        </w:rPr>
        <w:t>за год, предшествующий году предоставления субсидии;</w:t>
      </w:r>
    </w:p>
    <w:p w14:paraId="DF000000">
      <w:pPr>
        <w:spacing w:after="0" w:line="240" w:lineRule="auto"/>
        <w:ind w:firstLine="709" w:right="0"/>
        <w:jc w:val="both"/>
        <w:rPr>
          <w:rFonts w:ascii="Times New Roman" w:hAnsi="Times New Roman"/>
          <w:sz w:val="28"/>
        </w:rPr>
      </w:pPr>
      <w:r>
        <w:rPr>
          <w:rFonts w:ascii="Times New Roman" w:hAnsi="Times New Roman"/>
          <w:sz w:val="28"/>
        </w:rPr>
        <w:t>з) </w:t>
      </w:r>
      <w:r>
        <w:rPr>
          <w:rFonts w:ascii="Times New Roman" w:hAnsi="Times New Roman"/>
          <w:sz w:val="28"/>
        </w:rPr>
        <w:t>коммерческие предложения, обосновывающие планируемый объем затрат на приобретение оборудования и (или) техники, указанных в части 5 настоящего Порядка;</w:t>
      </w:r>
    </w:p>
    <w:p w14:paraId="E0000000">
      <w:pPr>
        <w:pStyle w:val="Style_3"/>
        <w:spacing w:after="0" w:line="240" w:lineRule="auto"/>
        <w:ind w:firstLine="709" w:right="0"/>
        <w:jc w:val="both"/>
        <w:rPr>
          <w:rFonts w:ascii="Times New Roman" w:hAnsi="Times New Roman"/>
          <w:sz w:val="28"/>
        </w:rPr>
      </w:pPr>
      <w:r>
        <w:rPr>
          <w:rFonts w:ascii="Times New Roman" w:hAnsi="Times New Roman"/>
          <w:sz w:val="28"/>
        </w:rPr>
        <w:t>и)</w:t>
      </w:r>
      <w:r>
        <w:rPr>
          <w:rFonts w:ascii="Times New Roman" w:hAnsi="Times New Roman"/>
          <w:spacing w:val="0"/>
          <w:sz w:val="28"/>
        </w:rPr>
        <w:t> </w:t>
      </w:r>
      <w:r>
        <w:rPr>
          <w:rFonts w:ascii="Times New Roman" w:hAnsi="Times New Roman"/>
          <w:sz w:val="28"/>
        </w:rPr>
        <w:t>с</w:t>
      </w:r>
      <w:r>
        <w:rPr>
          <w:rFonts w:ascii="Times New Roman" w:hAnsi="Times New Roman"/>
          <w:sz w:val="28"/>
        </w:rPr>
        <w:t>правка-расчет потребности в субсидии</w:t>
      </w:r>
      <w:r>
        <w:rPr>
          <w:rFonts w:ascii="Times New Roman" w:hAnsi="Times New Roman"/>
          <w:sz w:val="28"/>
        </w:rPr>
        <w:t xml:space="preserve"> по форме согласно </w:t>
      </w:r>
      <w:r>
        <w:rPr>
          <w:rFonts w:ascii="Times New Roman" w:hAnsi="Times New Roman"/>
          <w:sz w:val="28"/>
        </w:rPr>
        <w:t>приложению</w:t>
      </w:r>
      <w:r>
        <w:rPr>
          <w:rFonts w:ascii="Times New Roman" w:hAnsi="Times New Roman"/>
          <w:sz w:val="28"/>
        </w:rPr>
        <w:t xml:space="preserve"> к настоящему Порядку.</w:t>
      </w:r>
    </w:p>
    <w:p w14:paraId="E1000000">
      <w:pPr>
        <w:spacing w:after="0" w:line="240" w:lineRule="auto"/>
        <w:ind w:firstLine="709" w:right="0"/>
        <w:jc w:val="both"/>
        <w:rPr>
          <w:rFonts w:ascii="Times New Roman" w:hAnsi="Times New Roman"/>
          <w:sz w:val="28"/>
          <w:shd w:fill="92FF99" w:val="clear"/>
        </w:rPr>
      </w:pPr>
      <w:r>
        <w:rPr>
          <w:rFonts w:ascii="Times New Roman" w:hAnsi="Times New Roman"/>
          <w:sz w:val="28"/>
        </w:rPr>
        <w:t xml:space="preserve">44. Заявка подписывается усиленной </w:t>
      </w:r>
      <w:r>
        <w:rPr>
          <w:rFonts w:ascii="Times New Roman" w:hAnsi="Times New Roman"/>
          <w:sz w:val="28"/>
        </w:rPr>
        <w:fldChar w:fldCharType="begin"/>
      </w:r>
      <w:r>
        <w:rPr>
          <w:rFonts w:ascii="Times New Roman" w:hAnsi="Times New Roman"/>
          <w:sz w:val="28"/>
        </w:rPr>
        <w:instrText>HYPERLINK "https://internet.garant.ru/document/redirect/12184522/54" \o "https://internet.garant.ru/document/redirect/12184522/54"</w:instrText>
      </w:r>
      <w:r>
        <w:rPr>
          <w:rFonts w:ascii="Times New Roman" w:hAnsi="Times New Roman"/>
          <w:sz w:val="28"/>
        </w:rPr>
        <w:fldChar w:fldCharType="separate"/>
      </w:r>
      <w:r>
        <w:rPr>
          <w:rFonts w:ascii="Times New Roman" w:hAnsi="Times New Roman"/>
          <w:sz w:val="28"/>
        </w:rPr>
        <w:t>квалифицированной электронной подписью</w:t>
      </w:r>
      <w:r>
        <w:rPr>
          <w:rFonts w:ascii="Times New Roman" w:hAnsi="Times New Roman"/>
          <w:sz w:val="28"/>
        </w:rPr>
        <w:fldChar w:fldCharType="end"/>
      </w:r>
      <w:r>
        <w:rPr>
          <w:rFonts w:ascii="Times New Roman" w:hAnsi="Times New Roman"/>
          <w:sz w:val="28"/>
        </w:rPr>
        <w:t xml:space="preserve"> руководителя</w:t>
      </w:r>
      <w:r>
        <w:rPr>
          <w:rFonts w:ascii="Times New Roman" w:hAnsi="Times New Roman"/>
          <w:sz w:val="28"/>
        </w:rPr>
        <w:t xml:space="preserve"> участника отбора</w:t>
      </w:r>
      <w:r>
        <w:rPr>
          <w:rFonts w:ascii="Times New Roman" w:hAnsi="Times New Roman"/>
          <w:sz w:val="28"/>
        </w:rPr>
        <w:t xml:space="preserve"> или уполномоченного им лица.</w:t>
      </w:r>
    </w:p>
    <w:p w14:paraId="E2000000">
      <w:pPr>
        <w:spacing w:after="0" w:line="240" w:lineRule="auto"/>
        <w:ind w:firstLine="709" w:right="0"/>
        <w:jc w:val="both"/>
        <w:rPr>
          <w:rFonts w:ascii="Times New Roman" w:hAnsi="Times New Roman"/>
          <w:sz w:val="28"/>
        </w:rPr>
      </w:pPr>
      <w:r>
        <w:rPr>
          <w:rFonts w:ascii="Times New Roman" w:hAnsi="Times New Roman"/>
          <w:sz w:val="28"/>
        </w:rPr>
        <w:t>45. 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w:t>
      </w:r>
      <w:r>
        <w:rPr>
          <w:rFonts w:ascii="Times New Roman" w:hAnsi="Times New Roman"/>
          <w:sz w:val="28"/>
        </w:rPr>
        <w:t>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E3000000">
      <w:pPr>
        <w:spacing w:after="0" w:line="240" w:lineRule="auto"/>
        <w:ind w:firstLine="709" w:right="0"/>
        <w:jc w:val="both"/>
        <w:rPr>
          <w:rFonts w:ascii="Times New Roman" w:hAnsi="Times New Roman"/>
          <w:sz w:val="28"/>
        </w:rPr>
      </w:pPr>
      <w:r>
        <w:rPr>
          <w:rFonts w:ascii="Times New Roman" w:hAnsi="Times New Roman"/>
          <w:sz w:val="28"/>
        </w:rPr>
        <w:t>Фото- и видеоматериалы, включаемые в заявку, должны содержать четкое и контрастное изображение высокого качества.</w:t>
      </w:r>
    </w:p>
    <w:p w14:paraId="E4000000">
      <w:pPr>
        <w:spacing w:after="0" w:line="240" w:lineRule="auto"/>
        <w:ind w:firstLine="709" w:right="0"/>
        <w:jc w:val="both"/>
        <w:rPr>
          <w:rFonts w:ascii="Times New Roman" w:hAnsi="Times New Roman"/>
          <w:sz w:val="28"/>
        </w:rPr>
      </w:pPr>
      <w:r>
        <w:rPr>
          <w:rFonts w:ascii="Times New Roman" w:hAnsi="Times New Roman"/>
          <w:sz w:val="28"/>
        </w:rPr>
        <w:t>46. 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E5000000">
      <w:pPr>
        <w:spacing w:after="0" w:line="240" w:lineRule="auto"/>
        <w:ind w:firstLine="709" w:right="0"/>
        <w:jc w:val="both"/>
        <w:rPr>
          <w:rFonts w:ascii="Times New Roman" w:hAnsi="Times New Roman"/>
          <w:sz w:val="28"/>
        </w:rPr>
      </w:pPr>
      <w:r>
        <w:rPr>
          <w:rFonts w:ascii="Times New Roman" w:hAnsi="Times New Roman"/>
          <w:sz w:val="28"/>
        </w:rPr>
        <w:t xml:space="preserve">47. Датой и временем представления участником отбора заявки считаются дата и время подписания участником отбора усиленной квалифицированной </w:t>
      </w:r>
      <w:r>
        <w:rPr>
          <w:rFonts w:ascii="Times New Roman" w:hAnsi="Times New Roman"/>
          <w:sz w:val="28"/>
        </w:rPr>
        <w:fldChar w:fldCharType="begin"/>
      </w:r>
      <w:r>
        <w:rPr>
          <w:rFonts w:ascii="Times New Roman" w:hAnsi="Times New Roman"/>
          <w:sz w:val="28"/>
        </w:rPr>
        <w:instrText>HYPERLINK "https://internet.garant.ru/#/document/12184522/entry/21" \o "https://internet.garant.ru/#/document/12184522/entry/21"</w:instrText>
      </w:r>
      <w:r>
        <w:rPr>
          <w:rFonts w:ascii="Times New Roman" w:hAnsi="Times New Roman"/>
          <w:sz w:val="28"/>
        </w:rPr>
        <w:fldChar w:fldCharType="separate"/>
      </w:r>
      <w:r>
        <w:rPr>
          <w:rFonts w:ascii="Times New Roman" w:hAnsi="Times New Roman"/>
          <w:sz w:val="28"/>
        </w:rPr>
        <w:t>электронной подписью</w:t>
      </w:r>
      <w:r>
        <w:rPr>
          <w:rFonts w:ascii="Times New Roman" w:hAnsi="Times New Roman"/>
          <w:sz w:val="28"/>
        </w:rPr>
        <w:fldChar w:fldCharType="end"/>
      </w:r>
      <w:r>
        <w:rPr>
          <w:rFonts w:ascii="Times New Roman" w:hAnsi="Times New Roman"/>
          <w:sz w:val="28"/>
        </w:rPr>
        <w:t xml:space="preserve"> указанной заявки с присвоением ей регистрационного номера в системе «Электронный бюджет».</w:t>
      </w:r>
    </w:p>
    <w:p w14:paraId="E6000000">
      <w:pPr>
        <w:spacing w:after="0" w:line="240" w:lineRule="auto"/>
        <w:ind w:firstLine="709" w:right="0"/>
        <w:jc w:val="both"/>
        <w:rPr>
          <w:rFonts w:ascii="Times New Roman" w:hAnsi="Times New Roman"/>
          <w:sz w:val="28"/>
        </w:rPr>
      </w:pPr>
      <w:r>
        <w:rPr>
          <w:rFonts w:ascii="Times New Roman" w:hAnsi="Times New Roman"/>
          <w:sz w:val="28"/>
        </w:rPr>
        <w:t>48. </w:t>
      </w:r>
      <w:r>
        <w:rPr>
          <w:rFonts w:ascii="Times New Roman" w:hAnsi="Times New Roman"/>
          <w:sz w:val="28"/>
        </w:rPr>
        <w:t xml:space="preserve">Дата окончания приема заявок </w:t>
      </w:r>
      <w:r>
        <w:rPr>
          <w:rFonts w:ascii="Times New Roman" w:hAnsi="Times New Roman"/>
          <w:sz w:val="28"/>
        </w:rPr>
        <w:t>не может быть ранее:</w:t>
      </w:r>
    </w:p>
    <w:p w14:paraId="E7000000">
      <w:pPr>
        <w:spacing w:after="0" w:line="240" w:lineRule="auto"/>
        <w:ind w:firstLine="709" w:right="0"/>
        <w:jc w:val="both"/>
        <w:rPr>
          <w:rFonts w:ascii="Times New Roman" w:hAnsi="Times New Roman"/>
          <w:sz w:val="28"/>
        </w:rPr>
      </w:pPr>
      <w:r>
        <w:rPr>
          <w:rFonts w:ascii="Times New Roman" w:hAnsi="Times New Roman"/>
          <w:sz w:val="28"/>
        </w:rPr>
        <w:t>1)</w:t>
      </w:r>
      <w:r>
        <w:rPr>
          <w:rFonts w:ascii="Times New Roman" w:hAnsi="Times New Roman"/>
          <w:spacing w:val="0"/>
          <w:sz w:val="28"/>
        </w:rPr>
        <w:t> </w:t>
      </w:r>
      <w:r>
        <w:rPr>
          <w:rFonts w:ascii="Times New Roman" w:hAnsi="Times New Roman"/>
          <w:sz w:val="28"/>
        </w:rPr>
        <w:t xml:space="preserve">10 календарного дня, следующего за днем размещения объявления, </w:t>
      </w:r>
      <w:r>
        <w:rPr>
          <w:rFonts w:ascii="Times New Roman" w:hAnsi="Times New Roman"/>
          <w:sz w:val="28"/>
        </w:rPr>
        <w:t>в случае если отсутствует информация о количестве участников отбора, соответствующих категории и (или) критерию отбора;</w:t>
      </w:r>
    </w:p>
    <w:p w14:paraId="E8000000">
      <w:pPr>
        <w:spacing w:after="0" w:line="240" w:lineRule="auto"/>
        <w:ind w:firstLine="709" w:right="0"/>
        <w:jc w:val="both"/>
        <w:rPr>
          <w:rFonts w:ascii="Times New Roman" w:hAnsi="Times New Roman"/>
          <w:sz w:val="28"/>
        </w:rPr>
      </w:pPr>
      <w:r>
        <w:rPr>
          <w:rFonts w:ascii="Times New Roman" w:hAnsi="Times New Roman"/>
          <w:sz w:val="28"/>
        </w:rPr>
        <w:t>2)</w:t>
      </w:r>
      <w:r>
        <w:rPr>
          <w:rFonts w:ascii="Times New Roman" w:hAnsi="Times New Roman"/>
          <w:spacing w:val="0"/>
          <w:sz w:val="28"/>
        </w:rPr>
        <w:t> </w:t>
      </w:r>
      <w:r>
        <w:rPr>
          <w:rFonts w:ascii="Times New Roman" w:hAnsi="Times New Roman"/>
          <w:sz w:val="28"/>
        </w:rPr>
        <w:t xml:space="preserve">5 календарного дня, следующего за днем размещения объявления, </w:t>
      </w:r>
      <w:r>
        <w:rPr>
          <w:rFonts w:ascii="Times New Roman" w:hAnsi="Times New Roman"/>
          <w:sz w:val="28"/>
        </w:rPr>
        <w:t>в случае если имеется информация о количестве участников отбора, соответствующих категории и (или) критерию отбора.</w:t>
      </w:r>
    </w:p>
    <w:p w14:paraId="E9000000">
      <w:pPr>
        <w:spacing w:after="0" w:line="240" w:lineRule="auto"/>
        <w:ind w:firstLine="709" w:right="0"/>
        <w:jc w:val="both"/>
        <w:rPr>
          <w:rFonts w:ascii="Times New Roman" w:hAnsi="Times New Roman"/>
          <w:sz w:val="28"/>
        </w:rPr>
      </w:pPr>
      <w:r>
        <w:rPr>
          <w:rFonts w:ascii="Times New Roman" w:hAnsi="Times New Roman"/>
          <w:sz w:val="28"/>
        </w:rPr>
        <w:t>49.</w:t>
      </w:r>
      <w:r>
        <w:rPr>
          <w:rFonts w:ascii="Times New Roman" w:hAnsi="Times New Roman"/>
          <w:spacing w:val="0"/>
          <w:sz w:val="28"/>
        </w:rPr>
        <w:t> </w:t>
      </w:r>
      <w:r>
        <w:rPr>
          <w:rFonts w:ascii="Times New Roman" w:hAnsi="Times New Roman"/>
          <w:sz w:val="28"/>
        </w:rPr>
        <w:t>Любой участник отбора со дня размещения объявления на едином портале и официально</w:t>
      </w:r>
      <w:r>
        <w:rPr>
          <w:rFonts w:ascii="Times New Roman" w:hAnsi="Times New Roman"/>
          <w:sz w:val="28"/>
        </w:rPr>
        <w:t>м сайте Министерства не позднее 3 рабочего дня до дня завершения подачи заявок вправе направить Министерству не более 5 запросов о разъяснении положений объявления (далее – запрос</w:t>
      </w:r>
      <w:r>
        <w:rPr>
          <w:rFonts w:ascii="Times New Roman" w:hAnsi="Times New Roman"/>
          <w:sz w:val="28"/>
        </w:rPr>
        <w:t>) путем формирования в системе «Электронный бюджет» соответствующего запроса.</w:t>
      </w:r>
    </w:p>
    <w:p w14:paraId="EA000000">
      <w:pPr>
        <w:spacing w:after="0" w:line="240" w:lineRule="auto"/>
        <w:ind w:firstLine="709" w:right="0"/>
        <w:jc w:val="both"/>
        <w:rPr>
          <w:rFonts w:ascii="Times New Roman" w:hAnsi="Times New Roman"/>
          <w:sz w:val="28"/>
        </w:rPr>
      </w:pPr>
      <w:r>
        <w:rPr>
          <w:rFonts w:ascii="Times New Roman" w:hAnsi="Times New Roman"/>
          <w:sz w:val="28"/>
        </w:rPr>
        <w:t xml:space="preserve">50. Министерство в ответ на запрос, указанный в </w:t>
      </w:r>
      <w:r>
        <w:rPr>
          <w:rFonts w:ascii="Times New Roman" w:hAnsi="Times New Roman"/>
          <w:sz w:val="28"/>
        </w:rPr>
        <w:t>части 49</w:t>
      </w:r>
      <w:r>
        <w:rPr>
          <w:rFonts w:ascii="Times New Roman" w:hAnsi="Times New Roman"/>
          <w:sz w:val="28"/>
        </w:rPr>
        <w:t xml:space="preserve"> настоящего Порядка, направляет разъяснение положений объявления в срок, установленный указанным объявлением, но не позднее 1 раб</w:t>
      </w:r>
      <w:r>
        <w:rPr>
          <w:rFonts w:ascii="Times New Roman" w:hAnsi="Times New Roman"/>
          <w:sz w:val="28"/>
        </w:rPr>
        <w:t>очег</w:t>
      </w:r>
      <w:r>
        <w:rPr>
          <w:rFonts w:ascii="Times New Roman" w:hAnsi="Times New Roman"/>
          <w:sz w:val="28"/>
        </w:rPr>
        <w:t>о дня до дня завершения подачи заявок путем формирования в системе «Электронный бюджет» соответствующего разъяснения. Представленное Министерством разъяснение положений объявления не должно изменять суть информации, содержащейся в указанном объявлении.</w:t>
      </w:r>
    </w:p>
    <w:p w14:paraId="EB000000">
      <w:pPr>
        <w:spacing w:after="0" w:line="240" w:lineRule="auto"/>
        <w:ind w:firstLine="709" w:right="0"/>
        <w:jc w:val="both"/>
        <w:rPr>
          <w:rFonts w:ascii="Times New Roman" w:hAnsi="Times New Roman"/>
          <w:sz w:val="28"/>
        </w:rPr>
      </w:pPr>
      <w:r>
        <w:rPr>
          <w:rFonts w:ascii="Times New Roman" w:hAnsi="Times New Roman"/>
          <w:sz w:val="28"/>
        </w:rPr>
        <w:t>Доступ к разъяснению, формируемому в системе «Электронный бюджет» в соответствии с абзацем первым настоящей части предоставляется всем участникам отбора.</w:t>
      </w:r>
    </w:p>
    <w:p w14:paraId="EC000000">
      <w:pPr>
        <w:spacing w:after="0" w:line="240" w:lineRule="auto"/>
        <w:ind w:firstLine="709" w:right="0"/>
        <w:jc w:val="both"/>
        <w:rPr>
          <w:rFonts w:ascii="Times New Roman" w:hAnsi="Times New Roman"/>
          <w:sz w:val="28"/>
        </w:rPr>
      </w:pPr>
      <w:r>
        <w:rPr>
          <w:rFonts w:ascii="Times New Roman" w:hAnsi="Times New Roman"/>
          <w:sz w:val="28"/>
        </w:rPr>
        <w:t>51.</w:t>
      </w:r>
      <w:r>
        <w:rPr>
          <w:rFonts w:ascii="Times New Roman" w:hAnsi="Times New Roman"/>
          <w:spacing w:val="0"/>
          <w:sz w:val="28"/>
        </w:rPr>
        <w:t> </w:t>
      </w:r>
      <w:r>
        <w:rPr>
          <w:rFonts w:ascii="Times New Roman" w:hAnsi="Times New Roman"/>
          <w:sz w:val="28"/>
        </w:rPr>
        <w:t xml:space="preserve">Участник отбора, подавший заявку, вправе отозвать заявку в срок не </w:t>
      </w:r>
      <w:r>
        <w:rPr>
          <w:rFonts w:ascii="Times New Roman" w:hAnsi="Times New Roman"/>
          <w:sz w:val="28"/>
        </w:rPr>
        <w:t>позднее дня окончания срока приема заявок путем отзыва заявки в системе «Электронный бюджет».</w:t>
      </w:r>
    </w:p>
    <w:p w14:paraId="ED000000">
      <w:pPr>
        <w:spacing w:after="0" w:line="240" w:lineRule="auto"/>
        <w:ind w:firstLine="709" w:right="0"/>
        <w:jc w:val="both"/>
        <w:rPr>
          <w:rFonts w:ascii="Times New Roman" w:hAnsi="Times New Roman"/>
          <w:sz w:val="28"/>
        </w:rPr>
      </w:pPr>
      <w:r>
        <w:rPr>
          <w:rFonts w:ascii="Times New Roman" w:hAnsi="Times New Roman"/>
          <w:sz w:val="28"/>
        </w:rPr>
        <w:t>52. </w:t>
      </w:r>
      <w:r>
        <w:rPr>
          <w:rFonts w:ascii="Times New Roman" w:hAnsi="Times New Roman"/>
          <w:sz w:val="28"/>
        </w:rPr>
        <w:t xml:space="preserve">Внесение изменений в заявку осуществляется участником отбора в пределах </w:t>
      </w:r>
      <w:r>
        <w:rPr>
          <w:rFonts w:ascii="Times New Roman" w:hAnsi="Times New Roman"/>
          <w:sz w:val="28"/>
        </w:rPr>
        <w:t xml:space="preserve">срока, установленного для подачи заявок, но не позднее срока окончания приема заявок, путем отзыва заявки и последующего формирования новой заявки в соответствии </w:t>
      </w:r>
      <w:r>
        <w:rPr>
          <w:rFonts w:ascii="Times New Roman" w:hAnsi="Times New Roman"/>
          <w:sz w:val="28"/>
        </w:rPr>
        <w:t xml:space="preserve">с </w:t>
      </w:r>
      <w:r>
        <w:rPr>
          <w:rFonts w:ascii="Times New Roman" w:hAnsi="Times New Roman"/>
          <w:sz w:val="28"/>
        </w:rPr>
        <w:t>частями 41, 43 и 4</w:t>
      </w:r>
      <w:r>
        <w:rPr>
          <w:rFonts w:ascii="Times New Roman" w:hAnsi="Times New Roman"/>
          <w:sz w:val="28"/>
        </w:rPr>
        <w:t>4 настоя</w:t>
      </w:r>
      <w:r>
        <w:rPr>
          <w:rFonts w:ascii="Times New Roman" w:hAnsi="Times New Roman"/>
          <w:sz w:val="28"/>
        </w:rPr>
        <w:t>щего Порядка. При этом ранее поданная заявка считается отозванной.</w:t>
      </w:r>
    </w:p>
    <w:p w14:paraId="EE000000">
      <w:pPr>
        <w:spacing w:after="0" w:line="240" w:lineRule="auto"/>
        <w:ind w:firstLine="709" w:right="0"/>
        <w:jc w:val="both"/>
        <w:rPr>
          <w:rFonts w:ascii="Times New Roman" w:hAnsi="Times New Roman"/>
          <w:sz w:val="28"/>
        </w:rPr>
      </w:pPr>
      <w:r>
        <w:rPr>
          <w:rFonts w:ascii="Times New Roman" w:hAnsi="Times New Roman"/>
          <w:sz w:val="28"/>
        </w:rPr>
        <w:t>53.</w:t>
      </w:r>
      <w:r>
        <w:rPr>
          <w:rFonts w:ascii="Times New Roman" w:hAnsi="Times New Roman"/>
          <w:spacing w:val="0"/>
          <w:sz w:val="28"/>
        </w:rPr>
        <w:t> </w:t>
      </w:r>
      <w:r>
        <w:rPr>
          <w:rFonts w:ascii="Times New Roman" w:hAnsi="Times New Roman"/>
          <w:sz w:val="28"/>
        </w:rPr>
        <w:t>Не позднее 1 рабочего дня, следующего за днем окончания срока подачи заявок, установленного в объявлении, в системе «Электронный бюджет» открывается доступ Министерству к заявкам для их рассмотрения.</w:t>
      </w:r>
    </w:p>
    <w:p w14:paraId="EF000000">
      <w:pPr>
        <w:spacing w:after="0" w:line="240" w:lineRule="auto"/>
        <w:ind w:firstLine="709" w:right="0"/>
        <w:jc w:val="both"/>
        <w:rPr>
          <w:rFonts w:ascii="Times New Roman" w:hAnsi="Times New Roman"/>
          <w:sz w:val="28"/>
        </w:rPr>
      </w:pPr>
      <w:r>
        <w:rPr>
          <w:rFonts w:ascii="Times New Roman" w:hAnsi="Times New Roman"/>
          <w:sz w:val="28"/>
        </w:rPr>
        <w:t>54. Протокол вс</w:t>
      </w:r>
      <w:r>
        <w:rPr>
          <w:rFonts w:ascii="Times New Roman" w:hAnsi="Times New Roman"/>
          <w:sz w:val="28"/>
        </w:rPr>
        <w:t xml:space="preserve">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«Электронный бюджет», а также размещается на едином портале не позднее </w:t>
      </w:r>
      <w:r>
        <w:rPr>
          <w:rFonts w:ascii="Times New Roman" w:hAnsi="Times New Roman"/>
          <w:sz w:val="28"/>
        </w:rPr>
        <w:t>1 рабочего дня, следующего за днем его подписания.</w:t>
      </w:r>
    </w:p>
    <w:p w14:paraId="F0000000">
      <w:pPr>
        <w:spacing w:after="0" w:line="240" w:lineRule="auto"/>
        <w:ind w:firstLine="709" w:right="0"/>
        <w:jc w:val="both"/>
        <w:rPr>
          <w:rFonts w:ascii="Times New Roman" w:hAnsi="Times New Roman"/>
          <w:sz w:val="28"/>
        </w:rPr>
      </w:pPr>
      <w:r>
        <w:rPr>
          <w:rFonts w:ascii="Times New Roman" w:hAnsi="Times New Roman"/>
          <w:sz w:val="28"/>
        </w:rPr>
        <w:t>55. Министерство в течение 15 рабочих дней со дня подписания протокола вскрытия заявок осуществл</w:t>
      </w:r>
      <w:r>
        <w:rPr>
          <w:rFonts w:ascii="Times New Roman" w:hAnsi="Times New Roman"/>
          <w:sz w:val="28"/>
        </w:rPr>
        <w:t xml:space="preserve">яет проверку участника отбора на соответствие требованиям, установленным </w:t>
      </w:r>
      <w:r>
        <w:rPr>
          <w:rFonts w:ascii="Times New Roman" w:hAnsi="Times New Roman"/>
          <w:sz w:val="28"/>
        </w:rPr>
        <w:t>частью 6</w:t>
      </w:r>
      <w:r>
        <w:rPr>
          <w:rFonts w:ascii="Times New Roman" w:hAnsi="Times New Roman"/>
          <w:sz w:val="28"/>
        </w:rPr>
        <w:t xml:space="preserve"> настоящего Порядка, а также </w:t>
      </w:r>
      <w:r>
        <w:rPr>
          <w:rFonts w:ascii="Times New Roman" w:hAnsi="Times New Roman"/>
          <w:sz w:val="28"/>
        </w:rPr>
        <w:t>устанавливает полноту и достоверность сведений, содержащихся в прилагаемых к заявке документах:</w:t>
      </w:r>
    </w:p>
    <w:p w14:paraId="F1000000">
      <w:pPr>
        <w:spacing w:after="0" w:line="240" w:lineRule="auto"/>
        <w:ind w:firstLine="709" w:right="0"/>
        <w:jc w:val="both"/>
        <w:rPr>
          <w:rFonts w:ascii="Times New Roman" w:hAnsi="Times New Roman"/>
          <w:sz w:val="28"/>
        </w:rPr>
      </w:pPr>
      <w:r>
        <w:rPr>
          <w:rFonts w:ascii="Times New Roman" w:hAnsi="Times New Roman"/>
          <w:sz w:val="28"/>
        </w:rPr>
        <w:t xml:space="preserve">1) в соответствии с </w:t>
      </w:r>
      <w:r>
        <w:rPr>
          <w:rFonts w:ascii="Times New Roman" w:hAnsi="Times New Roman"/>
          <w:sz w:val="28"/>
        </w:rPr>
        <w:fldChar w:fldCharType="begin"/>
      </w:r>
      <w:r>
        <w:rPr>
          <w:rFonts w:ascii="Times New Roman" w:hAnsi="Times New Roman"/>
          <w:sz w:val="28"/>
        </w:rPr>
        <w:instrText>HYPERLINK "https://internet.garant.ru/#/document/406064987/entry/1124" \o "https://internet.garant.ru/#/document/406064987/entry/1124"</w:instrText>
      </w:r>
      <w:r>
        <w:rPr>
          <w:rFonts w:ascii="Times New Roman" w:hAnsi="Times New Roman"/>
          <w:sz w:val="28"/>
        </w:rPr>
        <w:fldChar w:fldCharType="separate"/>
      </w:r>
      <w:r>
        <w:rPr>
          <w:rFonts w:ascii="Times New Roman" w:hAnsi="Times New Roman"/>
          <w:sz w:val="28"/>
        </w:rPr>
        <w:t>пунктами 1</w:t>
      </w:r>
      <w:r>
        <w:rPr>
          <w:rFonts w:ascii="Times New Roman" w:hAnsi="Times New Roman"/>
          <w:sz w:val="28"/>
        </w:rPr>
        <w:fldChar w:fldCharType="end"/>
      </w:r>
      <w:r>
        <w:rPr>
          <w:rFonts w:ascii="Times New Roman" w:hAnsi="Times New Roman"/>
          <w:sz w:val="28"/>
        </w:rPr>
        <w:t xml:space="preserve">, 2 </w:t>
      </w:r>
      <w:r>
        <w:rPr>
          <w:rFonts w:ascii="Times New Roman" w:hAnsi="Times New Roman"/>
          <w:sz w:val="28"/>
        </w:rPr>
        <w:t xml:space="preserve">части </w:t>
      </w:r>
      <w:r>
        <w:rPr>
          <w:rFonts w:ascii="Times New Roman" w:hAnsi="Times New Roman"/>
          <w:sz w:val="28"/>
        </w:rPr>
        <w:t>6</w:t>
      </w:r>
      <w:r>
        <w:rPr>
          <w:rFonts w:ascii="Times New Roman" w:hAnsi="Times New Roman"/>
          <w:sz w:val="28"/>
        </w:rPr>
        <w:t xml:space="preserve"> </w:t>
      </w:r>
      <w:r>
        <w:rPr>
          <w:rFonts w:ascii="Times New Roman" w:hAnsi="Times New Roman"/>
          <w:sz w:val="28"/>
        </w:rPr>
        <w:t xml:space="preserve">настоящего Порядка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w:t>
      </w:r>
      <w:r>
        <w:rPr>
          <w:rFonts w:ascii="Times New Roman" w:hAnsi="Times New Roman"/>
          <w:sz w:val="28"/>
        </w:rPr>
        <w:t>(при наличии технической возможности автоматической проверки);</w:t>
      </w:r>
    </w:p>
    <w:p w14:paraId="F2000000">
      <w:pPr>
        <w:spacing w:after="0" w:line="240" w:lineRule="auto"/>
        <w:ind w:firstLine="709" w:right="0"/>
        <w:jc w:val="both"/>
        <w:rPr>
          <w:rFonts w:ascii="Times New Roman" w:hAnsi="Times New Roman"/>
          <w:sz w:val="28"/>
        </w:rPr>
      </w:pPr>
      <w:r>
        <w:rPr>
          <w:rFonts w:ascii="Times New Roman" w:hAnsi="Times New Roman"/>
          <w:sz w:val="28"/>
        </w:rPr>
        <w:t>2) в соответствии с пунктами 3</w:t>
      </w:r>
      <w:r>
        <w:rPr>
          <w:rFonts w:ascii="Times New Roman" w:hAnsi="Times New Roman"/>
          <w:sz w:val="28"/>
        </w:rPr>
        <w:t>, 5</w:t>
      </w:r>
      <w:r>
        <w:rPr>
          <w:rFonts w:ascii="Times New Roman" w:hAnsi="Times New Roman"/>
          <w:sz w:val="28"/>
        </w:rPr>
        <w:t xml:space="preserve"> </w:t>
      </w:r>
      <w:r>
        <w:rPr>
          <w:rFonts w:ascii="Times New Roman" w:hAnsi="Times New Roman"/>
          <w:sz w:val="28"/>
        </w:rPr>
        <w:t>части 6</w:t>
      </w:r>
      <w:r>
        <w:rPr>
          <w:rFonts w:ascii="Times New Roman" w:hAnsi="Times New Roman"/>
          <w:sz w:val="28"/>
        </w:rPr>
        <w:t xml:space="preserve"> настоящего Порядка посредством информации, размещенной на официальных сайтах федеральных органов государственной власти;</w:t>
      </w:r>
    </w:p>
    <w:p w14:paraId="F3000000">
      <w:pPr>
        <w:spacing w:after="0" w:line="240" w:lineRule="auto"/>
        <w:ind w:firstLine="709" w:right="0"/>
        <w:jc w:val="both"/>
        <w:rPr>
          <w:rFonts w:ascii="Times New Roman" w:hAnsi="Times New Roman"/>
          <w:sz w:val="28"/>
        </w:rPr>
      </w:pPr>
      <w:r>
        <w:rPr>
          <w:rFonts w:ascii="Times New Roman" w:hAnsi="Times New Roman"/>
          <w:sz w:val="28"/>
        </w:rPr>
        <w:t xml:space="preserve">3) в соответствии с </w:t>
      </w:r>
      <w:r>
        <w:rPr>
          <w:rFonts w:ascii="Times New Roman" w:hAnsi="Times New Roman"/>
          <w:sz w:val="28"/>
        </w:rPr>
        <w:fldChar w:fldCharType="begin"/>
      </w:r>
      <w:r>
        <w:rPr>
          <w:rFonts w:ascii="Times New Roman" w:hAnsi="Times New Roman"/>
          <w:sz w:val="28"/>
        </w:rPr>
        <w:instrText>HYPERLINK "https://internet.garant.ru/#/document/406064987/entry/1124" \o "https://internet.garant.ru/#/document/406064987/entry/1124"</w:instrText>
      </w:r>
      <w:r>
        <w:rPr>
          <w:rFonts w:ascii="Times New Roman" w:hAnsi="Times New Roman"/>
          <w:sz w:val="28"/>
        </w:rPr>
        <w:fldChar w:fldCharType="separate"/>
      </w:r>
      <w:r>
        <w:rPr>
          <w:rFonts w:ascii="Times New Roman" w:hAnsi="Times New Roman"/>
          <w:sz w:val="28"/>
        </w:rPr>
        <w:t xml:space="preserve">пунктами </w:t>
      </w:r>
      <w:r>
        <w:rPr>
          <w:rFonts w:ascii="Times New Roman" w:hAnsi="Times New Roman"/>
          <w:sz w:val="28"/>
        </w:rPr>
        <w:fldChar w:fldCharType="end"/>
      </w:r>
      <w:r>
        <w:rPr>
          <w:rFonts w:ascii="Times New Roman" w:hAnsi="Times New Roman"/>
          <w:sz w:val="28"/>
        </w:rPr>
        <w:t>4</w:t>
      </w:r>
      <w:r>
        <w:rPr>
          <w:rFonts w:ascii="Times New Roman" w:hAnsi="Times New Roman"/>
          <w:sz w:val="28"/>
        </w:rPr>
        <w:t>, 6</w:t>
      </w:r>
      <w:r>
        <w:rPr>
          <w:rFonts w:ascii="Times New Roman" w:hAnsi="Times New Roman"/>
          <w:sz w:val="28"/>
        </w:rPr>
        <w:t xml:space="preserve"> </w:t>
      </w:r>
      <w:r>
        <w:rPr>
          <w:rFonts w:ascii="Times New Roman" w:hAnsi="Times New Roman"/>
          <w:sz w:val="28"/>
        </w:rPr>
        <w:t xml:space="preserve">части </w:t>
      </w:r>
      <w:r>
        <w:rPr>
          <w:rFonts w:ascii="Times New Roman" w:hAnsi="Times New Roman"/>
          <w:sz w:val="28"/>
        </w:rPr>
        <w:t>6</w:t>
      </w:r>
      <w:r>
        <w:rPr>
          <w:rFonts w:ascii="Times New Roman" w:hAnsi="Times New Roman"/>
          <w:sz w:val="28"/>
        </w:rPr>
        <w:t xml:space="preserve"> настоящего Порядка путем направления запросов в адрес исполнит</w:t>
      </w:r>
      <w:r>
        <w:rPr>
          <w:rFonts w:ascii="Times New Roman" w:hAnsi="Times New Roman"/>
          <w:sz w:val="28"/>
        </w:rPr>
        <w:t>ельных органов Камчатского края</w:t>
      </w:r>
      <w:r>
        <w:rPr>
          <w:rFonts w:ascii="Times New Roman" w:hAnsi="Times New Roman"/>
          <w:sz w:val="28"/>
        </w:rPr>
        <w:t>.</w:t>
      </w:r>
    </w:p>
    <w:p w14:paraId="F4000000">
      <w:pPr>
        <w:spacing w:after="0" w:line="240" w:lineRule="auto"/>
        <w:ind w:firstLine="709" w:right="0"/>
        <w:jc w:val="both"/>
        <w:rPr>
          <w:rFonts w:ascii="Times New Roman" w:hAnsi="Times New Roman"/>
          <w:sz w:val="28"/>
        </w:rPr>
      </w:pPr>
      <w:r>
        <w:rPr>
          <w:rFonts w:ascii="Times New Roman" w:hAnsi="Times New Roman"/>
          <w:sz w:val="28"/>
        </w:rPr>
        <w:t xml:space="preserve">56. В случае если у Министерства отсутствует техническая возможность осуществления автоматической проверки в системе «Электронный бюджет» участника отбора установленным в </w:t>
      </w:r>
      <w:r>
        <w:rPr>
          <w:rFonts w:ascii="Times New Roman" w:hAnsi="Times New Roman"/>
          <w:sz w:val="28"/>
        </w:rPr>
        <w:t>пунктах 1</w:t>
      </w:r>
      <w:r>
        <w:rPr>
          <w:rFonts w:ascii="Times New Roman" w:hAnsi="Times New Roman"/>
          <w:sz w:val="28"/>
        </w:rPr>
        <w:t>, 2</w:t>
      </w:r>
      <w:r>
        <w:rPr>
          <w:rFonts w:ascii="Times New Roman" w:hAnsi="Times New Roman"/>
          <w:sz w:val="28"/>
        </w:rPr>
        <w:t xml:space="preserve"> </w:t>
      </w:r>
      <w:r>
        <w:rPr>
          <w:rFonts w:ascii="Times New Roman" w:hAnsi="Times New Roman"/>
          <w:sz w:val="28"/>
        </w:rPr>
        <w:t>части 6</w:t>
      </w:r>
      <w:r>
        <w:rPr>
          <w:rFonts w:ascii="Times New Roman" w:hAnsi="Times New Roman"/>
          <w:sz w:val="28"/>
        </w:rPr>
        <w:t xml:space="preserve"> настоящего По</w:t>
      </w:r>
      <w:r>
        <w:rPr>
          <w:rFonts w:ascii="Times New Roman" w:hAnsi="Times New Roman"/>
          <w:sz w:val="28"/>
        </w:rPr>
        <w:t>рядка требованиям, соответствующие сведения запрашиваются Министерством в течение 15 рабочих дней со дня подписания протокола вскрытия заявок посредством межведомственного запроса и (или) путем использования общедоступной информации, размещенной на официал</w:t>
      </w:r>
      <w:r>
        <w:rPr>
          <w:rFonts w:ascii="Times New Roman" w:hAnsi="Times New Roman"/>
          <w:sz w:val="28"/>
        </w:rPr>
        <w:t>ьных ресурсах исполнительных органов, других организаций,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F5000000">
      <w:pPr>
        <w:spacing w:after="0" w:line="240" w:lineRule="auto"/>
        <w:ind w:firstLine="709" w:right="0"/>
        <w:jc w:val="both"/>
        <w:rPr>
          <w:rFonts w:ascii="Times New Roman" w:hAnsi="Times New Roman"/>
          <w:sz w:val="28"/>
        </w:rPr>
      </w:pPr>
      <w:r>
        <w:rPr>
          <w:rFonts w:ascii="Times New Roman" w:hAnsi="Times New Roman"/>
          <w:sz w:val="28"/>
        </w:rPr>
        <w:t>57. </w:t>
      </w:r>
      <w:r>
        <w:rPr>
          <w:rFonts w:ascii="Times New Roman" w:hAnsi="Times New Roman"/>
          <w:sz w:val="28"/>
        </w:rPr>
        <w:t xml:space="preserve">Подтверждение соответствия участника отбора требованиям, указанным в </w:t>
      </w:r>
      <w:r>
        <w:rPr>
          <w:rFonts w:ascii="Times New Roman" w:hAnsi="Times New Roman"/>
          <w:sz w:val="28"/>
        </w:rPr>
        <w:t>ч</w:t>
      </w:r>
      <w:r>
        <w:rPr>
          <w:rFonts w:ascii="Times New Roman" w:hAnsi="Times New Roman"/>
          <w:sz w:val="28"/>
        </w:rPr>
        <w:t>асти 6</w:t>
      </w:r>
      <w:r>
        <w:rPr>
          <w:rFonts w:ascii="Times New Roman" w:hAnsi="Times New Roman"/>
          <w:sz w:val="28"/>
        </w:rPr>
        <w:t xml:space="preserve"> настоящего Порядка, в случае отсутствия технической возможности осуществления автоматиче</w:t>
      </w:r>
      <w:r>
        <w:rPr>
          <w:rFonts w:ascii="Times New Roman" w:hAnsi="Times New Roman"/>
          <w:sz w:val="28"/>
        </w:rPr>
        <w:t>ской проверки в системе «Электронный бюджет» производи</w:t>
      </w:r>
      <w:r>
        <w:rPr>
          <w:rFonts w:ascii="Times New Roman" w:hAnsi="Times New Roman"/>
          <w:sz w:val="28"/>
        </w:rPr>
        <w:t>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F6000000">
      <w:pPr>
        <w:spacing w:after="0" w:line="240" w:lineRule="auto"/>
        <w:ind w:firstLine="709" w:right="0"/>
        <w:jc w:val="both"/>
        <w:rPr>
          <w:rFonts w:ascii="Times New Roman" w:hAnsi="Times New Roman"/>
          <w:sz w:val="28"/>
        </w:rPr>
      </w:pPr>
      <w:r>
        <w:rPr>
          <w:rFonts w:ascii="Times New Roman" w:hAnsi="Times New Roman"/>
          <w:sz w:val="28"/>
        </w:rPr>
        <w:t>58. Министерство в целях подтверждения соответствия получателя субсид</w:t>
      </w:r>
      <w:r>
        <w:rPr>
          <w:rFonts w:ascii="Times New Roman" w:hAnsi="Times New Roman"/>
          <w:sz w:val="28"/>
        </w:rPr>
        <w:t>ии (участника отбора) требованиям, опреде</w:t>
      </w:r>
      <w:r>
        <w:rPr>
          <w:rFonts w:ascii="Times New Roman" w:hAnsi="Times New Roman"/>
          <w:sz w:val="28"/>
        </w:rPr>
        <w:t xml:space="preserve">ленным в </w:t>
      </w:r>
      <w:r>
        <w:rPr>
          <w:rFonts w:ascii="Times New Roman" w:hAnsi="Times New Roman"/>
          <w:sz w:val="28"/>
        </w:rPr>
        <w:t>части 6</w:t>
      </w:r>
      <w:r>
        <w:rPr>
          <w:rFonts w:ascii="Times New Roman" w:hAnsi="Times New Roman"/>
          <w:sz w:val="28"/>
        </w:rPr>
        <w:t xml:space="preserve"> настоящего Порядка, не вправе требовать от получателя субсидии (участника отбора) представления документов и информации при наличии соответствующей информации в государственных информационных с</w:t>
      </w:r>
      <w:r>
        <w:rPr>
          <w:rFonts w:ascii="Times New Roman" w:hAnsi="Times New Roman"/>
          <w:sz w:val="28"/>
        </w:rPr>
        <w:t>истем</w:t>
      </w:r>
      <w:r>
        <w:rPr>
          <w:rFonts w:ascii="Times New Roman" w:hAnsi="Times New Roman"/>
          <w:sz w:val="28"/>
        </w:rPr>
        <w:t>ах, доступ к которым у Министерства имеется в рамках межведомственного электронного взаимодействия, за исключением случая, если получатель субсидии (участник отбора) готов представить указанные документы и информацию Министерству по собственной инициативе.</w:t>
      </w:r>
    </w:p>
    <w:p w14:paraId="F7000000">
      <w:pPr>
        <w:spacing w:after="0" w:line="240" w:lineRule="auto"/>
        <w:ind w:firstLine="709" w:right="0"/>
        <w:jc w:val="both"/>
        <w:rPr>
          <w:rFonts w:ascii="Times New Roman" w:hAnsi="Times New Roman"/>
          <w:sz w:val="28"/>
        </w:rPr>
      </w:pPr>
      <w:r>
        <w:rPr>
          <w:rFonts w:ascii="Times New Roman" w:hAnsi="Times New Roman"/>
          <w:sz w:val="28"/>
        </w:rPr>
        <w:t xml:space="preserve">59. При необходимости получения информации и документов от участника отбора для разъяснений по представленным им документам и информации в целях полного, всестороннего и </w:t>
      </w:r>
      <w:r>
        <w:rPr>
          <w:rFonts w:ascii="Times New Roman" w:hAnsi="Times New Roman"/>
          <w:sz w:val="28"/>
        </w:rPr>
        <w:t>объективного рассмотрения и оценки заявки, Министерством осуществляется запрос у участника отбора разъяснения в отношении документов и информации посредством системы «Электронный бюджет», направляемый при необходимости в равной мере всем участникам отбора.</w:t>
      </w:r>
    </w:p>
    <w:p w14:paraId="F8000000">
      <w:pPr>
        <w:spacing w:after="0" w:line="240" w:lineRule="auto"/>
        <w:ind w:firstLine="709" w:right="0"/>
        <w:jc w:val="both"/>
        <w:rPr>
          <w:rFonts w:ascii="Times New Roman" w:hAnsi="Times New Roman"/>
          <w:sz w:val="28"/>
        </w:rPr>
      </w:pPr>
      <w:r>
        <w:rPr>
          <w:rFonts w:ascii="Times New Roman" w:hAnsi="Times New Roman"/>
          <w:sz w:val="28"/>
        </w:rPr>
        <w:t>60. В запросе, указанном</w:t>
      </w:r>
      <w:r>
        <w:rPr>
          <w:rFonts w:ascii="Times New Roman" w:hAnsi="Times New Roman"/>
          <w:sz w:val="28"/>
        </w:rPr>
        <w:t xml:space="preserve"> в </w:t>
      </w:r>
      <w:r>
        <w:rPr>
          <w:rFonts w:ascii="Times New Roman" w:hAnsi="Times New Roman"/>
          <w:sz w:val="28"/>
        </w:rPr>
        <w:t>части 59</w:t>
      </w:r>
      <w:r>
        <w:rPr>
          <w:rFonts w:ascii="Times New Roman" w:hAnsi="Times New Roman"/>
          <w:sz w:val="28"/>
        </w:rPr>
        <w:t xml:space="preserve"> насто</w:t>
      </w:r>
      <w:r>
        <w:rPr>
          <w:rFonts w:ascii="Times New Roman" w:hAnsi="Times New Roman"/>
          <w:sz w:val="28"/>
        </w:rPr>
        <w:t>ящего Порядка, Министерство устанавливает срок</w:t>
      </w:r>
      <w:r>
        <w:rPr>
          <w:rFonts w:ascii="Times New Roman" w:hAnsi="Times New Roman"/>
          <w:sz w:val="28"/>
        </w:rPr>
        <w:t xml:space="preserve"> представления участником отбора разъяснения в отношении документов и информации, который должен составлять не менее </w:t>
      </w:r>
      <w:r>
        <w:rPr>
          <w:rFonts w:ascii="Times New Roman" w:hAnsi="Times New Roman"/>
          <w:sz w:val="28"/>
        </w:rPr>
        <w:t>2 рабочих дней со дня, следующего за дн</w:t>
      </w:r>
      <w:r>
        <w:rPr>
          <w:rFonts w:ascii="Times New Roman" w:hAnsi="Times New Roman"/>
          <w:sz w:val="28"/>
        </w:rPr>
        <w:t xml:space="preserve">ем </w:t>
      </w:r>
      <w:r>
        <w:rPr>
          <w:rFonts w:ascii="Times New Roman" w:hAnsi="Times New Roman"/>
          <w:sz w:val="28"/>
        </w:rPr>
        <w:t>н</w:t>
      </w:r>
      <w:r>
        <w:rPr>
          <w:rFonts w:ascii="Times New Roman" w:hAnsi="Times New Roman"/>
          <w:strike w:val="0"/>
          <w:sz w:val="28"/>
        </w:rPr>
        <w:t>аправления</w:t>
      </w:r>
      <w:r>
        <w:rPr>
          <w:rFonts w:ascii="Times New Roman" w:hAnsi="Times New Roman"/>
          <w:strike w:val="0"/>
          <w:sz w:val="28"/>
        </w:rPr>
        <w:t xml:space="preserve"> </w:t>
      </w:r>
      <w:r>
        <w:rPr>
          <w:rFonts w:ascii="Times New Roman" w:hAnsi="Times New Roman"/>
          <w:sz w:val="28"/>
        </w:rPr>
        <w:t>со</w:t>
      </w:r>
      <w:r>
        <w:rPr>
          <w:rFonts w:ascii="Times New Roman" w:hAnsi="Times New Roman"/>
          <w:sz w:val="28"/>
        </w:rPr>
        <w:t>ответствующего</w:t>
      </w:r>
      <w:r>
        <w:rPr>
          <w:rFonts w:ascii="Times New Roman" w:hAnsi="Times New Roman"/>
          <w:sz w:val="28"/>
        </w:rPr>
        <w:t xml:space="preserve"> запроса.</w:t>
      </w:r>
    </w:p>
    <w:p w14:paraId="F9000000">
      <w:pPr>
        <w:spacing w:after="0" w:line="240" w:lineRule="auto"/>
        <w:ind w:firstLine="709" w:right="0"/>
        <w:jc w:val="both"/>
        <w:rPr>
          <w:rFonts w:ascii="Times New Roman" w:hAnsi="Times New Roman"/>
          <w:sz w:val="28"/>
        </w:rPr>
      </w:pPr>
      <w:r>
        <w:rPr>
          <w:rFonts w:ascii="Times New Roman" w:hAnsi="Times New Roman"/>
          <w:sz w:val="28"/>
        </w:rPr>
        <w:t xml:space="preserve">61. Участник отбора формирует и представляет в системе «Электронный </w:t>
      </w:r>
      <w:r>
        <w:rPr>
          <w:rFonts w:ascii="Times New Roman" w:hAnsi="Times New Roman"/>
          <w:sz w:val="28"/>
        </w:rPr>
        <w:t xml:space="preserve">бюджет» информацию и документы, запрашиваемые в соответствии с </w:t>
      </w:r>
      <w:r>
        <w:rPr>
          <w:rFonts w:ascii="Times New Roman" w:hAnsi="Times New Roman"/>
          <w:sz w:val="28"/>
        </w:rPr>
        <w:t>частью 59</w:t>
      </w:r>
      <w:r>
        <w:rPr>
          <w:rFonts w:ascii="Times New Roman" w:hAnsi="Times New Roman"/>
          <w:sz w:val="28"/>
        </w:rPr>
        <w:t xml:space="preserve"> настоящего Порядка, в срок, установленный соответствующим запросом с учетом поло</w:t>
      </w:r>
      <w:r>
        <w:rPr>
          <w:rFonts w:ascii="Times New Roman" w:hAnsi="Times New Roman"/>
          <w:sz w:val="28"/>
        </w:rPr>
        <w:t>ж</w:t>
      </w:r>
      <w:r>
        <w:rPr>
          <w:rFonts w:ascii="Times New Roman" w:hAnsi="Times New Roman"/>
          <w:sz w:val="28"/>
        </w:rPr>
        <w:t xml:space="preserve">ений </w:t>
      </w:r>
      <w:r>
        <w:rPr>
          <w:rFonts w:ascii="Times New Roman" w:hAnsi="Times New Roman"/>
          <w:sz w:val="28"/>
        </w:rPr>
        <w:t>части 60</w:t>
      </w:r>
      <w:r>
        <w:rPr>
          <w:rFonts w:ascii="Times New Roman" w:hAnsi="Times New Roman"/>
          <w:sz w:val="28"/>
        </w:rPr>
        <w:t xml:space="preserve"> настоящ</w:t>
      </w:r>
      <w:r>
        <w:rPr>
          <w:rFonts w:ascii="Times New Roman" w:hAnsi="Times New Roman"/>
          <w:sz w:val="28"/>
        </w:rPr>
        <w:t>его Порядка.</w:t>
      </w:r>
    </w:p>
    <w:p w14:paraId="FA000000">
      <w:pPr>
        <w:spacing w:after="0" w:line="240" w:lineRule="auto"/>
        <w:ind w:firstLine="709" w:right="0"/>
        <w:jc w:val="both"/>
        <w:rPr>
          <w:rFonts w:ascii="Times New Roman" w:hAnsi="Times New Roman"/>
          <w:sz w:val="28"/>
        </w:rPr>
      </w:pPr>
      <w:r>
        <w:rPr>
          <w:rFonts w:ascii="Times New Roman" w:hAnsi="Times New Roman"/>
          <w:sz w:val="28"/>
        </w:rPr>
        <w:t xml:space="preserve">62. В случае если участник отбора в ответ на запрос, указанный в </w:t>
      </w:r>
      <w:r>
        <w:rPr>
          <w:rFonts w:ascii="Times New Roman" w:hAnsi="Times New Roman"/>
          <w:sz w:val="28"/>
        </w:rPr>
        <w:t>части 59</w:t>
      </w:r>
      <w:r>
        <w:rPr>
          <w:rFonts w:ascii="Times New Roman" w:hAnsi="Times New Roman"/>
          <w:sz w:val="28"/>
        </w:rPr>
        <w:t xml:space="preserve"> настоящего Порядка, не</w:t>
      </w:r>
      <w:r>
        <w:rPr>
          <w:rFonts w:ascii="Times New Roman" w:hAnsi="Times New Roman"/>
          <w:sz w:val="28"/>
        </w:rPr>
        <w:t xml:space="preserve"> представил запрашиваемые документы и информацию в срок, установленный соответствующим запросом с учетом положений ч</w:t>
      </w:r>
      <w:r>
        <w:rPr>
          <w:rFonts w:ascii="Times New Roman" w:hAnsi="Times New Roman"/>
          <w:sz w:val="28"/>
        </w:rPr>
        <w:t xml:space="preserve">асти </w:t>
      </w:r>
      <w:r>
        <w:rPr>
          <w:rFonts w:ascii="Times New Roman" w:hAnsi="Times New Roman"/>
          <w:sz w:val="28"/>
        </w:rPr>
        <w:t xml:space="preserve">60 настоящего Порядка, информация об этом включается в протокол подведения итогов отбора, предусмотренный </w:t>
      </w:r>
      <w:r>
        <w:rPr>
          <w:rFonts w:ascii="Times New Roman" w:hAnsi="Times New Roman"/>
          <w:sz w:val="28"/>
        </w:rPr>
        <w:t xml:space="preserve">частью </w:t>
      </w:r>
      <w:r>
        <w:rPr>
          <w:rFonts w:ascii="Times New Roman" w:hAnsi="Times New Roman"/>
          <w:sz w:val="28"/>
        </w:rPr>
        <w:t>73 настоящего Порядка.</w:t>
      </w:r>
    </w:p>
    <w:p w14:paraId="FB000000">
      <w:pPr>
        <w:spacing w:after="0" w:line="240" w:lineRule="auto"/>
        <w:ind w:firstLine="709" w:right="0"/>
        <w:jc w:val="both"/>
        <w:rPr>
          <w:rFonts w:ascii="Times New Roman" w:hAnsi="Times New Roman"/>
          <w:strike w:val="1"/>
          <w:sz w:val="28"/>
        </w:rPr>
      </w:pPr>
      <w:r>
        <w:rPr>
          <w:rFonts w:ascii="Times New Roman" w:hAnsi="Times New Roman"/>
          <w:sz w:val="28"/>
        </w:rPr>
        <w:t>63.</w:t>
      </w:r>
      <w:r>
        <w:rPr>
          <w:rFonts w:ascii="Times New Roman" w:hAnsi="Times New Roman"/>
          <w:spacing w:val="0"/>
          <w:sz w:val="28"/>
        </w:rPr>
        <w:t> </w:t>
      </w:r>
      <w:r>
        <w:rPr>
          <w:rFonts w:ascii="Times New Roman" w:hAnsi="Times New Roman"/>
          <w:sz w:val="28"/>
        </w:rPr>
        <w:t>Решение</w:t>
      </w:r>
      <w:r>
        <w:rPr>
          <w:rFonts w:ascii="Times New Roman" w:hAnsi="Times New Roman"/>
          <w:sz w:val="28"/>
        </w:rPr>
        <w:t xml:space="preserve"> Министерства о возврате</w:t>
      </w:r>
      <w:r>
        <w:rPr>
          <w:rFonts w:ascii="Times New Roman" w:hAnsi="Times New Roman"/>
          <w:strike w:val="0"/>
          <w:sz w:val="28"/>
        </w:rPr>
        <w:t xml:space="preserve"> </w:t>
      </w:r>
      <w:r>
        <w:rPr>
          <w:rFonts w:ascii="Times New Roman" w:hAnsi="Times New Roman"/>
          <w:sz w:val="28"/>
        </w:rPr>
        <w:t>заявки участнику</w:t>
      </w:r>
      <w:r>
        <w:rPr>
          <w:rFonts w:ascii="Times New Roman" w:hAnsi="Times New Roman"/>
          <w:sz w:val="28"/>
        </w:rPr>
        <w:t xml:space="preserve"> </w:t>
      </w:r>
      <w:r>
        <w:rPr>
          <w:rFonts w:ascii="Times New Roman" w:hAnsi="Times New Roman"/>
          <w:sz w:val="28"/>
        </w:rPr>
        <w:t>отбора</w:t>
      </w:r>
      <w:r>
        <w:rPr>
          <w:rFonts w:ascii="Times New Roman" w:hAnsi="Times New Roman"/>
          <w:sz w:val="28"/>
        </w:rPr>
        <w:t xml:space="preserve"> на доработку </w:t>
      </w:r>
      <w:r>
        <w:rPr>
          <w:rFonts w:ascii="Times New Roman" w:hAnsi="Times New Roman"/>
          <w:sz w:val="28"/>
        </w:rPr>
        <w:t>принимается</w:t>
      </w:r>
      <w:r>
        <w:rPr>
          <w:rFonts w:ascii="Times New Roman" w:hAnsi="Times New Roman"/>
          <w:sz w:val="28"/>
        </w:rPr>
        <w:t xml:space="preserve"> в равной мере ко</w:t>
      </w:r>
      <w:r>
        <w:rPr>
          <w:rFonts w:ascii="Times New Roman" w:hAnsi="Times New Roman"/>
          <w:sz w:val="28"/>
        </w:rPr>
        <w:t xml:space="preserve"> всем участникам отбора, при рассмотрении заявок которых выявлены основания для их возврата на доработку, а также </w:t>
      </w:r>
      <w:r>
        <w:rPr>
          <w:rFonts w:ascii="Times New Roman" w:hAnsi="Times New Roman"/>
          <w:sz w:val="28"/>
        </w:rPr>
        <w:t>доводится</w:t>
      </w:r>
      <w:r>
        <w:rPr>
          <w:rFonts w:ascii="Times New Roman" w:hAnsi="Times New Roman"/>
          <w:sz w:val="28"/>
        </w:rPr>
        <w:t xml:space="preserve"> до </w:t>
      </w:r>
      <w:r>
        <w:rPr>
          <w:rFonts w:ascii="Times New Roman" w:hAnsi="Times New Roman"/>
          <w:sz w:val="28"/>
        </w:rPr>
        <w:t>участника</w:t>
      </w:r>
      <w:r>
        <w:rPr>
          <w:rFonts w:ascii="Times New Roman" w:hAnsi="Times New Roman"/>
          <w:sz w:val="28"/>
        </w:rPr>
        <w:t xml:space="preserve"> отбора путем формирования в системе «Электронный бюджет» соответствующего уведомления в течение 1 рабочего дня со дня </w:t>
      </w:r>
      <w:r>
        <w:rPr>
          <w:rFonts w:ascii="Times New Roman" w:hAnsi="Times New Roman"/>
          <w:sz w:val="28"/>
        </w:rPr>
        <w:t>его</w:t>
      </w:r>
      <w:r>
        <w:rPr>
          <w:rFonts w:ascii="Times New Roman" w:hAnsi="Times New Roman"/>
          <w:sz w:val="28"/>
        </w:rPr>
        <w:t xml:space="preserve"> принятия с указанием оснований для возврата заявки, а также положений заявки, нуж</w:t>
      </w:r>
      <w:r>
        <w:rPr>
          <w:rFonts w:ascii="Times New Roman" w:hAnsi="Times New Roman"/>
          <w:sz w:val="28"/>
        </w:rPr>
        <w:t>дающихся в доработке.</w:t>
      </w:r>
    </w:p>
    <w:p w14:paraId="FC000000">
      <w:pPr>
        <w:spacing w:after="0" w:line="240" w:lineRule="auto"/>
        <w:ind w:firstLine="709" w:right="0"/>
        <w:jc w:val="both"/>
        <w:rPr>
          <w:rFonts w:ascii="Times New Roman" w:hAnsi="Times New Roman"/>
          <w:sz w:val="28"/>
        </w:rPr>
      </w:pPr>
      <w:r>
        <w:rPr>
          <w:rFonts w:ascii="Times New Roman" w:hAnsi="Times New Roman"/>
          <w:sz w:val="28"/>
        </w:rPr>
        <w:t>Срок представления доработанной участником отбора заявки в Министерство не должен превышать 3 рабочих дней со дня возврата ему заявки для доработки.</w:t>
      </w:r>
    </w:p>
    <w:p w14:paraId="FD000000">
      <w:pPr>
        <w:spacing w:after="0" w:line="240" w:lineRule="auto"/>
        <w:ind w:firstLine="709" w:right="0"/>
        <w:jc w:val="both"/>
        <w:rPr>
          <w:rFonts w:ascii="Times New Roman" w:hAnsi="Times New Roman"/>
          <w:sz w:val="28"/>
        </w:rPr>
      </w:pPr>
      <w:r>
        <w:rPr>
          <w:rFonts w:ascii="Times New Roman" w:hAnsi="Times New Roman"/>
          <w:sz w:val="28"/>
        </w:rPr>
        <w:t>Доработанная участником отбора заявка, поступившая позже срока, указанного в абзаце втором настоящей части, Министерством не рассматривается.</w:t>
      </w:r>
    </w:p>
    <w:p w14:paraId="FE000000">
      <w:pPr>
        <w:spacing w:after="0" w:line="240" w:lineRule="auto"/>
        <w:ind w:firstLine="709" w:right="0"/>
        <w:jc w:val="both"/>
        <w:rPr>
          <w:rFonts w:ascii="Times New Roman" w:hAnsi="Times New Roman"/>
          <w:sz w:val="28"/>
        </w:rPr>
      </w:pPr>
      <w:r>
        <w:rPr>
          <w:rFonts w:ascii="Times New Roman" w:hAnsi="Times New Roman"/>
          <w:sz w:val="28"/>
        </w:rPr>
        <w:t>64. Заявка признается надлежащей, если она соответствует требованиям, указанным в объявлении, а также при отсутствии оснований для отклонения заявки.</w:t>
      </w:r>
    </w:p>
    <w:p w14:paraId="FF000000">
      <w:pPr>
        <w:spacing w:after="0" w:line="240" w:lineRule="auto"/>
        <w:ind w:firstLine="709" w:right="0"/>
        <w:jc w:val="both"/>
        <w:rPr>
          <w:rFonts w:ascii="Times New Roman" w:hAnsi="Times New Roman"/>
          <w:sz w:val="28"/>
        </w:rPr>
      </w:pPr>
      <w:r>
        <w:rPr>
          <w:rFonts w:ascii="Times New Roman" w:hAnsi="Times New Roman"/>
          <w:sz w:val="28"/>
        </w:rPr>
        <w:t>Решение о соответствии заявки тре</w:t>
      </w:r>
      <w:r>
        <w:rPr>
          <w:rFonts w:ascii="Times New Roman" w:hAnsi="Times New Roman"/>
          <w:sz w:val="28"/>
        </w:rPr>
        <w:t xml:space="preserve">бованиям, указанным в объявлении, </w:t>
      </w:r>
      <w:r>
        <w:rPr>
          <w:rFonts w:ascii="Times New Roman" w:hAnsi="Times New Roman"/>
          <w:sz w:val="28"/>
        </w:rPr>
        <w:t>принимается</w:t>
      </w:r>
      <w:r>
        <w:rPr>
          <w:rFonts w:ascii="Times New Roman" w:hAnsi="Times New Roman"/>
          <w:sz w:val="28"/>
        </w:rPr>
        <w:t xml:space="preserve"> Министерством на дату</w:t>
      </w:r>
      <w:r>
        <w:rPr>
          <w:rFonts w:ascii="Times New Roman" w:hAnsi="Times New Roman"/>
          <w:sz w:val="28"/>
        </w:rPr>
        <w:t xml:space="preserve"> получения результатов </w:t>
      </w:r>
      <w:r>
        <w:rPr>
          <w:rFonts w:ascii="Times New Roman" w:hAnsi="Times New Roman"/>
          <w:strike w:val="0"/>
          <w:sz w:val="28"/>
        </w:rPr>
        <w:t>проверки</w:t>
      </w:r>
      <w:r>
        <w:rPr>
          <w:rFonts w:ascii="Times New Roman" w:hAnsi="Times New Roman"/>
          <w:sz w:val="28"/>
        </w:rPr>
        <w:t xml:space="preserve"> </w:t>
      </w:r>
      <w:r>
        <w:rPr>
          <w:rFonts w:ascii="Times New Roman" w:hAnsi="Times New Roman"/>
          <w:sz w:val="28"/>
        </w:rPr>
        <w:t>предст</w:t>
      </w:r>
      <w:r>
        <w:rPr>
          <w:rFonts w:ascii="Times New Roman" w:hAnsi="Times New Roman"/>
          <w:sz w:val="28"/>
        </w:rPr>
        <w:t>авленных</w:t>
      </w:r>
      <w:r>
        <w:rPr>
          <w:rFonts w:ascii="Times New Roman" w:hAnsi="Times New Roman"/>
          <w:sz w:val="28"/>
        </w:rPr>
        <w:t xml:space="preserve"> участником отбора информации и документов, поданных в составе заявки.</w:t>
      </w:r>
    </w:p>
    <w:p w14:paraId="00010000">
      <w:pPr>
        <w:spacing w:after="0" w:line="240" w:lineRule="auto"/>
        <w:ind w:firstLine="709" w:right="0"/>
        <w:jc w:val="both"/>
        <w:rPr>
          <w:rFonts w:ascii="Times New Roman" w:hAnsi="Times New Roman"/>
          <w:sz w:val="28"/>
        </w:rPr>
      </w:pPr>
      <w:r>
        <w:rPr>
          <w:rFonts w:ascii="Times New Roman" w:hAnsi="Times New Roman"/>
          <w:sz w:val="28"/>
        </w:rPr>
        <w:t>65.</w:t>
      </w:r>
      <w:r>
        <w:rPr>
          <w:rFonts w:ascii="Times New Roman" w:hAnsi="Times New Roman"/>
          <w:spacing w:val="0"/>
          <w:sz w:val="28"/>
        </w:rPr>
        <w:t> </w:t>
      </w:r>
      <w:r>
        <w:rPr>
          <w:rFonts w:ascii="Times New Roman" w:hAnsi="Times New Roman"/>
          <w:sz w:val="28"/>
        </w:rPr>
        <w:t>Основаниями для отклонения заявок являются:</w:t>
      </w:r>
    </w:p>
    <w:p w14:paraId="01010000">
      <w:pPr>
        <w:spacing w:after="0" w:line="240" w:lineRule="auto"/>
        <w:ind w:firstLine="709" w:right="0"/>
        <w:jc w:val="both"/>
        <w:rPr>
          <w:rFonts w:ascii="Times New Roman" w:hAnsi="Times New Roman"/>
          <w:sz w:val="28"/>
        </w:rPr>
      </w:pPr>
      <w:r>
        <w:rPr>
          <w:rFonts w:ascii="Times New Roman" w:hAnsi="Times New Roman"/>
          <w:sz w:val="28"/>
        </w:rPr>
        <w:t>1)</w:t>
      </w:r>
      <w:r>
        <w:rPr>
          <w:rFonts w:ascii="Times New Roman" w:hAnsi="Times New Roman"/>
          <w:spacing w:val="0"/>
          <w:sz w:val="28"/>
        </w:rPr>
        <w:t> </w:t>
      </w:r>
      <w:r>
        <w:rPr>
          <w:rFonts w:ascii="Times New Roman" w:hAnsi="Times New Roman"/>
          <w:sz w:val="28"/>
        </w:rPr>
        <w:t>несоответствие участника отбора требованиям, категории и критерию</w:t>
      </w:r>
      <w:r>
        <w:rPr>
          <w:rFonts w:ascii="Times New Roman" w:hAnsi="Times New Roman"/>
          <w:sz w:val="28"/>
        </w:rPr>
        <w:t xml:space="preserve"> отбора</w:t>
      </w:r>
      <w:r>
        <w:rPr>
          <w:rFonts w:ascii="Times New Roman" w:hAnsi="Times New Roman"/>
          <w:sz w:val="28"/>
        </w:rPr>
        <w:t>, указанны</w:t>
      </w:r>
      <w:r>
        <w:rPr>
          <w:rFonts w:ascii="Times New Roman" w:hAnsi="Times New Roman"/>
          <w:sz w:val="28"/>
        </w:rPr>
        <w:t xml:space="preserve">м в </w:t>
      </w:r>
      <w:r>
        <w:rPr>
          <w:rFonts w:ascii="Times New Roman" w:hAnsi="Times New Roman"/>
          <w:sz w:val="28"/>
        </w:rPr>
        <w:t>частях 6, 36 и 3</w:t>
      </w:r>
      <w:r>
        <w:rPr>
          <w:rFonts w:ascii="Times New Roman" w:hAnsi="Times New Roman"/>
          <w:sz w:val="28"/>
        </w:rPr>
        <w:t>7 н</w:t>
      </w:r>
      <w:r>
        <w:rPr>
          <w:rFonts w:ascii="Times New Roman" w:hAnsi="Times New Roman"/>
          <w:sz w:val="28"/>
        </w:rPr>
        <w:t>астоящего Порядка;</w:t>
      </w:r>
    </w:p>
    <w:p w14:paraId="02010000">
      <w:pPr>
        <w:spacing w:after="0" w:line="240" w:lineRule="auto"/>
        <w:ind w:firstLine="709" w:right="0"/>
        <w:jc w:val="both"/>
        <w:rPr>
          <w:rFonts w:ascii="Times New Roman" w:hAnsi="Times New Roman"/>
          <w:sz w:val="28"/>
        </w:rPr>
      </w:pPr>
      <w:r>
        <w:rPr>
          <w:rFonts w:ascii="Times New Roman" w:hAnsi="Times New Roman"/>
          <w:sz w:val="28"/>
        </w:rPr>
        <w:t>2) непредставление (представление не в полном объеме) документов, указанных в объявлении;</w:t>
      </w:r>
    </w:p>
    <w:p w14:paraId="03010000">
      <w:pPr>
        <w:spacing w:after="0" w:line="240" w:lineRule="auto"/>
        <w:ind w:firstLine="709" w:right="0"/>
        <w:jc w:val="both"/>
        <w:rPr>
          <w:rFonts w:ascii="Times New Roman" w:hAnsi="Times New Roman"/>
          <w:sz w:val="28"/>
        </w:rPr>
      </w:pPr>
      <w:r>
        <w:rPr>
          <w:rFonts w:ascii="Times New Roman" w:hAnsi="Times New Roman"/>
          <w:sz w:val="28"/>
        </w:rPr>
        <w:t>3) несоответствие представленных участником отбора заявки и (или) документов требованиям, установленным в объявлении;</w:t>
      </w:r>
    </w:p>
    <w:p w14:paraId="04010000">
      <w:pPr>
        <w:spacing w:after="0" w:line="240" w:lineRule="auto"/>
        <w:ind w:firstLine="709" w:right="0"/>
        <w:jc w:val="both"/>
        <w:rPr>
          <w:rFonts w:ascii="Times New Roman" w:hAnsi="Times New Roman"/>
          <w:sz w:val="28"/>
        </w:rPr>
      </w:pPr>
      <w:r>
        <w:rPr>
          <w:rFonts w:ascii="Times New Roman" w:hAnsi="Times New Roman"/>
          <w:sz w:val="28"/>
        </w:rPr>
        <w:t>4) недостоверность информации, содержащейся в документах, представленных участником отбора в составе заявки;</w:t>
      </w:r>
    </w:p>
    <w:p w14:paraId="05010000">
      <w:pPr>
        <w:spacing w:after="0" w:line="240" w:lineRule="auto"/>
        <w:ind w:firstLine="709" w:right="0"/>
        <w:jc w:val="both"/>
        <w:rPr>
          <w:rFonts w:ascii="Times New Roman" w:hAnsi="Times New Roman"/>
          <w:sz w:val="28"/>
        </w:rPr>
      </w:pPr>
      <w:r>
        <w:rPr>
          <w:rFonts w:ascii="Times New Roman" w:hAnsi="Times New Roman"/>
          <w:sz w:val="28"/>
        </w:rPr>
        <w:t>5) подача участником отбора заявки после даты и (или) времени, определенных для подачи заявок;</w:t>
      </w:r>
    </w:p>
    <w:p w14:paraId="06010000">
      <w:pPr>
        <w:spacing w:after="0" w:line="240" w:lineRule="auto"/>
        <w:ind w:firstLine="709" w:right="0"/>
        <w:jc w:val="both"/>
        <w:rPr>
          <w:rFonts w:ascii="Times New Roman" w:hAnsi="Times New Roman"/>
          <w:i w:val="0"/>
          <w:sz w:val="28"/>
        </w:rPr>
      </w:pPr>
      <w:r>
        <w:rPr>
          <w:rFonts w:ascii="Times New Roman" w:hAnsi="Times New Roman"/>
          <w:i w:val="0"/>
          <w:sz w:val="28"/>
        </w:rPr>
        <w:t>6)</w:t>
      </w:r>
      <w:r>
        <w:rPr>
          <w:rFonts w:ascii="Times New Roman" w:hAnsi="Times New Roman"/>
          <w:i w:val="0"/>
          <w:spacing w:val="0"/>
          <w:sz w:val="28"/>
        </w:rPr>
        <w:t> </w:t>
      </w:r>
      <w:r>
        <w:rPr>
          <w:rFonts w:ascii="Times New Roman" w:hAnsi="Times New Roman"/>
          <w:i w:val="0"/>
          <w:sz w:val="28"/>
        </w:rPr>
        <w:t xml:space="preserve">подача участником отбора заявки после даты, определенной для </w:t>
      </w:r>
      <w:r>
        <w:rPr>
          <w:rFonts w:ascii="Times New Roman" w:hAnsi="Times New Roman"/>
          <w:i w:val="0"/>
          <w:sz w:val="28"/>
        </w:rPr>
        <w:t>представления доработанной заявки.</w:t>
      </w:r>
    </w:p>
    <w:p w14:paraId="07010000">
      <w:pPr>
        <w:spacing w:after="0" w:line="240" w:lineRule="auto"/>
        <w:ind w:firstLine="709" w:right="0"/>
        <w:jc w:val="both"/>
        <w:rPr>
          <w:rFonts w:ascii="Times New Roman" w:hAnsi="Times New Roman"/>
          <w:i w:val="0"/>
          <w:sz w:val="28"/>
        </w:rPr>
      </w:pPr>
      <w:r>
        <w:rPr>
          <w:rFonts w:ascii="Times New Roman" w:hAnsi="Times New Roman"/>
          <w:i w:val="0"/>
          <w:sz w:val="28"/>
        </w:rPr>
        <w:t>66. Министерство вправе отменить проведение о</w:t>
      </w:r>
      <w:r>
        <w:rPr>
          <w:rFonts w:ascii="Times New Roman" w:hAnsi="Times New Roman"/>
          <w:i w:val="0"/>
          <w:sz w:val="28"/>
        </w:rPr>
        <w:t>т</w:t>
      </w:r>
      <w:r>
        <w:rPr>
          <w:rFonts w:ascii="Times New Roman" w:hAnsi="Times New Roman"/>
          <w:i w:val="0"/>
          <w:sz w:val="28"/>
        </w:rPr>
        <w:t xml:space="preserve">бора в следующих </w:t>
      </w:r>
      <w:r>
        <w:rPr>
          <w:rFonts w:ascii="Times New Roman" w:hAnsi="Times New Roman"/>
          <w:i w:val="0"/>
          <w:sz w:val="28"/>
        </w:rPr>
        <w:t>случаях:</w:t>
      </w:r>
    </w:p>
    <w:p w14:paraId="08010000">
      <w:pPr>
        <w:spacing w:after="0" w:line="240" w:lineRule="auto"/>
        <w:ind w:firstLine="709" w:right="0"/>
        <w:jc w:val="both"/>
        <w:rPr>
          <w:rFonts w:ascii="Times New Roman" w:hAnsi="Times New Roman"/>
          <w:i w:val="0"/>
          <w:sz w:val="28"/>
        </w:rPr>
      </w:pPr>
      <w:r>
        <w:rPr>
          <w:rFonts w:ascii="Times New Roman" w:hAnsi="Times New Roman"/>
          <w:i w:val="0"/>
          <w:sz w:val="28"/>
        </w:rPr>
        <w:t>1)</w:t>
      </w:r>
      <w:r>
        <w:rPr>
          <w:rFonts w:ascii="Times New Roman" w:hAnsi="Times New Roman"/>
          <w:i w:val="0"/>
          <w:spacing w:val="0"/>
          <w:sz w:val="28"/>
        </w:rPr>
        <w:t> </w:t>
      </w:r>
      <w:r>
        <w:rPr>
          <w:rFonts w:ascii="Times New Roman" w:hAnsi="Times New Roman"/>
          <w:i w:val="0"/>
          <w:sz w:val="28"/>
        </w:rPr>
        <w:t>отзыв лимитов бюджетных обязательств на предоставление субсидии на соответствующий финансовый год;</w:t>
      </w:r>
    </w:p>
    <w:p w14:paraId="09010000">
      <w:pPr>
        <w:pStyle w:val="Style_3"/>
        <w:spacing w:after="0" w:line="240" w:lineRule="auto"/>
        <w:ind w:firstLine="709" w:right="0"/>
        <w:jc w:val="both"/>
        <w:rPr>
          <w:rFonts w:ascii="Times New Roman" w:hAnsi="Times New Roman"/>
          <w:i w:val="0"/>
          <w:sz w:val="28"/>
        </w:rPr>
      </w:pPr>
      <w:r>
        <w:rPr>
          <w:rFonts w:ascii="Times New Roman" w:hAnsi="Times New Roman"/>
          <w:i w:val="0"/>
          <w:sz w:val="28"/>
        </w:rPr>
        <w:t>2)</w:t>
      </w:r>
      <w:r>
        <w:rPr>
          <w:rFonts w:ascii="Times New Roman" w:hAnsi="Times New Roman"/>
          <w:i w:val="0"/>
          <w:sz w:val="28"/>
        </w:rPr>
        <w:t> </w:t>
      </w:r>
      <w:r>
        <w:rPr>
          <w:rFonts w:ascii="Times New Roman" w:hAnsi="Times New Roman"/>
          <w:i w:val="0"/>
          <w:sz w:val="28"/>
        </w:rPr>
        <w:t>внесение изменений в законодательство Российской Федерации, требующих внесение изменений в условия и порядок, установленные при предоставлении субсидии;</w:t>
      </w:r>
    </w:p>
    <w:p w14:paraId="0A010000">
      <w:pPr>
        <w:spacing w:after="0" w:line="240" w:lineRule="auto"/>
        <w:ind w:firstLine="709" w:right="0"/>
        <w:jc w:val="both"/>
        <w:rPr>
          <w:rFonts w:ascii="Times New Roman" w:hAnsi="Times New Roman"/>
          <w:i w:val="0"/>
          <w:sz w:val="28"/>
        </w:rPr>
      </w:pPr>
      <w:r>
        <w:rPr>
          <w:rFonts w:ascii="Times New Roman" w:hAnsi="Times New Roman"/>
          <w:i w:val="0"/>
          <w:sz w:val="28"/>
        </w:rPr>
        <w:t>3)</w:t>
      </w:r>
      <w:r>
        <w:rPr>
          <w:rFonts w:ascii="Times New Roman" w:hAnsi="Times New Roman"/>
          <w:i w:val="0"/>
          <w:spacing w:val="0"/>
          <w:sz w:val="28"/>
        </w:rPr>
        <w:t> </w:t>
      </w:r>
      <w:r>
        <w:rPr>
          <w:rFonts w:ascii="Times New Roman" w:hAnsi="Times New Roman"/>
          <w:i w:val="0"/>
          <w:sz w:val="28"/>
        </w:rPr>
        <w:t>возникновение обстоятельств, произошедших вследствие непреодолимой силы, то ес</w:t>
      </w:r>
      <w:r>
        <w:rPr>
          <w:rFonts w:ascii="Times New Roman" w:hAnsi="Times New Roman"/>
          <w:i w:val="0"/>
          <w:sz w:val="28"/>
        </w:rPr>
        <w:t>ть чрезвычайных и непредотвратимых при данных условиях обстоятельств;</w:t>
      </w:r>
    </w:p>
    <w:p w14:paraId="0B010000">
      <w:pPr>
        <w:pStyle w:val="Style_3"/>
        <w:spacing w:after="0" w:line="240" w:lineRule="auto"/>
        <w:ind w:firstLine="709" w:right="0"/>
        <w:jc w:val="both"/>
        <w:rPr>
          <w:rFonts w:ascii="Times New Roman" w:hAnsi="Times New Roman"/>
          <w:i w:val="0"/>
          <w:sz w:val="28"/>
        </w:rPr>
      </w:pPr>
      <w:r>
        <w:rPr>
          <w:rFonts w:ascii="Times New Roman" w:hAnsi="Times New Roman"/>
          <w:i w:val="0"/>
          <w:sz w:val="28"/>
        </w:rPr>
        <w:t>4)</w:t>
      </w:r>
      <w:r>
        <w:rPr>
          <w:rFonts w:ascii="Times New Roman" w:hAnsi="Times New Roman"/>
          <w:i w:val="0"/>
          <w:sz w:val="28"/>
        </w:rPr>
        <w:t> т</w:t>
      </w:r>
      <w:r>
        <w:rPr>
          <w:rFonts w:ascii="Times New Roman" w:hAnsi="Times New Roman"/>
          <w:i w:val="0"/>
          <w:sz w:val="28"/>
        </w:rPr>
        <w:t xml:space="preserve">ехнические ограничения </w:t>
      </w:r>
      <w:r>
        <w:rPr>
          <w:rFonts w:ascii="Times New Roman" w:hAnsi="Times New Roman"/>
          <w:i w:val="0"/>
          <w:sz w:val="28"/>
        </w:rPr>
        <w:t>системы «Электронный бюджет»</w:t>
      </w:r>
      <w:r>
        <w:rPr>
          <w:rFonts w:ascii="Times New Roman" w:hAnsi="Times New Roman"/>
          <w:i w:val="0"/>
          <w:sz w:val="28"/>
        </w:rPr>
        <w:t>, не позволяющие участникам (части участников) отбора подать заявку.</w:t>
      </w:r>
    </w:p>
    <w:p w14:paraId="0C010000">
      <w:pPr>
        <w:spacing w:after="0" w:line="240" w:lineRule="auto"/>
        <w:ind w:firstLine="709" w:right="0"/>
        <w:jc w:val="both"/>
        <w:rPr>
          <w:rFonts w:ascii="Times New Roman" w:hAnsi="Times New Roman"/>
          <w:sz w:val="28"/>
        </w:rPr>
      </w:pPr>
      <w:r>
        <w:rPr>
          <w:rFonts w:ascii="Times New Roman" w:hAnsi="Times New Roman"/>
          <w:sz w:val="28"/>
        </w:rPr>
        <w:t>67.</w:t>
      </w:r>
      <w:r>
        <w:rPr>
          <w:rFonts w:ascii="Times New Roman" w:hAnsi="Times New Roman"/>
          <w:spacing w:val="0"/>
          <w:sz w:val="28"/>
        </w:rPr>
        <w:t> </w:t>
      </w:r>
      <w:r>
        <w:rPr>
          <w:rFonts w:ascii="Times New Roman" w:hAnsi="Times New Roman"/>
          <w:sz w:val="28"/>
        </w:rPr>
        <w:t>В случае отмены проведения отбора Министерство размещает объявление об отмене проведения отбора на едином портале и официальном сайте Министерства не позднее чем за 1 рабочий день до даты окончания срока подачи заявок.</w:t>
      </w:r>
    </w:p>
    <w:p w14:paraId="0D010000">
      <w:pPr>
        <w:spacing w:after="0" w:line="240" w:lineRule="auto"/>
        <w:ind w:firstLine="709" w:right="0"/>
        <w:jc w:val="both"/>
        <w:rPr>
          <w:rFonts w:ascii="Times New Roman" w:hAnsi="Times New Roman"/>
          <w:sz w:val="28"/>
        </w:rPr>
      </w:pPr>
      <w:r>
        <w:rPr>
          <w:rFonts w:ascii="Times New Roman" w:hAnsi="Times New Roman"/>
          <w:sz w:val="28"/>
        </w:rPr>
        <w:t>68. Объявление об отмене отбора формируется в электронной форме посредством заполнения соответствую</w:t>
      </w:r>
      <w:r>
        <w:rPr>
          <w:rFonts w:ascii="Times New Roman" w:hAnsi="Times New Roman"/>
          <w:sz w:val="28"/>
        </w:rPr>
        <w:t>щих экранных форм веб-интерфейса системы «Электронный бюджет», подписывается усиленной квалифицир</w:t>
      </w:r>
      <w:r>
        <w:rPr>
          <w:rFonts w:ascii="Times New Roman" w:hAnsi="Times New Roman"/>
          <w:sz w:val="28"/>
        </w:rPr>
        <w:t xml:space="preserve">ованной электронной подписью руководителя Министерства (уполномоченного им лица), размещается на едином портале </w:t>
      </w:r>
      <w:r>
        <w:rPr>
          <w:rFonts w:ascii="Times New Roman" w:hAnsi="Times New Roman"/>
          <w:sz w:val="28"/>
        </w:rPr>
        <w:t>и офиц</w:t>
      </w:r>
      <w:r>
        <w:rPr>
          <w:rFonts w:ascii="Times New Roman" w:hAnsi="Times New Roman"/>
          <w:sz w:val="28"/>
        </w:rPr>
        <w:t>иальном сайте Министерства</w:t>
      </w:r>
      <w:r>
        <w:rPr>
          <w:rFonts w:ascii="Times New Roman" w:hAnsi="Times New Roman"/>
          <w:sz w:val="28"/>
        </w:rPr>
        <w:t xml:space="preserve"> </w:t>
      </w:r>
      <w:r>
        <w:rPr>
          <w:rFonts w:ascii="Times New Roman" w:hAnsi="Times New Roman"/>
          <w:sz w:val="28"/>
        </w:rPr>
        <w:t>и содерж</w:t>
      </w:r>
      <w:r>
        <w:rPr>
          <w:rFonts w:ascii="Times New Roman" w:hAnsi="Times New Roman"/>
          <w:sz w:val="28"/>
        </w:rPr>
        <w:t>ит информацию о причинах отмены отбора.</w:t>
      </w:r>
    </w:p>
    <w:p w14:paraId="0E010000">
      <w:pPr>
        <w:spacing w:after="0" w:line="240" w:lineRule="auto"/>
        <w:ind w:firstLine="709" w:right="0"/>
        <w:jc w:val="both"/>
        <w:rPr>
          <w:rFonts w:ascii="Times New Roman" w:hAnsi="Times New Roman"/>
          <w:sz w:val="28"/>
        </w:rPr>
      </w:pPr>
      <w:r>
        <w:rPr>
          <w:rFonts w:ascii="Times New Roman" w:hAnsi="Times New Roman"/>
          <w:sz w:val="28"/>
        </w:rPr>
        <w:t>69. </w:t>
      </w:r>
      <w:r>
        <w:rPr>
          <w:rFonts w:ascii="Times New Roman" w:hAnsi="Times New Roman"/>
          <w:sz w:val="28"/>
        </w:rPr>
        <w:t xml:space="preserve">Участники отбора, подавшие заявки, информируются об отмене проведения отбора в системе «Электронный бюджет» </w:t>
      </w:r>
      <w:r>
        <w:rPr>
          <w:rFonts w:ascii="Times New Roman" w:hAnsi="Times New Roman"/>
          <w:sz w:val="28"/>
        </w:rPr>
        <w:t>не позднее чем за 1 рабочий день до даты окончания срока подачи заявок</w:t>
      </w:r>
      <w:r>
        <w:rPr>
          <w:rFonts w:ascii="Times New Roman" w:hAnsi="Times New Roman"/>
          <w:sz w:val="28"/>
        </w:rPr>
        <w:t>.</w:t>
      </w:r>
    </w:p>
    <w:p w14:paraId="0F010000">
      <w:pPr>
        <w:pStyle w:val="Style_3"/>
        <w:spacing w:after="0" w:line="240" w:lineRule="auto"/>
        <w:ind w:firstLine="709" w:right="0"/>
        <w:jc w:val="both"/>
        <w:rPr>
          <w:rFonts w:ascii="Times New Roman" w:hAnsi="Times New Roman"/>
          <w:sz w:val="28"/>
        </w:rPr>
      </w:pPr>
      <w:r>
        <w:rPr>
          <w:rFonts w:ascii="Times New Roman" w:hAnsi="Times New Roman"/>
          <w:sz w:val="28"/>
        </w:rPr>
        <w:t>70.</w:t>
      </w:r>
      <w:r>
        <w:rPr>
          <w:rFonts w:ascii="Times New Roman" w:hAnsi="Times New Roman"/>
          <w:spacing w:val="0"/>
          <w:sz w:val="28"/>
        </w:rPr>
        <w:t> </w:t>
      </w:r>
      <w:r>
        <w:rPr>
          <w:rFonts w:ascii="Times New Roman" w:hAnsi="Times New Roman"/>
          <w:sz w:val="28"/>
        </w:rPr>
        <w:t xml:space="preserve">Отбор считается отмененным со дня размещения объявления о его отмене на </w:t>
      </w:r>
      <w:r>
        <w:rPr>
          <w:rFonts w:ascii="Times New Roman" w:hAnsi="Times New Roman"/>
          <w:sz w:val="28"/>
        </w:rPr>
        <w:t>едином портале</w:t>
      </w:r>
      <w:r>
        <w:rPr>
          <w:rFonts w:ascii="Times New Roman" w:hAnsi="Times New Roman"/>
          <w:sz w:val="28"/>
        </w:rPr>
        <w:t>.</w:t>
      </w:r>
    </w:p>
    <w:p w14:paraId="10010000">
      <w:pPr>
        <w:spacing w:after="0" w:line="240" w:lineRule="auto"/>
        <w:ind w:firstLine="709" w:right="0"/>
        <w:jc w:val="both"/>
        <w:rPr>
          <w:rFonts w:ascii="Times New Roman" w:hAnsi="Times New Roman"/>
          <w:sz w:val="28"/>
        </w:rPr>
      </w:pPr>
      <w:r>
        <w:rPr>
          <w:rFonts w:ascii="Times New Roman" w:hAnsi="Times New Roman"/>
          <w:sz w:val="28"/>
        </w:rPr>
        <w:t>71.</w:t>
      </w:r>
      <w:r>
        <w:rPr>
          <w:rFonts w:ascii="Times New Roman" w:hAnsi="Times New Roman"/>
          <w:spacing w:val="0"/>
          <w:sz w:val="28"/>
        </w:rPr>
        <w:t> </w:t>
      </w:r>
      <w:r>
        <w:rPr>
          <w:rFonts w:ascii="Times New Roman" w:hAnsi="Times New Roman"/>
          <w:sz w:val="28"/>
        </w:rPr>
        <w:t>Отбор признается несостоявшимся в следующих случаях:</w:t>
      </w:r>
    </w:p>
    <w:p w14:paraId="11010000">
      <w:pPr>
        <w:spacing w:after="0" w:line="240" w:lineRule="auto"/>
        <w:ind w:firstLine="709" w:right="0"/>
        <w:jc w:val="both"/>
        <w:rPr>
          <w:rFonts w:ascii="Times New Roman" w:hAnsi="Times New Roman"/>
          <w:sz w:val="28"/>
        </w:rPr>
      </w:pPr>
      <w:r>
        <w:rPr>
          <w:rFonts w:ascii="Times New Roman" w:hAnsi="Times New Roman"/>
          <w:sz w:val="28"/>
        </w:rPr>
        <w:t>1)</w:t>
      </w:r>
      <w:r>
        <w:rPr>
          <w:rFonts w:ascii="Times New Roman" w:hAnsi="Times New Roman"/>
          <w:spacing w:val="0"/>
          <w:sz w:val="28"/>
        </w:rPr>
        <w:t> </w:t>
      </w:r>
      <w:r>
        <w:rPr>
          <w:rFonts w:ascii="Times New Roman" w:hAnsi="Times New Roman"/>
          <w:sz w:val="28"/>
        </w:rPr>
        <w:t>по окончании срока подачи заявок не подано ни одной заявки;</w:t>
      </w:r>
    </w:p>
    <w:p w14:paraId="12010000">
      <w:pPr>
        <w:spacing w:after="0" w:line="240" w:lineRule="auto"/>
        <w:ind w:firstLine="709" w:right="0"/>
        <w:jc w:val="both"/>
        <w:rPr>
          <w:rFonts w:ascii="Times New Roman" w:hAnsi="Times New Roman"/>
          <w:sz w:val="28"/>
        </w:rPr>
      </w:pPr>
      <w:r>
        <w:rPr>
          <w:rFonts w:ascii="Times New Roman" w:hAnsi="Times New Roman"/>
          <w:sz w:val="28"/>
        </w:rPr>
        <w:t>2)</w:t>
      </w:r>
      <w:r>
        <w:rPr>
          <w:rFonts w:ascii="Times New Roman" w:hAnsi="Times New Roman"/>
          <w:spacing w:val="0"/>
          <w:sz w:val="28"/>
        </w:rPr>
        <w:t> </w:t>
      </w:r>
      <w:r>
        <w:rPr>
          <w:rFonts w:ascii="Times New Roman" w:hAnsi="Times New Roman"/>
          <w:sz w:val="28"/>
        </w:rPr>
        <w:t>по результатам рассмотрения заявок отклонены все заявки.</w:t>
      </w:r>
    </w:p>
    <w:p w14:paraId="13010000">
      <w:pPr>
        <w:spacing w:after="0" w:line="240" w:lineRule="auto"/>
        <w:ind w:firstLine="709" w:right="0"/>
        <w:jc w:val="both"/>
        <w:rPr>
          <w:rFonts w:ascii="Times New Roman" w:hAnsi="Times New Roman"/>
          <w:sz w:val="28"/>
        </w:rPr>
      </w:pPr>
      <w:r>
        <w:rPr>
          <w:rFonts w:ascii="Times New Roman" w:hAnsi="Times New Roman"/>
          <w:sz w:val="28"/>
        </w:rPr>
        <w:t>72. Победителями отбора признаются участники отбора, соответствующие категории, критерию</w:t>
      </w:r>
      <w:r>
        <w:rPr>
          <w:rFonts w:ascii="Times New Roman" w:hAnsi="Times New Roman"/>
          <w:sz w:val="28"/>
        </w:rPr>
        <w:t xml:space="preserve"> отбора</w:t>
      </w:r>
      <w:r>
        <w:rPr>
          <w:rFonts w:ascii="Times New Roman" w:hAnsi="Times New Roman"/>
          <w:sz w:val="28"/>
        </w:rPr>
        <w:t xml:space="preserve"> и требованиям, установленным настоящим Порядком, включенные в рейтинг, сформированный Министерством по результатам ранжирования поступивших заявок.</w:t>
      </w:r>
    </w:p>
    <w:p w14:paraId="14010000">
      <w:pPr>
        <w:spacing w:after="0" w:line="240" w:lineRule="auto"/>
        <w:ind w:firstLine="709" w:right="0"/>
        <w:jc w:val="both"/>
        <w:rPr>
          <w:rFonts w:ascii="Times New Roman" w:hAnsi="Times New Roman"/>
          <w:sz w:val="28"/>
        </w:rPr>
      </w:pPr>
      <w:r>
        <w:rPr>
          <w:rFonts w:ascii="Times New Roman" w:hAnsi="Times New Roman"/>
          <w:sz w:val="28"/>
        </w:rPr>
        <w:t xml:space="preserve">Ранжирование </w:t>
      </w:r>
      <w:r>
        <w:rPr>
          <w:rFonts w:ascii="Times New Roman" w:hAnsi="Times New Roman"/>
          <w:sz w:val="28"/>
        </w:rPr>
        <w:t xml:space="preserve">поступивших заявок определяется </w:t>
      </w:r>
      <w:r>
        <w:rPr>
          <w:rFonts w:ascii="Times New Roman" w:hAnsi="Times New Roman"/>
          <w:sz w:val="28"/>
        </w:rPr>
        <w:t xml:space="preserve">исходя из очередности поступления заявок </w:t>
      </w:r>
      <w:r>
        <w:rPr>
          <w:rFonts w:ascii="Times New Roman" w:hAnsi="Times New Roman"/>
          <w:sz w:val="28"/>
        </w:rPr>
        <w:t>до достижения предельного количества победителей отбора</w:t>
      </w:r>
      <w:r>
        <w:rPr>
          <w:rFonts w:ascii="Times New Roman" w:hAnsi="Times New Roman"/>
          <w:sz w:val="28"/>
        </w:rPr>
        <w:t>.</w:t>
      </w:r>
    </w:p>
    <w:p w14:paraId="15010000">
      <w:pPr>
        <w:spacing w:after="0" w:line="240" w:lineRule="auto"/>
        <w:ind w:firstLine="709" w:right="0"/>
        <w:jc w:val="both"/>
        <w:rPr>
          <w:rFonts w:ascii="Times New Roman" w:hAnsi="Times New Roman"/>
          <w:sz w:val="28"/>
        </w:rPr>
      </w:pPr>
      <w:r>
        <w:rPr>
          <w:rFonts w:ascii="Times New Roman" w:hAnsi="Times New Roman"/>
          <w:sz w:val="28"/>
        </w:rPr>
        <w:t>73. В целях завершения отбора и определения победителей отбора формируется протокол подведения итогов отбора.</w:t>
      </w:r>
    </w:p>
    <w:p w14:paraId="16010000">
      <w:pPr>
        <w:spacing w:after="0" w:line="240" w:lineRule="auto"/>
        <w:ind w:firstLine="709" w:right="0"/>
        <w:jc w:val="both"/>
        <w:rPr>
          <w:rFonts w:ascii="Times New Roman" w:hAnsi="Times New Roman"/>
          <w:sz w:val="28"/>
        </w:rPr>
      </w:pPr>
      <w:r>
        <w:rPr>
          <w:rFonts w:ascii="Times New Roman" w:hAnsi="Times New Roman"/>
          <w:sz w:val="28"/>
        </w:rPr>
        <w:t>74. Протокол подведения итогов отбора формируется на едином портале автоматическ</w:t>
      </w:r>
      <w:r>
        <w:rPr>
          <w:rFonts w:ascii="Times New Roman" w:hAnsi="Times New Roman"/>
          <w:sz w:val="28"/>
        </w:rPr>
        <w:t xml:space="preserve">и на основании результатов определения победителей отбора и подписывается усиленной квалифицированной электронной подписью руководителя Министерства (уполномоченного им лица) в системе «Электронный бюджет», а также размещается на едином портале не позднее </w:t>
      </w:r>
      <w:r>
        <w:rPr>
          <w:rFonts w:ascii="Times New Roman" w:hAnsi="Times New Roman"/>
          <w:sz w:val="28"/>
        </w:rPr>
        <w:t>1 рабочего дня, следующего за днем его подписания</w:t>
      </w:r>
      <w:r>
        <w:rPr>
          <w:rFonts w:ascii="Times New Roman" w:hAnsi="Times New Roman"/>
          <w:sz w:val="28"/>
        </w:rPr>
        <w:t xml:space="preserve">, </w:t>
      </w:r>
      <w:r>
        <w:rPr>
          <w:rFonts w:ascii="Times New Roman" w:hAnsi="Times New Roman"/>
          <w:sz w:val="28"/>
        </w:rPr>
        <w:t>на официальном сайте Министерства не позднее 14 календарного дня, следующего за днем</w:t>
      </w:r>
      <w:r>
        <w:rPr>
          <w:rFonts w:ascii="Times New Roman" w:hAnsi="Times New Roman"/>
          <w:sz w:val="28"/>
        </w:rPr>
        <w:t xml:space="preserve"> определения победителя отбора,</w:t>
      </w:r>
      <w:r>
        <w:rPr>
          <w:rFonts w:ascii="Times New Roman" w:hAnsi="Times New Roman"/>
          <w:sz w:val="28"/>
        </w:rPr>
        <w:t xml:space="preserve"> и включает следующие сведения:</w:t>
      </w:r>
    </w:p>
    <w:p w14:paraId="17010000">
      <w:pPr>
        <w:spacing w:after="0" w:line="240" w:lineRule="auto"/>
        <w:ind w:firstLine="709" w:right="0"/>
        <w:jc w:val="both"/>
        <w:rPr>
          <w:rFonts w:ascii="Times New Roman" w:hAnsi="Times New Roman"/>
          <w:sz w:val="28"/>
        </w:rPr>
      </w:pPr>
      <w:r>
        <w:rPr>
          <w:rFonts w:ascii="Times New Roman" w:hAnsi="Times New Roman"/>
          <w:sz w:val="28"/>
        </w:rPr>
        <w:t>1)</w:t>
      </w:r>
      <w:r>
        <w:rPr>
          <w:rFonts w:ascii="Times New Roman" w:hAnsi="Times New Roman"/>
          <w:spacing w:val="0"/>
          <w:sz w:val="28"/>
        </w:rPr>
        <w:t> </w:t>
      </w:r>
      <w:r>
        <w:rPr>
          <w:rFonts w:ascii="Times New Roman" w:hAnsi="Times New Roman"/>
          <w:sz w:val="28"/>
        </w:rPr>
        <w:t>дату, время и место проведения рассмотрения заявок;</w:t>
      </w:r>
    </w:p>
    <w:p w14:paraId="18010000">
      <w:pPr>
        <w:spacing w:after="0" w:line="240" w:lineRule="auto"/>
        <w:ind w:firstLine="709" w:right="0"/>
        <w:jc w:val="both"/>
        <w:rPr>
          <w:rFonts w:ascii="Times New Roman" w:hAnsi="Times New Roman"/>
          <w:sz w:val="28"/>
        </w:rPr>
      </w:pPr>
      <w:r>
        <w:rPr>
          <w:rFonts w:ascii="Times New Roman" w:hAnsi="Times New Roman"/>
          <w:sz w:val="28"/>
        </w:rPr>
        <w:t>2)</w:t>
      </w:r>
      <w:r>
        <w:rPr>
          <w:rFonts w:ascii="Times New Roman" w:hAnsi="Times New Roman"/>
          <w:spacing w:val="0"/>
          <w:sz w:val="28"/>
        </w:rPr>
        <w:t> </w:t>
      </w:r>
      <w:r>
        <w:rPr>
          <w:rFonts w:ascii="Times New Roman" w:hAnsi="Times New Roman"/>
          <w:sz w:val="28"/>
        </w:rPr>
        <w:t>информацию об участниках отбора, заявки которых были рассмотрены;</w:t>
      </w:r>
    </w:p>
    <w:p w14:paraId="19010000">
      <w:pPr>
        <w:spacing w:after="0" w:line="240" w:lineRule="auto"/>
        <w:ind w:firstLine="709" w:right="0"/>
        <w:jc w:val="both"/>
        <w:rPr>
          <w:rFonts w:ascii="Times New Roman" w:hAnsi="Times New Roman"/>
          <w:sz w:val="28"/>
        </w:rPr>
      </w:pPr>
      <w:r>
        <w:rPr>
          <w:rFonts w:ascii="Times New Roman" w:hAnsi="Times New Roman"/>
          <w:sz w:val="28"/>
        </w:rPr>
        <w:t>3) информацию об участниках отбора, заявки которых были отклонены, с указанием причин их отклонения, в том числе положений объявления, которым не соответствуют заявки;</w:t>
      </w:r>
    </w:p>
    <w:p w14:paraId="1A010000">
      <w:pPr>
        <w:spacing w:after="0" w:line="240" w:lineRule="auto"/>
        <w:ind w:firstLine="709" w:right="0"/>
        <w:jc w:val="both"/>
        <w:rPr>
          <w:rFonts w:ascii="Times New Roman" w:hAnsi="Times New Roman"/>
          <w:sz w:val="28"/>
        </w:rPr>
      </w:pPr>
      <w:r>
        <w:rPr>
          <w:rFonts w:ascii="Times New Roman" w:hAnsi="Times New Roman"/>
          <w:sz w:val="28"/>
        </w:rPr>
        <w:t>4) наименование получателя (получателей) субсидии, с которым заключается соглашение и размер предоставляемой ему субсидии.</w:t>
      </w:r>
    </w:p>
    <w:p w14:paraId="1B010000">
      <w:pPr>
        <w:spacing w:after="0" w:line="240" w:lineRule="auto"/>
        <w:ind w:firstLine="709" w:right="0"/>
        <w:jc w:val="both"/>
        <w:rPr>
          <w:rFonts w:ascii="Times New Roman" w:hAnsi="Times New Roman"/>
          <w:sz w:val="28"/>
        </w:rPr>
      </w:pPr>
      <w:r>
        <w:rPr>
          <w:rFonts w:ascii="Times New Roman" w:hAnsi="Times New Roman"/>
          <w:sz w:val="28"/>
        </w:rPr>
        <w:t>75.</w:t>
      </w:r>
      <w:r>
        <w:rPr>
          <w:rFonts w:ascii="Times New Roman" w:hAnsi="Times New Roman"/>
          <w:spacing w:val="0"/>
          <w:sz w:val="28"/>
        </w:rPr>
        <w:t> </w:t>
      </w:r>
      <w:r>
        <w:rPr>
          <w:rFonts w:ascii="Times New Roman" w:hAnsi="Times New Roman"/>
          <w:sz w:val="28"/>
        </w:rPr>
        <w:t xml:space="preserve">В случае обнаружения технической ошибки (опечатки) в протокол подведения итогов отбора могут быть внесены изменения не позднее </w:t>
      </w:r>
      <w:r>
        <w:rPr>
          <w:rFonts w:ascii="Times New Roman" w:hAnsi="Times New Roman"/>
          <w:sz w:val="28"/>
        </w:rPr>
        <w:t>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причины внесения изменений.</w:t>
      </w:r>
    </w:p>
    <w:p w14:paraId="1C010000">
      <w:pPr>
        <w:sectPr>
          <w:headerReference r:id="rId1" w:type="default"/>
          <w:pgSz w:h="16848" w:orient="portrait" w:w="11908"/>
          <w:pgMar w:bottom="1134" w:footer="709" w:gutter="0" w:header="709" w:left="1417" w:right="850" w:top="1134"/>
          <w:titlePg/>
        </w:sectPr>
      </w:pPr>
    </w:p>
    <w:p w14:paraId="1D010000">
      <w:pPr>
        <w:spacing w:after="0" w:line="240" w:lineRule="auto"/>
        <w:ind w:firstLine="0" w:left="5386"/>
        <w:jc w:val="both"/>
        <w:rPr>
          <w:rFonts w:ascii="Times New Roman" w:hAnsi="Times New Roman"/>
          <w:sz w:val="28"/>
        </w:rPr>
      </w:pPr>
      <w:r>
        <w:rPr>
          <w:rFonts w:ascii="Times New Roman" w:hAnsi="Times New Roman"/>
          <w:strike w:val="0"/>
          <w:sz w:val="28"/>
        </w:rPr>
        <w:t xml:space="preserve">Приложение </w:t>
      </w:r>
      <w:r>
        <w:rPr>
          <w:rFonts w:ascii="Times New Roman" w:hAnsi="Times New Roman"/>
          <w:strike w:val="0"/>
          <w:sz w:val="28"/>
        </w:rPr>
        <w:t xml:space="preserve">к Порядку </w:t>
      </w:r>
      <w:r>
        <w:rPr>
          <w:rFonts w:ascii="Times New Roman" w:hAnsi="Times New Roman"/>
          <w:sz w:val="28"/>
        </w:rPr>
        <w:t xml:space="preserve">предоставления субсидии на финансовое обеспечение части затрат, </w:t>
      </w:r>
      <w:r>
        <w:rPr>
          <w:rFonts w:ascii="Times New Roman" w:hAnsi="Times New Roman"/>
          <w:sz w:val="28"/>
        </w:rPr>
        <w:t>связанных с</w:t>
      </w:r>
      <w:r>
        <w:rPr>
          <w:rFonts w:ascii="Times New Roman" w:hAnsi="Times New Roman"/>
          <w:sz w:val="28"/>
        </w:rPr>
        <w:t xml:space="preserve"> технической и (или) технологической модернизацией производства </w:t>
      </w:r>
      <w:r>
        <w:rPr>
          <w:rFonts w:ascii="Times New Roman" w:hAnsi="Times New Roman"/>
          <w:sz w:val="28"/>
        </w:rPr>
        <w:t>предприятий агропромышленного комплекса</w:t>
      </w:r>
      <w:r>
        <w:rPr>
          <w:rFonts w:ascii="Times New Roman" w:hAnsi="Times New Roman"/>
          <w:sz w:val="28"/>
        </w:rPr>
        <w:t>, и проведения отбора получателей субсидии</w:t>
      </w:r>
    </w:p>
    <w:p w14:paraId="1E010000">
      <w:pPr>
        <w:spacing w:after="0" w:line="240" w:lineRule="auto"/>
        <w:ind/>
        <w:jc w:val="right"/>
        <w:outlineLvl w:val="0"/>
        <w:rPr>
          <w:rFonts w:ascii="Times New Roman" w:hAnsi="Times New Roman"/>
          <w:sz w:val="28"/>
        </w:rPr>
      </w:pPr>
      <w:r>
        <w:rPr>
          <w:rFonts w:ascii="Times New Roman" w:hAnsi="Times New Roman"/>
          <w:sz w:val="28"/>
        </w:rPr>
        <w:t>ФОРМА</w:t>
      </w:r>
    </w:p>
    <w:p w14:paraId="1F010000">
      <w:pPr>
        <w:spacing w:after="0" w:line="240" w:lineRule="auto"/>
        <w:ind/>
        <w:jc w:val="center"/>
        <w:outlineLvl w:val="0"/>
        <w:rPr>
          <w:rFonts w:ascii="Times New Roman" w:hAnsi="Times New Roman"/>
          <w:b w:val="1"/>
          <w:sz w:val="24"/>
        </w:rPr>
      </w:pPr>
    </w:p>
    <w:p w14:paraId="20010000">
      <w:pPr>
        <w:spacing w:after="0" w:line="240" w:lineRule="auto"/>
        <w:ind/>
        <w:jc w:val="center"/>
        <w:rPr>
          <w:rFonts w:ascii="Times New Roman" w:hAnsi="Times New Roman"/>
          <w:sz w:val="28"/>
        </w:rPr>
      </w:pPr>
      <w:r>
        <w:rPr>
          <w:rFonts w:ascii="Times New Roman" w:hAnsi="Times New Roman"/>
          <w:sz w:val="28"/>
        </w:rPr>
        <w:t>Справка-расчет</w:t>
      </w:r>
    </w:p>
    <w:p w14:paraId="21010000">
      <w:pPr>
        <w:spacing w:after="0" w:line="240" w:lineRule="auto"/>
        <w:ind/>
        <w:jc w:val="center"/>
        <w:rPr>
          <w:rFonts w:ascii="Times New Roman" w:hAnsi="Times New Roman"/>
          <w:sz w:val="28"/>
        </w:rPr>
      </w:pPr>
      <w:r>
        <w:rPr>
          <w:rFonts w:ascii="Times New Roman" w:hAnsi="Times New Roman"/>
          <w:sz w:val="28"/>
        </w:rPr>
        <w:t xml:space="preserve">потребности в субсидии </w:t>
      </w:r>
      <w:r>
        <w:rPr>
          <w:rFonts w:ascii="Times New Roman" w:hAnsi="Times New Roman"/>
          <w:sz w:val="28"/>
        </w:rPr>
        <w:t xml:space="preserve">на финансовое обеспечение части затрат, </w:t>
      </w:r>
      <w:r>
        <w:rPr>
          <w:rFonts w:ascii="Times New Roman" w:hAnsi="Times New Roman"/>
          <w:sz w:val="28"/>
        </w:rPr>
        <w:t>связанных с</w:t>
      </w:r>
      <w:r>
        <w:rPr>
          <w:rFonts w:ascii="Times New Roman" w:hAnsi="Times New Roman"/>
          <w:sz w:val="28"/>
        </w:rPr>
        <w:t xml:space="preserve"> технической и (или) технологической модернизацией производства </w:t>
      </w:r>
      <w:r>
        <w:rPr>
          <w:rFonts w:ascii="Times New Roman" w:hAnsi="Times New Roman"/>
          <w:sz w:val="28"/>
        </w:rPr>
        <w:t>предприятий агропромышленного комплекса в 20___ году</w:t>
      </w:r>
    </w:p>
    <w:p w14:paraId="22010000">
      <w:pPr>
        <w:spacing w:after="0" w:line="240" w:lineRule="auto"/>
        <w:ind/>
        <w:jc w:val="center"/>
        <w:rPr>
          <w:rFonts w:ascii="Times New Roman" w:hAnsi="Times New Roman"/>
          <w:sz w:val="28"/>
        </w:rPr>
      </w:pPr>
      <w:r>
        <w:rPr>
          <w:rFonts w:ascii="Times New Roman" w:hAnsi="Times New Roman"/>
          <w:sz w:val="28"/>
        </w:rPr>
        <w:t>_________________________________________________________</w:t>
      </w:r>
    </w:p>
    <w:p w14:paraId="23010000">
      <w:pPr>
        <w:spacing w:after="0" w:line="240" w:lineRule="auto"/>
        <w:ind/>
        <w:jc w:val="center"/>
        <w:rPr>
          <w:rFonts w:ascii="Times New Roman" w:hAnsi="Times New Roman"/>
          <w:sz w:val="20"/>
          <w:vertAlign w:val="baseline"/>
        </w:rPr>
      </w:pPr>
      <w:r>
        <w:rPr>
          <w:rFonts w:ascii="Times New Roman" w:hAnsi="Times New Roman"/>
          <w:sz w:val="20"/>
          <w:vertAlign w:val="baseline"/>
        </w:rPr>
        <w:t>(полное и (или) сокращенное наименование получателя субсидии)</w:t>
      </w:r>
    </w:p>
    <w:p w14:paraId="24010000">
      <w:pPr>
        <w:spacing w:after="0" w:line="240" w:lineRule="auto"/>
        <w:ind/>
        <w:jc w:val="center"/>
        <w:rPr>
          <w:rFonts w:ascii="Times New Roman" w:hAnsi="Times New Roman"/>
          <w:sz w:val="28"/>
        </w:rPr>
      </w:pPr>
    </w:p>
    <w:tbl>
      <w:tblPr>
        <w:tblW w:type="auto" w:w="0"/>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540"/>
        <w:gridCol w:w="3708"/>
        <w:gridCol w:w="1672"/>
        <w:gridCol w:w="1672"/>
        <w:gridCol w:w="2352"/>
      </w:tblGrid>
      <w:tr>
        <w:trPr>
          <w:trHeight w:hRule="atLeast" w:val="765"/>
        </w:trPr>
        <w:tc>
          <w:tcPr>
            <w:tcW w:type="dxa" w:w="540"/>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25010000">
            <w:pPr>
              <w:spacing w:after="0" w:line="240" w:lineRule="auto"/>
              <w:ind/>
              <w:jc w:val="center"/>
              <w:rPr>
                <w:rFonts w:ascii="Times New Roman" w:hAnsi="Times New Roman"/>
                <w:sz w:val="24"/>
              </w:rPr>
            </w:pPr>
            <w:r>
              <w:rPr>
                <w:rFonts w:ascii="Times New Roman" w:hAnsi="Times New Roman"/>
                <w:sz w:val="24"/>
              </w:rPr>
              <w:t>№ п/п</w:t>
            </w:r>
          </w:p>
        </w:tc>
        <w:tc>
          <w:tcPr>
            <w:tcW w:type="dxa" w:w="3708"/>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26010000">
            <w:pPr>
              <w:spacing w:after="0" w:line="240" w:lineRule="auto"/>
              <w:ind/>
              <w:jc w:val="center"/>
              <w:rPr>
                <w:rFonts w:ascii="Times New Roman" w:hAnsi="Times New Roman"/>
                <w:sz w:val="24"/>
              </w:rPr>
            </w:pPr>
            <w:r>
              <w:rPr>
                <w:rFonts w:ascii="Times New Roman" w:hAnsi="Times New Roman"/>
                <w:sz w:val="24"/>
              </w:rPr>
              <w:t>Направление затрат</w:t>
            </w:r>
          </w:p>
        </w:tc>
        <w:tc>
          <w:tcPr>
            <w:tcW w:type="dxa" w:w="1672"/>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27010000">
            <w:pPr>
              <w:spacing w:after="0" w:line="240" w:lineRule="auto"/>
              <w:ind/>
              <w:jc w:val="center"/>
              <w:rPr>
                <w:rFonts w:ascii="Times New Roman" w:hAnsi="Times New Roman"/>
                <w:sz w:val="24"/>
              </w:rPr>
            </w:pPr>
            <w:r>
              <w:rPr>
                <w:rFonts w:ascii="Times New Roman" w:hAnsi="Times New Roman"/>
                <w:sz w:val="24"/>
              </w:rPr>
              <w:t>Планируемый объем затрат, рублей</w:t>
            </w:r>
          </w:p>
        </w:tc>
        <w:tc>
          <w:tcPr>
            <w:tcW w:type="dxa" w:w="1672"/>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28010000">
            <w:pPr>
              <w:spacing w:after="0" w:line="240" w:lineRule="auto"/>
              <w:ind/>
              <w:jc w:val="center"/>
              <w:rPr>
                <w:rFonts w:ascii="Times New Roman" w:hAnsi="Times New Roman"/>
                <w:sz w:val="24"/>
              </w:rPr>
            </w:pPr>
            <w:r>
              <w:rPr>
                <w:rFonts w:ascii="Times New Roman" w:hAnsi="Times New Roman"/>
                <w:sz w:val="24"/>
              </w:rPr>
              <w:t>Ставка субсидии (%)</w:t>
            </w:r>
          </w:p>
        </w:tc>
        <w:tc>
          <w:tcPr>
            <w:tcW w:type="dxa" w:w="2352"/>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29010000">
            <w:pPr>
              <w:spacing w:after="0" w:line="240" w:lineRule="auto"/>
              <w:ind/>
              <w:jc w:val="center"/>
              <w:rPr>
                <w:rFonts w:ascii="Times New Roman" w:hAnsi="Times New Roman"/>
                <w:sz w:val="24"/>
              </w:rPr>
            </w:pPr>
            <w:r>
              <w:rPr>
                <w:rFonts w:ascii="Times New Roman" w:hAnsi="Times New Roman"/>
                <w:sz w:val="24"/>
              </w:rPr>
              <w:t>Потребность в субсидии, рублей</w:t>
            </w:r>
          </w:p>
        </w:tc>
      </w:tr>
      <w:tr>
        <w:trPr>
          <w:trHeight w:hRule="atLeast" w:val="245"/>
        </w:trPr>
        <w:tc>
          <w:tcPr>
            <w:tcW w:type="dxa" w:w="54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A010000">
            <w:pPr>
              <w:spacing w:after="0" w:line="240" w:lineRule="auto"/>
              <w:ind/>
              <w:jc w:val="center"/>
              <w:rPr>
                <w:rFonts w:ascii="Times New Roman" w:hAnsi="Times New Roman"/>
                <w:sz w:val="24"/>
              </w:rPr>
            </w:pPr>
            <w:r>
              <w:rPr>
                <w:rFonts w:ascii="Times New Roman" w:hAnsi="Times New Roman"/>
                <w:sz w:val="24"/>
              </w:rPr>
              <w:t>1</w:t>
            </w:r>
          </w:p>
        </w:tc>
        <w:tc>
          <w:tcPr>
            <w:tcW w:type="dxa" w:w="370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B010000">
            <w:pPr>
              <w:spacing w:after="0" w:line="240" w:lineRule="auto"/>
              <w:ind/>
              <w:jc w:val="center"/>
              <w:rPr>
                <w:rFonts w:ascii="Times New Roman" w:hAnsi="Times New Roman"/>
                <w:sz w:val="24"/>
              </w:rPr>
            </w:pPr>
            <w:r>
              <w:rPr>
                <w:rFonts w:ascii="Times New Roman" w:hAnsi="Times New Roman"/>
                <w:sz w:val="24"/>
              </w:rPr>
              <w:t>2</w:t>
            </w:r>
          </w:p>
        </w:tc>
        <w:tc>
          <w:tcPr>
            <w:tcW w:type="dxa" w:w="167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C010000">
            <w:pPr>
              <w:spacing w:after="0" w:line="240" w:lineRule="auto"/>
              <w:ind/>
              <w:jc w:val="center"/>
              <w:rPr>
                <w:rFonts w:ascii="Times New Roman" w:hAnsi="Times New Roman"/>
                <w:sz w:val="24"/>
              </w:rPr>
            </w:pPr>
            <w:r>
              <w:rPr>
                <w:rFonts w:ascii="Times New Roman" w:hAnsi="Times New Roman"/>
                <w:sz w:val="24"/>
              </w:rPr>
              <w:t>3</w:t>
            </w:r>
          </w:p>
        </w:tc>
        <w:tc>
          <w:tcPr>
            <w:tcW w:type="dxa" w:w="167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D010000">
            <w:pPr>
              <w:spacing w:after="0" w:line="240" w:lineRule="auto"/>
              <w:ind/>
              <w:jc w:val="center"/>
              <w:rPr>
                <w:rFonts w:ascii="Times New Roman" w:hAnsi="Times New Roman"/>
                <w:sz w:val="24"/>
              </w:rPr>
            </w:pPr>
            <w:r>
              <w:rPr>
                <w:rFonts w:ascii="Times New Roman" w:hAnsi="Times New Roman"/>
                <w:sz w:val="24"/>
              </w:rPr>
              <w:t>4</w:t>
            </w:r>
          </w:p>
        </w:tc>
        <w:tc>
          <w:tcPr>
            <w:tcW w:type="dxa" w:w="235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E010000">
            <w:pPr>
              <w:spacing w:after="0" w:line="240" w:lineRule="auto"/>
              <w:ind/>
              <w:jc w:val="center"/>
              <w:rPr>
                <w:rFonts w:ascii="Times New Roman" w:hAnsi="Times New Roman"/>
                <w:sz w:val="24"/>
              </w:rPr>
            </w:pPr>
            <w:r>
              <w:rPr>
                <w:rFonts w:ascii="Times New Roman" w:hAnsi="Times New Roman"/>
                <w:sz w:val="24"/>
              </w:rPr>
              <w:t>5</w:t>
            </w:r>
          </w:p>
        </w:tc>
      </w:tr>
      <w:tr>
        <w:trPr>
          <w:trHeight w:hRule="atLeast" w:val="311"/>
        </w:trPr>
        <w:tc>
          <w:tcPr>
            <w:tcW w:type="dxa" w:w="54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F010000">
            <w:pPr>
              <w:spacing w:after="0" w:line="240" w:lineRule="auto"/>
              <w:ind/>
              <w:jc w:val="center"/>
              <w:rPr>
                <w:rFonts w:ascii="Times New Roman" w:hAnsi="Times New Roman"/>
                <w:sz w:val="24"/>
              </w:rPr>
            </w:pPr>
            <w:r>
              <w:rPr>
                <w:rFonts w:ascii="Times New Roman" w:hAnsi="Times New Roman"/>
                <w:sz w:val="24"/>
              </w:rPr>
              <w:t>1.</w:t>
            </w:r>
          </w:p>
        </w:tc>
        <w:tc>
          <w:tcPr>
            <w:tcW w:type="dxa" w:w="370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0010000">
            <w:pPr>
              <w:spacing w:after="0" w:line="240" w:lineRule="auto"/>
              <w:ind/>
              <w:jc w:val="both"/>
              <w:rPr>
                <w:rFonts w:ascii="Times New Roman" w:hAnsi="Times New Roman"/>
                <w:sz w:val="24"/>
              </w:rPr>
            </w:pPr>
            <w:r>
              <w:rPr>
                <w:rFonts w:ascii="Times New Roman" w:hAnsi="Times New Roman"/>
                <w:sz w:val="24"/>
              </w:rPr>
              <w:t>Приобретение оборудования</w:t>
            </w:r>
          </w:p>
        </w:tc>
        <w:tc>
          <w:tcPr>
            <w:tcW w:type="dxa" w:w="167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1010000">
            <w:pPr>
              <w:spacing w:after="0" w:line="240" w:lineRule="auto"/>
              <w:ind/>
              <w:jc w:val="center"/>
              <w:rPr>
                <w:rFonts w:ascii="Times New Roman" w:hAnsi="Times New Roman"/>
                <w:sz w:val="24"/>
              </w:rPr>
            </w:pPr>
          </w:p>
        </w:tc>
        <w:tc>
          <w:tcPr>
            <w:tcW w:type="dxa" w:w="167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2010000">
            <w:pPr>
              <w:spacing w:after="0" w:line="240" w:lineRule="auto"/>
              <w:ind/>
              <w:jc w:val="center"/>
              <w:rPr>
                <w:rFonts w:ascii="Times New Roman" w:hAnsi="Times New Roman"/>
                <w:sz w:val="24"/>
              </w:rPr>
            </w:pPr>
            <w:r>
              <w:rPr>
                <w:rFonts w:ascii="Times New Roman" w:hAnsi="Times New Roman"/>
                <w:sz w:val="24"/>
              </w:rPr>
              <w:t>50</w:t>
            </w:r>
          </w:p>
        </w:tc>
        <w:tc>
          <w:tcPr>
            <w:tcW w:type="dxa" w:w="235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3010000">
            <w:pPr>
              <w:spacing w:after="0" w:line="240" w:lineRule="auto"/>
              <w:ind/>
              <w:jc w:val="both"/>
              <w:rPr>
                <w:rFonts w:ascii="Times New Roman" w:hAnsi="Times New Roman"/>
                <w:sz w:val="24"/>
              </w:rPr>
            </w:pPr>
          </w:p>
        </w:tc>
      </w:tr>
      <w:tr>
        <w:trPr>
          <w:trHeight w:hRule="atLeast" w:val="311"/>
        </w:trPr>
        <w:tc>
          <w:tcPr>
            <w:tcW w:type="dxa" w:w="54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4010000">
            <w:pPr>
              <w:spacing w:after="0" w:line="240" w:lineRule="auto"/>
              <w:ind/>
              <w:jc w:val="center"/>
              <w:rPr>
                <w:rFonts w:ascii="Times New Roman" w:hAnsi="Times New Roman"/>
                <w:sz w:val="24"/>
              </w:rPr>
            </w:pPr>
            <w:r>
              <w:rPr>
                <w:rFonts w:ascii="Times New Roman" w:hAnsi="Times New Roman"/>
                <w:sz w:val="24"/>
              </w:rPr>
              <w:t>2.</w:t>
            </w:r>
          </w:p>
        </w:tc>
        <w:tc>
          <w:tcPr>
            <w:tcW w:type="dxa" w:w="370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5010000">
            <w:pPr>
              <w:spacing w:after="0" w:line="240" w:lineRule="auto"/>
              <w:ind/>
              <w:jc w:val="both"/>
              <w:rPr>
                <w:rFonts w:ascii="Times New Roman" w:hAnsi="Times New Roman"/>
                <w:sz w:val="24"/>
              </w:rPr>
            </w:pPr>
            <w:r>
              <w:rPr>
                <w:rFonts w:ascii="Times New Roman" w:hAnsi="Times New Roman"/>
                <w:sz w:val="24"/>
              </w:rPr>
              <w:t>Приобретение техники</w:t>
            </w:r>
          </w:p>
        </w:tc>
        <w:tc>
          <w:tcPr>
            <w:tcW w:type="dxa" w:w="167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6010000">
            <w:pPr>
              <w:spacing w:after="0" w:line="240" w:lineRule="auto"/>
              <w:ind/>
              <w:jc w:val="center"/>
              <w:rPr>
                <w:rFonts w:ascii="Times New Roman" w:hAnsi="Times New Roman"/>
                <w:sz w:val="24"/>
              </w:rPr>
            </w:pPr>
          </w:p>
        </w:tc>
        <w:tc>
          <w:tcPr>
            <w:tcW w:type="dxa" w:w="167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7010000">
            <w:pPr>
              <w:spacing w:after="0" w:line="240" w:lineRule="auto"/>
              <w:ind/>
              <w:jc w:val="center"/>
              <w:rPr>
                <w:rFonts w:ascii="Times New Roman" w:hAnsi="Times New Roman"/>
                <w:sz w:val="24"/>
              </w:rPr>
            </w:pPr>
            <w:r>
              <w:rPr>
                <w:rFonts w:ascii="Times New Roman" w:hAnsi="Times New Roman"/>
                <w:sz w:val="24"/>
              </w:rPr>
              <w:t>50</w:t>
            </w:r>
          </w:p>
        </w:tc>
        <w:tc>
          <w:tcPr>
            <w:tcW w:type="dxa" w:w="235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8010000">
            <w:pPr>
              <w:spacing w:after="0" w:line="240" w:lineRule="auto"/>
              <w:ind/>
              <w:jc w:val="both"/>
              <w:rPr>
                <w:rFonts w:ascii="Times New Roman" w:hAnsi="Times New Roman"/>
                <w:sz w:val="24"/>
              </w:rPr>
            </w:pPr>
          </w:p>
        </w:tc>
      </w:tr>
      <w:tr>
        <w:trPr>
          <w:trHeight w:hRule="atLeast" w:val="311"/>
        </w:trPr>
        <w:tc>
          <w:tcPr>
            <w:tcW w:type="dxa" w:w="54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9010000">
            <w:pPr>
              <w:spacing w:after="0" w:line="240" w:lineRule="auto"/>
              <w:ind/>
              <w:jc w:val="center"/>
              <w:rPr>
                <w:rFonts w:ascii="Times New Roman" w:hAnsi="Times New Roman"/>
                <w:sz w:val="24"/>
              </w:rPr>
            </w:pPr>
          </w:p>
        </w:tc>
        <w:tc>
          <w:tcPr>
            <w:tcW w:type="dxa" w:w="370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A010000">
            <w:pPr>
              <w:spacing w:after="0" w:line="240" w:lineRule="auto"/>
              <w:ind/>
              <w:jc w:val="both"/>
              <w:rPr>
                <w:rFonts w:ascii="Times New Roman" w:hAnsi="Times New Roman"/>
                <w:sz w:val="24"/>
              </w:rPr>
            </w:pPr>
            <w:r>
              <w:rPr>
                <w:rFonts w:ascii="Times New Roman" w:hAnsi="Times New Roman"/>
                <w:sz w:val="24"/>
              </w:rPr>
              <w:t>Всего:</w:t>
            </w:r>
          </w:p>
        </w:tc>
        <w:tc>
          <w:tcPr>
            <w:tcW w:type="dxa" w:w="167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B010000">
            <w:pPr>
              <w:spacing w:after="0" w:line="240" w:lineRule="auto"/>
              <w:ind/>
              <w:jc w:val="center"/>
              <w:rPr>
                <w:rFonts w:ascii="Times New Roman" w:hAnsi="Times New Roman"/>
                <w:sz w:val="24"/>
              </w:rPr>
            </w:pPr>
          </w:p>
        </w:tc>
        <w:tc>
          <w:tcPr>
            <w:tcW w:type="dxa" w:w="167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C010000">
            <w:pPr>
              <w:spacing w:after="0" w:line="240" w:lineRule="auto"/>
              <w:ind/>
              <w:jc w:val="center"/>
              <w:rPr>
                <w:rFonts w:ascii="Times New Roman" w:hAnsi="Times New Roman"/>
                <w:sz w:val="24"/>
              </w:rPr>
            </w:pPr>
            <w:r>
              <w:rPr>
                <w:rFonts w:ascii="Times New Roman" w:hAnsi="Times New Roman"/>
                <w:sz w:val="24"/>
              </w:rPr>
              <w:t>Х</w:t>
            </w:r>
          </w:p>
        </w:tc>
        <w:tc>
          <w:tcPr>
            <w:tcW w:type="dxa" w:w="235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D010000">
            <w:pPr>
              <w:spacing w:after="0" w:line="240" w:lineRule="auto"/>
              <w:ind/>
              <w:jc w:val="both"/>
              <w:rPr>
                <w:rFonts w:ascii="Times New Roman" w:hAnsi="Times New Roman"/>
                <w:sz w:val="24"/>
              </w:rPr>
            </w:pPr>
          </w:p>
        </w:tc>
      </w:tr>
    </w:tbl>
    <w:p w14:paraId="3E010000">
      <w:pPr>
        <w:spacing w:after="0" w:line="240" w:lineRule="auto"/>
        <w:ind/>
        <w:jc w:val="center"/>
        <w:rPr>
          <w:rFonts w:ascii="Times New Roman" w:hAnsi="Times New Roman"/>
          <w:sz w:val="28"/>
        </w:rPr>
      </w:pPr>
    </w:p>
    <w:p w14:paraId="3F010000">
      <w:pPr>
        <w:spacing w:after="0" w:line="240" w:lineRule="auto"/>
        <w:ind/>
        <w:jc w:val="both"/>
        <w:rPr>
          <w:rFonts w:ascii="Times New Roman" w:hAnsi="Times New Roman"/>
          <w:sz w:val="28"/>
        </w:rPr>
      </w:pPr>
      <w:r>
        <w:rPr>
          <w:rFonts w:ascii="Times New Roman" w:hAnsi="Times New Roman"/>
          <w:sz w:val="28"/>
        </w:rPr>
        <w:t>Участник отбора</w:t>
      </w:r>
    </w:p>
    <w:tbl>
      <w:tblPr>
        <w:tblW w:type="auto" w:w="0"/>
        <w:tblInd w:type="dxa" w:w="0"/>
        <w:tblBorders>
          <w:top w:color="000000" w:sz="4" w:val="nil"/>
          <w:left w:color="000000" w:sz="4" w:val="nil"/>
          <w:bottom w:color="000000" w:sz="4" w:val="nil"/>
          <w:right w:color="000000" w:sz="4" w:val="nil"/>
          <w:insideH w:color="000000" w:sz="4" w:val="nil"/>
          <w:insideV w:color="000000" w:sz="4" w:val="nil"/>
        </w:tblBorders>
        <w:tblLayout w:type="fixed"/>
        <w:tblCellMar>
          <w:top w:type="dxa" w:w="0"/>
          <w:left w:type="dxa" w:w="108"/>
          <w:bottom w:type="dxa" w:w="0"/>
          <w:right w:type="dxa" w:w="108"/>
        </w:tblCellMar>
      </w:tblPr>
      <w:tblGrid>
        <w:gridCol w:w="3209"/>
        <w:gridCol w:w="3210"/>
        <w:gridCol w:w="3210"/>
      </w:tblGrid>
      <w:tr>
        <w:tc>
          <w:tcPr>
            <w:tcW w:type="dxa" w:w="3209"/>
            <w:tcBorders>
              <w:top w:color="000000" w:sz="4" w:val="nil"/>
              <w:left w:color="000000" w:sz="4" w:val="nil"/>
              <w:bottom w:color="000000" w:sz="4" w:val="nil"/>
              <w:right w:color="000000" w:sz="4" w:val="nil"/>
            </w:tcBorders>
            <w:tcMar>
              <w:top w:type="dxa" w:w="0"/>
              <w:left w:type="dxa" w:w="108"/>
              <w:bottom w:type="dxa" w:w="0"/>
              <w:right w:type="dxa" w:w="108"/>
            </w:tcMar>
          </w:tcPr>
          <w:p w14:paraId="40010000">
            <w:pPr>
              <w:spacing w:after="0" w:line="240" w:lineRule="auto"/>
              <w:ind/>
              <w:jc w:val="both"/>
              <w:rPr>
                <w:rFonts w:ascii="Times New Roman" w:hAnsi="Times New Roman"/>
                <w:sz w:val="20"/>
                <w:vertAlign w:val="baseline"/>
              </w:rPr>
            </w:pPr>
          </w:p>
        </w:tc>
        <w:tc>
          <w:tcPr>
            <w:tcW w:type="dxa" w:w="3210"/>
            <w:tcBorders>
              <w:top w:color="000000" w:sz="4" w:val="single"/>
              <w:left w:color="000000" w:sz="4" w:val="nil"/>
              <w:bottom w:color="000000" w:sz="4" w:val="nil"/>
              <w:right w:color="000000" w:sz="4" w:val="nil"/>
            </w:tcBorders>
            <w:tcMar>
              <w:top w:type="dxa" w:w="0"/>
              <w:left w:type="dxa" w:w="108"/>
              <w:bottom w:type="dxa" w:w="0"/>
              <w:right w:type="dxa" w:w="108"/>
            </w:tcMar>
          </w:tcPr>
          <w:p w14:paraId="41010000">
            <w:pPr>
              <w:spacing w:after="0" w:line="240" w:lineRule="auto"/>
              <w:ind/>
              <w:jc w:val="center"/>
              <w:rPr>
                <w:rFonts w:ascii="Times New Roman" w:hAnsi="Times New Roman"/>
                <w:sz w:val="20"/>
                <w:vertAlign w:val="baseline"/>
              </w:rPr>
            </w:pPr>
            <w:r>
              <w:rPr>
                <w:rFonts w:ascii="Times New Roman" w:hAnsi="Times New Roman"/>
                <w:sz w:val="20"/>
                <w:vertAlign w:val="baseline"/>
              </w:rPr>
              <w:t>(подпись)</w:t>
            </w:r>
          </w:p>
        </w:tc>
        <w:tc>
          <w:tcPr>
            <w:tcW w:type="dxa" w:w="3210"/>
            <w:tcBorders>
              <w:top w:color="000000" w:sz="4" w:val="single"/>
              <w:left w:color="000000" w:sz="4" w:val="nil"/>
              <w:bottom w:color="000000" w:sz="4" w:val="nil"/>
              <w:right w:color="000000" w:sz="4" w:val="nil"/>
            </w:tcBorders>
            <w:tcMar>
              <w:top w:type="dxa" w:w="0"/>
              <w:left w:type="dxa" w:w="108"/>
              <w:bottom w:type="dxa" w:w="0"/>
              <w:right w:type="dxa" w:w="108"/>
            </w:tcMar>
          </w:tcPr>
          <w:p w14:paraId="42010000">
            <w:pPr>
              <w:spacing w:after="0" w:line="240" w:lineRule="auto"/>
              <w:ind/>
              <w:jc w:val="center"/>
              <w:rPr>
                <w:rFonts w:ascii="Times New Roman" w:hAnsi="Times New Roman"/>
                <w:sz w:val="20"/>
                <w:vertAlign w:val="baseline"/>
              </w:rPr>
            </w:pPr>
            <w:r>
              <w:rPr>
                <w:rFonts w:ascii="Times New Roman" w:hAnsi="Times New Roman"/>
                <w:sz w:val="20"/>
                <w:vertAlign w:val="baseline"/>
              </w:rPr>
              <w:t>(Ф.И.О. (при наличии)</w:t>
            </w:r>
          </w:p>
        </w:tc>
      </w:tr>
    </w:tbl>
    <w:p w14:paraId="43010000">
      <w:pPr>
        <w:spacing w:after="0" w:line="240" w:lineRule="auto"/>
        <w:ind w:hanging="5387" w:left="5387"/>
        <w:rPr>
          <w:rFonts w:ascii="Times New Roman" w:hAnsi="Times New Roman"/>
          <w:strike w:val="1"/>
          <w:sz w:val="28"/>
          <w:vertAlign w:val="baseline"/>
        </w:rPr>
      </w:pPr>
      <w:r>
        <w:rPr>
          <w:rFonts w:ascii="Times New Roman" w:hAnsi="Times New Roman"/>
          <w:sz w:val="28"/>
          <w:vertAlign w:val="baseline"/>
        </w:rPr>
        <w:t xml:space="preserve">МП </w:t>
      </w:r>
      <w:r>
        <w:rPr>
          <w:rFonts w:ascii="Times New Roman" w:hAnsi="Times New Roman"/>
          <w:sz w:val="20"/>
          <w:vertAlign w:val="baseline"/>
        </w:rPr>
        <w:t>(при наличии)</w:t>
      </w:r>
    </w:p>
    <w:sectPr>
      <w:headerReference r:id="rId2" w:type="default"/>
      <w:type w:val="nextPage"/>
      <w:pgSz w:h="16848" w:orient="portrait" w:w="11908"/>
      <w:pgMar w:bottom="1134" w:footer="709" w:gutter="0" w:header="709" w:left="1417" w:right="850"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center"/>
      <w:rPr>
        <w:rFonts w:ascii="Times New Roman" w:hAnsi="Times New Roman"/>
        <w:sz w:val="28"/>
      </w:rPr>
    </w:pPr>
    <w:r>
      <w:rPr>
        <w:rFonts w:ascii="Times New Roman" w:hAnsi="Times New Roman"/>
        <w:sz w:val="28"/>
      </w:rPr>
      <w:fldChar w:fldCharType="begin"/>
    </w:r>
    <w:r>
      <w:rPr>
        <w:rFonts w:ascii="Times New Roman" w:hAnsi="Times New Roman"/>
        <w:sz w:val="28"/>
      </w:rPr>
      <w:instrText xml:space="preserve">PAGE </w:instrText>
    </w:r>
    <w:r>
      <w:rPr>
        <w:rFonts w:ascii="Times New Roman" w:hAnsi="Times New Roman"/>
        <w:sz w:val="28"/>
      </w:rPr>
      <w:fldChar w:fldCharType="separate"/>
    </w:r>
    <w:r>
      <w:rPr>
        <w:rFonts w:ascii="Times New Roman" w:hAnsi="Times New Roman"/>
        <w:sz w:val="28"/>
      </w:rPr>
      <w:t xml:space="preserve"> </w:t>
    </w:r>
    <w:r>
      <w:rPr>
        <w:rFonts w:ascii="Times New Roman" w:hAnsi="Times New Roman"/>
        <w:sz w:val="28"/>
      </w:rPr>
      <w:fldChar w:fldCharType="end"/>
    </w: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1"/>
      <w:ind/>
      <w:jc w:val="center"/>
      <w:rPr>
        <w:rFonts w:ascii="Times New Roman" w:hAnsi="Times New Roman"/>
        <w:sz w:val="28"/>
      </w:rPr>
    </w:pPr>
    <w:r>
      <w:rPr>
        <w:rFonts w:ascii="Times New Roman" w:hAnsi="Times New Roman"/>
        <w:sz w:val="28"/>
      </w:rPr>
      <w:fldChar w:fldCharType="begin"/>
    </w:r>
    <w:r>
      <w:rPr>
        <w:rFonts w:ascii="Times New Roman" w:hAnsi="Times New Roman"/>
        <w:sz w:val="28"/>
      </w:rPr>
      <w:instrText xml:space="preserve">PAGE </w:instrText>
    </w:r>
    <w:r>
      <w:rPr>
        <w:rFonts w:ascii="Times New Roman" w:hAnsi="Times New Roman"/>
        <w:sz w:val="28"/>
      </w:rPr>
      <w:fldChar w:fldCharType="separate"/>
    </w:r>
    <w:r>
      <w:rPr>
        <w:rFonts w:ascii="Times New Roman" w:hAnsi="Times New Roman"/>
        <w:sz w:val="28"/>
      </w:rPr>
      <w:t xml:space="preserve"> </w:t>
    </w:r>
    <w:r>
      <w:rPr>
        <w:rFonts w:ascii="Times New Roman" w:hAnsi="Times New Roman"/>
        <w:sz w:val="28"/>
      </w:rPr>
      <w:fldChar w:fldCharType="end"/>
    </w: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160" w:before="0" w:line="264"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style>
  <w:style w:default="1" w:styleId="Style_3_ch" w:type="character">
    <w:name w:val="Normal"/>
    <w:link w:val="Style_3"/>
  </w:style>
  <w:style w:styleId="Style_4" w:type="paragraph">
    <w:name w:val="toc 2"/>
    <w:next w:val="Style_3"/>
    <w:link w:val="Style_4_ch"/>
    <w:uiPriority w:val="39"/>
    <w:pPr>
      <w:ind w:left="200"/>
    </w:pPr>
    <w:rPr>
      <w:rFonts w:ascii="XO Thames" w:hAnsi="XO Thames"/>
      <w:sz w:val="28"/>
    </w:rPr>
  </w:style>
  <w:style w:styleId="Style_4_ch" w:type="character">
    <w:name w:val="toc 2"/>
    <w:link w:val="Style_4"/>
    <w:rPr>
      <w:rFonts w:ascii="XO Thames" w:hAnsi="XO Thames"/>
      <w:sz w:val="28"/>
    </w:rPr>
  </w:style>
  <w:style w:styleId="Style_5" w:type="paragraph">
    <w:name w:val="Heading 3 Char"/>
    <w:basedOn w:val="Style_6"/>
    <w:link w:val="Style_5_ch"/>
    <w:rPr>
      <w:rFonts w:ascii="Arial" w:hAnsi="Arial"/>
      <w:sz w:val="30"/>
    </w:rPr>
  </w:style>
  <w:style w:styleId="Style_5_ch" w:type="character">
    <w:name w:val="Heading 3 Char"/>
    <w:basedOn w:val="Style_6_ch"/>
    <w:link w:val="Style_5"/>
    <w:rPr>
      <w:rFonts w:ascii="Arial" w:hAnsi="Arial"/>
      <w:sz w:val="30"/>
    </w:rPr>
  </w:style>
  <w:style w:styleId="Style_7" w:type="paragraph">
    <w:name w:val="toc 4"/>
    <w:next w:val="Style_3"/>
    <w:link w:val="Style_7_ch"/>
    <w:uiPriority w:val="39"/>
    <w:pPr>
      <w:ind w:left="600"/>
    </w:pPr>
    <w:rPr>
      <w:rFonts w:ascii="XO Thames" w:hAnsi="XO Thames"/>
      <w:sz w:val="28"/>
    </w:rPr>
  </w:style>
  <w:style w:styleId="Style_7_ch" w:type="character">
    <w:name w:val="toc 4"/>
    <w:link w:val="Style_7"/>
    <w:rPr>
      <w:rFonts w:ascii="XO Thames" w:hAnsi="XO Thames"/>
      <w:sz w:val="28"/>
    </w:rPr>
  </w:style>
  <w:style w:styleId="Style_8" w:type="paragraph">
    <w:name w:val="heading 7"/>
    <w:basedOn w:val="Style_3"/>
    <w:next w:val="Style_3"/>
    <w:link w:val="Style_8_ch"/>
    <w:uiPriority w:val="9"/>
    <w:qFormat/>
    <w:pPr>
      <w:keepNext w:val="1"/>
      <w:keepLines w:val="1"/>
      <w:spacing w:after="200" w:before="320"/>
      <w:ind/>
      <w:outlineLvl w:val="6"/>
    </w:pPr>
    <w:rPr>
      <w:rFonts w:ascii="Arial" w:hAnsi="Arial"/>
      <w:b w:val="1"/>
      <w:i w:val="1"/>
    </w:rPr>
  </w:style>
  <w:style w:styleId="Style_8_ch" w:type="character">
    <w:name w:val="heading 7"/>
    <w:basedOn w:val="Style_3_ch"/>
    <w:link w:val="Style_8"/>
    <w:rPr>
      <w:rFonts w:ascii="Arial" w:hAnsi="Arial"/>
      <w:b w:val="1"/>
      <w:i w:val="1"/>
    </w:rPr>
  </w:style>
  <w:style w:styleId="Style_9" w:type="paragraph">
    <w:name w:val="toc 6"/>
    <w:next w:val="Style_3"/>
    <w:link w:val="Style_9_ch"/>
    <w:uiPriority w:val="39"/>
    <w:pPr>
      <w:ind w:left="1000"/>
    </w:pPr>
    <w:rPr>
      <w:rFonts w:ascii="XO Thames" w:hAnsi="XO Thames"/>
      <w:sz w:val="28"/>
    </w:rPr>
  </w:style>
  <w:style w:styleId="Style_9_ch" w:type="character">
    <w:name w:val="toc 6"/>
    <w:link w:val="Style_9"/>
    <w:rPr>
      <w:rFonts w:ascii="XO Thames" w:hAnsi="XO Thames"/>
      <w:sz w:val="28"/>
    </w:rPr>
  </w:style>
  <w:style w:styleId="Style_10" w:type="paragraph">
    <w:name w:val="caption"/>
    <w:basedOn w:val="Style_3"/>
    <w:next w:val="Style_3"/>
    <w:link w:val="Style_10_ch"/>
    <w:pPr>
      <w:spacing w:line="276" w:lineRule="auto"/>
      <w:ind/>
    </w:pPr>
    <w:rPr>
      <w:b w:val="1"/>
      <w:color w:themeColor="accent1" w:val="5B9BD5"/>
      <w:sz w:val="18"/>
    </w:rPr>
  </w:style>
  <w:style w:styleId="Style_10_ch" w:type="character">
    <w:name w:val="caption"/>
    <w:basedOn w:val="Style_3_ch"/>
    <w:link w:val="Style_10"/>
    <w:rPr>
      <w:b w:val="1"/>
      <w:color w:themeColor="accent1" w:val="5B9BD5"/>
      <w:sz w:val="18"/>
    </w:rPr>
  </w:style>
  <w:style w:styleId="Style_11" w:type="paragraph">
    <w:name w:val="toc 7"/>
    <w:next w:val="Style_3"/>
    <w:link w:val="Style_11_ch"/>
    <w:uiPriority w:val="39"/>
    <w:pPr>
      <w:ind w:left="1200"/>
    </w:pPr>
    <w:rPr>
      <w:rFonts w:ascii="XO Thames" w:hAnsi="XO Thames"/>
      <w:sz w:val="28"/>
    </w:rPr>
  </w:style>
  <w:style w:styleId="Style_11_ch" w:type="character">
    <w:name w:val="toc 7"/>
    <w:link w:val="Style_11"/>
    <w:rPr>
      <w:rFonts w:ascii="XO Thames" w:hAnsi="XO Thames"/>
      <w:sz w:val="28"/>
    </w:rPr>
  </w:style>
  <w:style w:styleId="Style_12" w:type="paragraph">
    <w:name w:val="Default Paragraph Font"/>
    <w:link w:val="Style_12_ch"/>
  </w:style>
  <w:style w:styleId="Style_12_ch" w:type="character">
    <w:name w:val="Default Paragraph Font"/>
    <w:link w:val="Style_12"/>
  </w:style>
  <w:style w:styleId="Style_13" w:type="paragraph">
    <w:name w:val="Footnote"/>
    <w:link w:val="Style_13_ch"/>
    <w:pPr>
      <w:ind w:firstLine="851"/>
      <w:jc w:val="both"/>
    </w:pPr>
    <w:rPr>
      <w:rFonts w:ascii="XO Thames" w:hAnsi="XO Thames"/>
    </w:rPr>
  </w:style>
  <w:style w:styleId="Style_13_ch" w:type="character">
    <w:name w:val="Footnote"/>
    <w:link w:val="Style_13"/>
    <w:rPr>
      <w:rFonts w:ascii="XO Thames" w:hAnsi="XO Thames"/>
    </w:rPr>
  </w:style>
  <w:style w:styleId="Style_14" w:type="paragraph">
    <w:name w:val="Heading 8 Char"/>
    <w:basedOn w:val="Style_15"/>
    <w:link w:val="Style_14_ch"/>
    <w:rPr>
      <w:rFonts w:ascii="Arial" w:hAnsi="Arial"/>
      <w:i w:val="1"/>
    </w:rPr>
  </w:style>
  <w:style w:styleId="Style_14_ch" w:type="character">
    <w:name w:val="Heading 8 Char"/>
    <w:basedOn w:val="Style_15_ch"/>
    <w:link w:val="Style_14"/>
    <w:rPr>
      <w:rFonts w:ascii="Arial" w:hAnsi="Arial"/>
      <w:i w:val="1"/>
    </w:rPr>
  </w:style>
  <w:style w:styleId="Style_16" w:type="paragraph">
    <w:name w:val="Endnote"/>
    <w:basedOn w:val="Style_3"/>
    <w:link w:val="Style_16_ch"/>
    <w:pPr>
      <w:spacing w:after="0" w:line="240" w:lineRule="auto"/>
      <w:ind/>
    </w:pPr>
    <w:rPr>
      <w:sz w:val="20"/>
    </w:rPr>
  </w:style>
  <w:style w:styleId="Style_16_ch" w:type="character">
    <w:name w:val="Endnote"/>
    <w:basedOn w:val="Style_3_ch"/>
    <w:link w:val="Style_16"/>
    <w:rPr>
      <w:sz w:val="20"/>
    </w:rPr>
  </w:style>
  <w:style w:styleId="Style_17" w:type="paragraph">
    <w:name w:val="heading 3"/>
    <w:next w:val="Style_3"/>
    <w:link w:val="Style_17_ch"/>
    <w:uiPriority w:val="9"/>
    <w:qFormat/>
    <w:pPr>
      <w:spacing w:after="120" w:before="120"/>
      <w:ind/>
      <w:jc w:val="both"/>
      <w:outlineLvl w:val="2"/>
    </w:pPr>
    <w:rPr>
      <w:rFonts w:ascii="XO Thames" w:hAnsi="XO Thames"/>
      <w:b w:val="1"/>
      <w:sz w:val="26"/>
    </w:rPr>
  </w:style>
  <w:style w:styleId="Style_17_ch" w:type="character">
    <w:name w:val="heading 3"/>
    <w:link w:val="Style_17"/>
    <w:rPr>
      <w:rFonts w:ascii="XO Thames" w:hAnsi="XO Thames"/>
      <w:b w:val="1"/>
      <w:sz w:val="26"/>
    </w:rPr>
  </w:style>
  <w:style w:styleId="Style_18" w:type="paragraph">
    <w:name w:val="Знак концевой сноски1"/>
    <w:basedOn w:val="Style_6"/>
    <w:link w:val="Style_18_ch"/>
    <w:rPr>
      <w:vertAlign w:val="superscript"/>
    </w:rPr>
  </w:style>
  <w:style w:styleId="Style_18_ch" w:type="character">
    <w:name w:val="Знак концевой сноски1"/>
    <w:basedOn w:val="Style_6_ch"/>
    <w:link w:val="Style_18"/>
    <w:rPr>
      <w:vertAlign w:val="superscript"/>
    </w:rPr>
  </w:style>
  <w:style w:styleId="Style_19" w:type="paragraph">
    <w:name w:val="Caption Char"/>
    <w:basedOn w:val="Style_15"/>
    <w:link w:val="Style_19_ch"/>
    <w:rPr>
      <w:b w:val="1"/>
      <w:color w:themeColor="accent1" w:val="5B9BD5"/>
      <w:sz w:val="18"/>
    </w:rPr>
  </w:style>
  <w:style w:styleId="Style_19_ch" w:type="character">
    <w:name w:val="Caption Char"/>
    <w:basedOn w:val="Style_15_ch"/>
    <w:link w:val="Style_19"/>
    <w:rPr>
      <w:b w:val="1"/>
      <w:color w:themeColor="accent1" w:val="5B9BD5"/>
      <w:sz w:val="18"/>
    </w:rPr>
  </w:style>
  <w:style w:styleId="Style_20" w:type="paragraph">
    <w:name w:val="TOC Heading"/>
    <w:link w:val="Style_20_ch"/>
  </w:style>
  <w:style w:styleId="Style_20_ch" w:type="character">
    <w:name w:val="TOC Heading"/>
    <w:link w:val="Style_20"/>
  </w:style>
  <w:style w:styleId="Style_21" w:type="paragraph">
    <w:name w:val="heading 9"/>
    <w:basedOn w:val="Style_3"/>
    <w:next w:val="Style_3"/>
    <w:link w:val="Style_21_ch"/>
    <w:uiPriority w:val="9"/>
    <w:qFormat/>
    <w:pPr>
      <w:keepNext w:val="1"/>
      <w:keepLines w:val="1"/>
      <w:spacing w:after="200" w:before="320"/>
      <w:ind/>
      <w:outlineLvl w:val="8"/>
    </w:pPr>
    <w:rPr>
      <w:rFonts w:ascii="Arial" w:hAnsi="Arial"/>
      <w:i w:val="1"/>
      <w:sz w:val="21"/>
    </w:rPr>
  </w:style>
  <w:style w:styleId="Style_21_ch" w:type="character">
    <w:name w:val="heading 9"/>
    <w:basedOn w:val="Style_3_ch"/>
    <w:link w:val="Style_21"/>
    <w:rPr>
      <w:rFonts w:ascii="Arial" w:hAnsi="Arial"/>
      <w:i w:val="1"/>
      <w:sz w:val="21"/>
    </w:rPr>
  </w:style>
  <w:style w:styleId="Style_22" w:type="paragraph">
    <w:name w:val="Title Char"/>
    <w:basedOn w:val="Style_6"/>
    <w:link w:val="Style_22_ch"/>
    <w:rPr>
      <w:sz w:val="48"/>
    </w:rPr>
  </w:style>
  <w:style w:styleId="Style_22_ch" w:type="character">
    <w:name w:val="Title Char"/>
    <w:basedOn w:val="Style_6_ch"/>
    <w:link w:val="Style_22"/>
    <w:rPr>
      <w:sz w:val="48"/>
    </w:rPr>
  </w:style>
  <w:style w:styleId="Style_23" w:type="paragraph">
    <w:name w:val="Endnote"/>
    <w:basedOn w:val="Style_3"/>
    <w:link w:val="Style_23_ch"/>
    <w:pPr>
      <w:spacing w:after="0" w:line="240" w:lineRule="auto"/>
      <w:ind/>
    </w:pPr>
    <w:rPr>
      <w:sz w:val="20"/>
    </w:rPr>
  </w:style>
  <w:style w:styleId="Style_23_ch" w:type="character">
    <w:name w:val="Endnote"/>
    <w:basedOn w:val="Style_3_ch"/>
    <w:link w:val="Style_23"/>
    <w:rPr>
      <w:sz w:val="20"/>
    </w:rPr>
  </w:style>
  <w:style w:styleId="Style_24" w:type="paragraph">
    <w:name w:val="table of figures"/>
    <w:basedOn w:val="Style_3"/>
    <w:next w:val="Style_3"/>
    <w:link w:val="Style_24_ch"/>
    <w:pPr>
      <w:spacing w:after="0"/>
      <w:ind/>
    </w:pPr>
  </w:style>
  <w:style w:styleId="Style_24_ch" w:type="character">
    <w:name w:val="table of figures"/>
    <w:basedOn w:val="Style_3_ch"/>
    <w:link w:val="Style_24"/>
  </w:style>
  <w:style w:styleId="Style_25" w:type="paragraph">
    <w:name w:val="Гиперссылка2"/>
    <w:link w:val="Style_25_ch"/>
    <w:rPr>
      <w:color w:val="0000FF"/>
      <w:u w:val="single"/>
    </w:rPr>
  </w:style>
  <w:style w:styleId="Style_25_ch" w:type="character">
    <w:name w:val="Гиперссылка2"/>
    <w:link w:val="Style_25"/>
    <w:rPr>
      <w:color w:val="0000FF"/>
      <w:u w:val="single"/>
    </w:rPr>
  </w:style>
  <w:style w:styleId="Style_26" w:type="paragraph">
    <w:name w:val="Intense Quote"/>
    <w:basedOn w:val="Style_3"/>
    <w:next w:val="Style_3"/>
    <w:link w:val="Style_26_ch"/>
    <w:pPr>
      <w:ind w:left="720" w:right="720"/>
    </w:pPr>
    <w:rPr>
      <w:i w:val="1"/>
    </w:rPr>
  </w:style>
  <w:style w:styleId="Style_26_ch" w:type="character">
    <w:name w:val="Intense Quote"/>
    <w:basedOn w:val="Style_3_ch"/>
    <w:link w:val="Style_26"/>
    <w:rPr>
      <w:i w:val="1"/>
    </w:rPr>
  </w:style>
  <w:style w:styleId="Style_27" w:type="paragraph">
    <w:name w:val="Plain Text"/>
    <w:basedOn w:val="Style_3"/>
    <w:link w:val="Style_27_ch"/>
    <w:pPr>
      <w:spacing w:after="0" w:line="240" w:lineRule="auto"/>
      <w:ind/>
    </w:pPr>
    <w:rPr>
      <w:rFonts w:ascii="Calibri" w:hAnsi="Calibri"/>
    </w:rPr>
  </w:style>
  <w:style w:styleId="Style_27_ch" w:type="character">
    <w:name w:val="Plain Text"/>
    <w:basedOn w:val="Style_3_ch"/>
    <w:link w:val="Style_27"/>
    <w:rPr>
      <w:rFonts w:ascii="Calibri" w:hAnsi="Calibri"/>
    </w:rPr>
  </w:style>
  <w:style w:styleId="Style_28" w:type="paragraph">
    <w:name w:val="List Paragraph"/>
    <w:basedOn w:val="Style_3"/>
    <w:link w:val="Style_28_ch"/>
    <w:pPr>
      <w:ind w:left="720"/>
      <w:contextualSpacing w:val="1"/>
    </w:pPr>
  </w:style>
  <w:style w:styleId="Style_28_ch" w:type="character">
    <w:name w:val="List Paragraph"/>
    <w:basedOn w:val="Style_3_ch"/>
    <w:link w:val="Style_28"/>
  </w:style>
  <w:style w:styleId="Style_29" w:type="paragraph">
    <w:name w:val="Heading 1 Char"/>
    <w:basedOn w:val="Style_6"/>
    <w:link w:val="Style_29_ch"/>
    <w:rPr>
      <w:rFonts w:ascii="Arial" w:hAnsi="Arial"/>
      <w:sz w:val="40"/>
    </w:rPr>
  </w:style>
  <w:style w:styleId="Style_29_ch" w:type="character">
    <w:name w:val="Heading 1 Char"/>
    <w:basedOn w:val="Style_6_ch"/>
    <w:link w:val="Style_29"/>
    <w:rPr>
      <w:rFonts w:ascii="Arial" w:hAnsi="Arial"/>
      <w:sz w:val="40"/>
    </w:rPr>
  </w:style>
  <w:style w:styleId="Style_30" w:type="paragraph">
    <w:name w:val="Основной шрифт абзаца2"/>
    <w:link w:val="Style_30_ch"/>
  </w:style>
  <w:style w:styleId="Style_30_ch" w:type="character">
    <w:name w:val="Основной шрифт абзаца2"/>
    <w:link w:val="Style_30"/>
  </w:style>
  <w:style w:styleId="Style_31" w:type="paragraph">
    <w:name w:val="Обычный1"/>
    <w:link w:val="Style_31_ch"/>
  </w:style>
  <w:style w:styleId="Style_31_ch" w:type="character">
    <w:name w:val="Обычный1"/>
    <w:link w:val="Style_31"/>
  </w:style>
  <w:style w:styleId="Style_32" w:type="paragraph">
    <w:name w:val="toc 3"/>
    <w:next w:val="Style_3"/>
    <w:link w:val="Style_32_ch"/>
    <w:uiPriority w:val="39"/>
    <w:pPr>
      <w:ind w:left="400"/>
    </w:pPr>
    <w:rPr>
      <w:rFonts w:ascii="XO Thames" w:hAnsi="XO Thames"/>
      <w:sz w:val="28"/>
    </w:rPr>
  </w:style>
  <w:style w:styleId="Style_32_ch" w:type="character">
    <w:name w:val="toc 3"/>
    <w:link w:val="Style_32"/>
    <w:rPr>
      <w:rFonts w:ascii="XO Thames" w:hAnsi="XO Thames"/>
      <w:sz w:val="28"/>
    </w:rPr>
  </w:style>
  <w:style w:styleId="Style_33" w:type="paragraph">
    <w:name w:val="Endnote"/>
    <w:link w:val="Style_33_ch"/>
    <w:pPr>
      <w:ind w:firstLine="851"/>
      <w:jc w:val="both"/>
    </w:pPr>
    <w:rPr>
      <w:rFonts w:ascii="XO Thames" w:hAnsi="XO Thames"/>
    </w:rPr>
  </w:style>
  <w:style w:styleId="Style_33_ch" w:type="character">
    <w:name w:val="Endnote"/>
    <w:link w:val="Style_33"/>
    <w:rPr>
      <w:rFonts w:ascii="XO Thames" w:hAnsi="XO Thames"/>
    </w:rPr>
  </w:style>
  <w:style w:styleId="Style_34" w:type="paragraph">
    <w:name w:val="Heading 6 Char"/>
    <w:basedOn w:val="Style_15"/>
    <w:link w:val="Style_34_ch"/>
    <w:rPr>
      <w:rFonts w:ascii="Arial" w:hAnsi="Arial"/>
      <w:b w:val="1"/>
    </w:rPr>
  </w:style>
  <w:style w:styleId="Style_34_ch" w:type="character">
    <w:name w:val="Heading 6 Char"/>
    <w:basedOn w:val="Style_15_ch"/>
    <w:link w:val="Style_34"/>
    <w:rPr>
      <w:rFonts w:ascii="Arial" w:hAnsi="Arial"/>
      <w:b w:val="1"/>
    </w:rPr>
  </w:style>
  <w:style w:styleId="Style_35" w:type="paragraph">
    <w:name w:val="Heading 4 Char"/>
    <w:basedOn w:val="Style_6"/>
    <w:link w:val="Style_35_ch"/>
    <w:rPr>
      <w:rFonts w:ascii="Arial" w:hAnsi="Arial"/>
      <w:b w:val="1"/>
      <w:sz w:val="26"/>
    </w:rPr>
  </w:style>
  <w:style w:styleId="Style_35_ch" w:type="character">
    <w:name w:val="Heading 4 Char"/>
    <w:basedOn w:val="Style_6_ch"/>
    <w:link w:val="Style_35"/>
    <w:rPr>
      <w:rFonts w:ascii="Arial" w:hAnsi="Arial"/>
      <w:b w:val="1"/>
      <w:sz w:val="26"/>
    </w:rPr>
  </w:style>
  <w:style w:styleId="Style_36" w:type="paragraph">
    <w:name w:val="Subtitle Char"/>
    <w:basedOn w:val="Style_6"/>
    <w:link w:val="Style_36_ch"/>
    <w:rPr>
      <w:sz w:val="24"/>
    </w:rPr>
  </w:style>
  <w:style w:styleId="Style_36_ch" w:type="character">
    <w:name w:val="Subtitle Char"/>
    <w:basedOn w:val="Style_6_ch"/>
    <w:link w:val="Style_36"/>
    <w:rPr>
      <w:sz w:val="24"/>
    </w:rPr>
  </w:style>
  <w:style w:styleId="Style_37" w:type="paragraph">
    <w:name w:val="Footer Char"/>
    <w:basedOn w:val="Style_6"/>
    <w:link w:val="Style_37_ch"/>
  </w:style>
  <w:style w:styleId="Style_37_ch" w:type="character">
    <w:name w:val="Footer Char"/>
    <w:basedOn w:val="Style_6_ch"/>
    <w:link w:val="Style_37"/>
  </w:style>
  <w:style w:styleId="Style_38" w:type="paragraph">
    <w:name w:val="footer"/>
    <w:basedOn w:val="Style_3"/>
    <w:link w:val="Style_38_ch"/>
    <w:pPr>
      <w:tabs>
        <w:tab w:leader="none" w:pos="4677" w:val="center"/>
        <w:tab w:leader="none" w:pos="9355" w:val="right"/>
      </w:tabs>
      <w:spacing w:after="0" w:line="240" w:lineRule="auto"/>
      <w:ind/>
    </w:pPr>
    <w:rPr>
      <w:rFonts w:ascii="Times New Roman" w:hAnsi="Times New Roman"/>
      <w:sz w:val="28"/>
    </w:rPr>
  </w:style>
  <w:style w:styleId="Style_38_ch" w:type="character">
    <w:name w:val="footer"/>
    <w:basedOn w:val="Style_3_ch"/>
    <w:link w:val="Style_38"/>
    <w:rPr>
      <w:rFonts w:ascii="Times New Roman" w:hAnsi="Times New Roman"/>
      <w:sz w:val="28"/>
    </w:rPr>
  </w:style>
  <w:style w:styleId="Style_1" w:type="paragraph">
    <w:name w:val="header"/>
    <w:basedOn w:val="Style_3"/>
    <w:link w:val="Style_1_ch"/>
    <w:pPr>
      <w:tabs>
        <w:tab w:leader="none" w:pos="4677" w:val="center"/>
        <w:tab w:leader="none" w:pos="9355" w:val="right"/>
      </w:tabs>
      <w:spacing w:after="0" w:line="240" w:lineRule="auto"/>
      <w:ind/>
    </w:pPr>
  </w:style>
  <w:style w:styleId="Style_1_ch" w:type="character">
    <w:name w:val="header"/>
    <w:basedOn w:val="Style_3_ch"/>
    <w:link w:val="Style_1"/>
  </w:style>
  <w:style w:styleId="Style_39" w:type="paragraph">
    <w:name w:val="Гиперссылка4"/>
    <w:link w:val="Style_39_ch"/>
    <w:rPr>
      <w:color w:val="0000FF"/>
      <w:u w:val="single"/>
    </w:rPr>
  </w:style>
  <w:style w:styleId="Style_39_ch" w:type="character">
    <w:name w:val="Гиперссылка4"/>
    <w:link w:val="Style_39"/>
    <w:rPr>
      <w:color w:val="0000FF"/>
      <w:u w:val="single"/>
    </w:rPr>
  </w:style>
  <w:style w:styleId="Style_40" w:type="paragraph">
    <w:name w:val="Обычный1"/>
    <w:link w:val="Style_40_ch"/>
  </w:style>
  <w:style w:styleId="Style_40_ch" w:type="character">
    <w:name w:val="Обычный1"/>
    <w:link w:val="Style_40"/>
  </w:style>
  <w:style w:styleId="Style_41" w:type="paragraph">
    <w:name w:val="heading 5"/>
    <w:next w:val="Style_3"/>
    <w:link w:val="Style_41_ch"/>
    <w:uiPriority w:val="9"/>
    <w:qFormat/>
    <w:pPr>
      <w:spacing w:after="120" w:before="120"/>
      <w:ind/>
      <w:jc w:val="both"/>
      <w:outlineLvl w:val="4"/>
    </w:pPr>
    <w:rPr>
      <w:rFonts w:ascii="XO Thames" w:hAnsi="XO Thames"/>
      <w:b w:val="1"/>
    </w:rPr>
  </w:style>
  <w:style w:styleId="Style_41_ch" w:type="character">
    <w:name w:val="heading 5"/>
    <w:link w:val="Style_41"/>
    <w:rPr>
      <w:rFonts w:ascii="XO Thames" w:hAnsi="XO Thames"/>
      <w:b w:val="1"/>
    </w:rPr>
  </w:style>
  <w:style w:styleId="Style_42" w:type="paragraph">
    <w:name w:val="Обычный1"/>
    <w:link w:val="Style_42_ch"/>
  </w:style>
  <w:style w:styleId="Style_42_ch" w:type="character">
    <w:name w:val="Обычный1"/>
    <w:link w:val="Style_42"/>
  </w:style>
  <w:style w:styleId="Style_43" w:type="paragraph">
    <w:name w:val="heading 1"/>
    <w:next w:val="Style_3"/>
    <w:link w:val="Style_43_ch"/>
    <w:uiPriority w:val="9"/>
    <w:qFormat/>
    <w:pPr>
      <w:spacing w:after="120" w:before="120"/>
      <w:ind/>
      <w:jc w:val="both"/>
      <w:outlineLvl w:val="0"/>
    </w:pPr>
    <w:rPr>
      <w:rFonts w:ascii="XO Thames" w:hAnsi="XO Thames"/>
      <w:b w:val="1"/>
      <w:sz w:val="32"/>
    </w:rPr>
  </w:style>
  <w:style w:styleId="Style_43_ch" w:type="character">
    <w:name w:val="heading 1"/>
    <w:link w:val="Style_43"/>
    <w:rPr>
      <w:rFonts w:ascii="XO Thames" w:hAnsi="XO Thames"/>
      <w:b w:val="1"/>
      <w:sz w:val="32"/>
    </w:rPr>
  </w:style>
  <w:style w:styleId="Style_44" w:type="paragraph">
    <w:name w:val="Heading 9 Char"/>
    <w:basedOn w:val="Style_15"/>
    <w:link w:val="Style_44_ch"/>
    <w:rPr>
      <w:rFonts w:ascii="Arial" w:hAnsi="Arial"/>
      <w:i w:val="1"/>
      <w:sz w:val="21"/>
    </w:rPr>
  </w:style>
  <w:style w:styleId="Style_44_ch" w:type="character">
    <w:name w:val="Heading 9 Char"/>
    <w:basedOn w:val="Style_15_ch"/>
    <w:link w:val="Style_44"/>
    <w:rPr>
      <w:rFonts w:ascii="Arial" w:hAnsi="Arial"/>
      <w:i w:val="1"/>
      <w:sz w:val="21"/>
    </w:rPr>
  </w:style>
  <w:style w:styleId="Style_45" w:type="paragraph">
    <w:name w:val="Hyperlink"/>
    <w:link w:val="Style_45_ch"/>
    <w:rPr>
      <w:color w:val="0000FF"/>
      <w:u w:val="single"/>
    </w:rPr>
  </w:style>
  <w:style w:styleId="Style_45_ch" w:type="character">
    <w:name w:val="Hyperlink"/>
    <w:link w:val="Style_45"/>
    <w:rPr>
      <w:color w:val="0000FF"/>
      <w:u w:val="single"/>
    </w:rPr>
  </w:style>
  <w:style w:styleId="Style_46" w:type="paragraph">
    <w:name w:val="Footnote"/>
    <w:basedOn w:val="Style_3"/>
    <w:link w:val="Style_46_ch"/>
    <w:pPr>
      <w:spacing w:after="40" w:line="240" w:lineRule="auto"/>
      <w:ind/>
    </w:pPr>
    <w:rPr>
      <w:sz w:val="18"/>
    </w:rPr>
  </w:style>
  <w:style w:styleId="Style_46_ch" w:type="character">
    <w:name w:val="Footnote"/>
    <w:basedOn w:val="Style_3_ch"/>
    <w:link w:val="Style_46"/>
    <w:rPr>
      <w:sz w:val="18"/>
    </w:rPr>
  </w:style>
  <w:style w:styleId="Style_47" w:type="paragraph">
    <w:name w:val="heading 8"/>
    <w:basedOn w:val="Style_3"/>
    <w:next w:val="Style_3"/>
    <w:link w:val="Style_47_ch"/>
    <w:uiPriority w:val="9"/>
    <w:qFormat/>
    <w:pPr>
      <w:keepNext w:val="1"/>
      <w:keepLines w:val="1"/>
      <w:spacing w:after="200" w:before="320"/>
      <w:ind/>
      <w:outlineLvl w:val="7"/>
    </w:pPr>
    <w:rPr>
      <w:rFonts w:ascii="Arial" w:hAnsi="Arial"/>
      <w:i w:val="1"/>
    </w:rPr>
  </w:style>
  <w:style w:styleId="Style_47_ch" w:type="character">
    <w:name w:val="heading 8"/>
    <w:basedOn w:val="Style_3_ch"/>
    <w:link w:val="Style_47"/>
    <w:rPr>
      <w:rFonts w:ascii="Arial" w:hAnsi="Arial"/>
      <w:i w:val="1"/>
    </w:rPr>
  </w:style>
  <w:style w:styleId="Style_48" w:type="paragraph">
    <w:name w:val="Гиперссылка2"/>
    <w:link w:val="Style_48_ch"/>
    <w:rPr>
      <w:color w:val="0000FF"/>
      <w:u w:val="single"/>
    </w:rPr>
  </w:style>
  <w:style w:styleId="Style_48_ch" w:type="character">
    <w:name w:val="Гиперссылка2"/>
    <w:link w:val="Style_48"/>
    <w:rPr>
      <w:color w:val="0000FF"/>
      <w:u w:val="single"/>
    </w:rPr>
  </w:style>
  <w:style w:styleId="Style_49" w:type="paragraph">
    <w:name w:val="toc 1"/>
    <w:next w:val="Style_3"/>
    <w:link w:val="Style_49_ch"/>
    <w:uiPriority w:val="39"/>
    <w:rPr>
      <w:rFonts w:ascii="XO Thames" w:hAnsi="XO Thames"/>
      <w:b w:val="1"/>
      <w:sz w:val="28"/>
    </w:rPr>
  </w:style>
  <w:style w:styleId="Style_49_ch" w:type="character">
    <w:name w:val="toc 1"/>
    <w:link w:val="Style_49"/>
    <w:rPr>
      <w:rFonts w:ascii="XO Thames" w:hAnsi="XO Thames"/>
      <w:b w:val="1"/>
      <w:sz w:val="28"/>
    </w:rPr>
  </w:style>
  <w:style w:styleId="Style_50" w:type="paragraph">
    <w:name w:val="Header and Footer"/>
    <w:link w:val="Style_50_ch"/>
    <w:pPr>
      <w:spacing w:line="240" w:lineRule="auto"/>
      <w:ind/>
      <w:jc w:val="both"/>
    </w:pPr>
    <w:rPr>
      <w:rFonts w:ascii="XO Thames" w:hAnsi="XO Thames"/>
      <w:sz w:val="20"/>
    </w:rPr>
  </w:style>
  <w:style w:styleId="Style_50_ch" w:type="character">
    <w:name w:val="Header and Footer"/>
    <w:link w:val="Style_50"/>
    <w:rPr>
      <w:rFonts w:ascii="XO Thames" w:hAnsi="XO Thames"/>
      <w:sz w:val="20"/>
    </w:rPr>
  </w:style>
  <w:style w:styleId="Style_51" w:type="paragraph">
    <w:name w:val="Quote"/>
    <w:basedOn w:val="Style_3"/>
    <w:next w:val="Style_3"/>
    <w:link w:val="Style_51_ch"/>
    <w:pPr>
      <w:ind w:left="720" w:right="720"/>
    </w:pPr>
    <w:rPr>
      <w:i w:val="1"/>
    </w:rPr>
  </w:style>
  <w:style w:styleId="Style_51_ch" w:type="character">
    <w:name w:val="Quote"/>
    <w:basedOn w:val="Style_3_ch"/>
    <w:link w:val="Style_51"/>
    <w:rPr>
      <w:i w:val="1"/>
    </w:rPr>
  </w:style>
  <w:style w:styleId="Style_52" w:type="paragraph">
    <w:name w:val="Обычный12"/>
    <w:link w:val="Style_52_ch"/>
  </w:style>
  <w:style w:styleId="Style_52_ch" w:type="character">
    <w:name w:val="Обычный12"/>
    <w:link w:val="Style_52"/>
  </w:style>
  <w:style w:styleId="Style_53" w:type="paragraph">
    <w:name w:val="Гиперссылка3"/>
    <w:link w:val="Style_53_ch"/>
    <w:rPr>
      <w:color w:val="0000FF"/>
      <w:u w:val="single"/>
    </w:rPr>
  </w:style>
  <w:style w:styleId="Style_53_ch" w:type="character">
    <w:name w:val="Гиперссылка3"/>
    <w:link w:val="Style_53"/>
    <w:rPr>
      <w:color w:val="0000FF"/>
      <w:u w:val="single"/>
    </w:rPr>
  </w:style>
  <w:style w:styleId="Style_54" w:type="paragraph">
    <w:name w:val="toc 9"/>
    <w:next w:val="Style_3"/>
    <w:link w:val="Style_54_ch"/>
    <w:uiPriority w:val="39"/>
    <w:pPr>
      <w:ind w:left="1600"/>
    </w:pPr>
    <w:rPr>
      <w:rFonts w:ascii="XO Thames" w:hAnsi="XO Thames"/>
      <w:sz w:val="28"/>
    </w:rPr>
  </w:style>
  <w:style w:styleId="Style_54_ch" w:type="character">
    <w:name w:val="toc 9"/>
    <w:link w:val="Style_54"/>
    <w:rPr>
      <w:rFonts w:ascii="XO Thames" w:hAnsi="XO Thames"/>
      <w:sz w:val="28"/>
    </w:rPr>
  </w:style>
  <w:style w:styleId="Style_55" w:type="paragraph">
    <w:name w:val="Heading 7 Char"/>
    <w:basedOn w:val="Style_15"/>
    <w:link w:val="Style_55_ch"/>
    <w:rPr>
      <w:rFonts w:ascii="Arial" w:hAnsi="Arial"/>
      <w:b w:val="1"/>
      <w:i w:val="1"/>
    </w:rPr>
  </w:style>
  <w:style w:styleId="Style_55_ch" w:type="character">
    <w:name w:val="Heading 7 Char"/>
    <w:basedOn w:val="Style_15_ch"/>
    <w:link w:val="Style_55"/>
    <w:rPr>
      <w:rFonts w:ascii="Arial" w:hAnsi="Arial"/>
      <w:b w:val="1"/>
      <w:i w:val="1"/>
    </w:rPr>
  </w:style>
  <w:style w:styleId="Style_56" w:type="paragraph">
    <w:name w:val="Гиперссылка1"/>
    <w:link w:val="Style_56_ch"/>
    <w:rPr>
      <w:color w:val="0000FF"/>
      <w:u w:val="single"/>
    </w:rPr>
  </w:style>
  <w:style w:styleId="Style_56_ch" w:type="character">
    <w:name w:val="Гиперссылка1"/>
    <w:link w:val="Style_56"/>
    <w:rPr>
      <w:color w:val="0000FF"/>
      <w:u w:val="single"/>
    </w:rPr>
  </w:style>
  <w:style w:styleId="Style_57" w:type="paragraph">
    <w:name w:val="Heading 2 Char"/>
    <w:basedOn w:val="Style_6"/>
    <w:link w:val="Style_57_ch"/>
    <w:rPr>
      <w:rFonts w:ascii="Arial" w:hAnsi="Arial"/>
      <w:sz w:val="34"/>
    </w:rPr>
  </w:style>
  <w:style w:styleId="Style_57_ch" w:type="character">
    <w:name w:val="Heading 2 Char"/>
    <w:basedOn w:val="Style_6_ch"/>
    <w:link w:val="Style_57"/>
    <w:rPr>
      <w:rFonts w:ascii="Arial" w:hAnsi="Arial"/>
      <w:sz w:val="34"/>
    </w:rPr>
  </w:style>
  <w:style w:styleId="Style_58" w:type="paragraph">
    <w:name w:val="Знак сноски1"/>
    <w:basedOn w:val="Style_6"/>
    <w:link w:val="Style_58_ch"/>
    <w:rPr>
      <w:vertAlign w:val="superscript"/>
    </w:rPr>
  </w:style>
  <w:style w:styleId="Style_58_ch" w:type="character">
    <w:name w:val="Знак сноски1"/>
    <w:basedOn w:val="Style_6_ch"/>
    <w:link w:val="Style_58"/>
    <w:rPr>
      <w:vertAlign w:val="superscript"/>
    </w:rPr>
  </w:style>
  <w:style w:styleId="Style_59" w:type="paragraph">
    <w:name w:val="toc 8"/>
    <w:next w:val="Style_3"/>
    <w:link w:val="Style_59_ch"/>
    <w:uiPriority w:val="39"/>
    <w:pPr>
      <w:ind w:left="1400"/>
    </w:pPr>
    <w:rPr>
      <w:rFonts w:ascii="XO Thames" w:hAnsi="XO Thames"/>
      <w:sz w:val="28"/>
    </w:rPr>
  </w:style>
  <w:style w:styleId="Style_59_ch" w:type="character">
    <w:name w:val="toc 8"/>
    <w:link w:val="Style_59"/>
    <w:rPr>
      <w:rFonts w:ascii="XO Thames" w:hAnsi="XO Thames"/>
      <w:sz w:val="28"/>
    </w:rPr>
  </w:style>
  <w:style w:styleId="Style_60" w:type="paragraph">
    <w:name w:val="Quote Char"/>
    <w:link w:val="Style_60_ch"/>
    <w:rPr>
      <w:i w:val="1"/>
    </w:rPr>
  </w:style>
  <w:style w:styleId="Style_60_ch" w:type="character">
    <w:name w:val="Quote Char"/>
    <w:link w:val="Style_60"/>
    <w:rPr>
      <w:i w:val="1"/>
    </w:rPr>
  </w:style>
  <w:style w:styleId="Style_61" w:type="paragraph">
    <w:name w:val="Обычный1"/>
    <w:link w:val="Style_61_ch"/>
  </w:style>
  <w:style w:styleId="Style_61_ch" w:type="character">
    <w:name w:val="Обычный1"/>
    <w:link w:val="Style_61"/>
  </w:style>
  <w:style w:styleId="Style_15" w:type="paragraph">
    <w:name w:val="Основной шрифт абзаца1"/>
    <w:link w:val="Style_15_ch"/>
  </w:style>
  <w:style w:styleId="Style_15_ch" w:type="character">
    <w:name w:val="Основной шрифт абзаца1"/>
    <w:link w:val="Style_15"/>
  </w:style>
  <w:style w:styleId="Style_62" w:type="paragraph">
    <w:name w:val="Основной шрифт абзаца1"/>
    <w:link w:val="Style_62_ch"/>
  </w:style>
  <w:style w:styleId="Style_62_ch" w:type="character">
    <w:name w:val="Основной шрифт абзаца1"/>
    <w:link w:val="Style_62"/>
  </w:style>
  <w:style w:styleId="Style_63" w:type="paragraph">
    <w:name w:val="Header Char"/>
    <w:basedOn w:val="Style_6"/>
    <w:link w:val="Style_63_ch"/>
  </w:style>
  <w:style w:styleId="Style_63_ch" w:type="character">
    <w:name w:val="Header Char"/>
    <w:basedOn w:val="Style_6_ch"/>
    <w:link w:val="Style_63"/>
  </w:style>
  <w:style w:styleId="Style_64" w:type="paragraph">
    <w:name w:val="Гиперссылка4"/>
    <w:link w:val="Style_64_ch"/>
    <w:rPr>
      <w:color w:val="0000FF"/>
      <w:u w:val="single"/>
    </w:rPr>
  </w:style>
  <w:style w:styleId="Style_64_ch" w:type="character">
    <w:name w:val="Гиперссылка4"/>
    <w:link w:val="Style_64"/>
    <w:rPr>
      <w:color w:val="0000FF"/>
      <w:u w:val="single"/>
    </w:rPr>
  </w:style>
  <w:style w:styleId="Style_65" w:type="paragraph">
    <w:name w:val="Основной шрифт абзаца2"/>
    <w:link w:val="Style_65_ch"/>
  </w:style>
  <w:style w:styleId="Style_65_ch" w:type="character">
    <w:name w:val="Основной шрифт абзаца2"/>
    <w:link w:val="Style_65"/>
  </w:style>
  <w:style w:styleId="Style_66" w:type="paragraph">
    <w:name w:val="toc 5"/>
    <w:next w:val="Style_3"/>
    <w:link w:val="Style_66_ch"/>
    <w:uiPriority w:val="39"/>
    <w:pPr>
      <w:ind w:left="800"/>
    </w:pPr>
    <w:rPr>
      <w:rFonts w:ascii="XO Thames" w:hAnsi="XO Thames"/>
      <w:sz w:val="28"/>
    </w:rPr>
  </w:style>
  <w:style w:styleId="Style_66_ch" w:type="character">
    <w:name w:val="toc 5"/>
    <w:link w:val="Style_66"/>
    <w:rPr>
      <w:rFonts w:ascii="XO Thames" w:hAnsi="XO Thames"/>
      <w:sz w:val="28"/>
    </w:rPr>
  </w:style>
  <w:style w:styleId="Style_67" w:type="paragraph">
    <w:name w:val="Heading 5 Char"/>
    <w:basedOn w:val="Style_6"/>
    <w:link w:val="Style_67_ch"/>
    <w:rPr>
      <w:rFonts w:ascii="Arial" w:hAnsi="Arial"/>
      <w:b w:val="1"/>
      <w:sz w:val="24"/>
    </w:rPr>
  </w:style>
  <w:style w:styleId="Style_67_ch" w:type="character">
    <w:name w:val="Heading 5 Char"/>
    <w:basedOn w:val="Style_6_ch"/>
    <w:link w:val="Style_67"/>
    <w:rPr>
      <w:rFonts w:ascii="Arial" w:hAnsi="Arial"/>
      <w:b w:val="1"/>
      <w:sz w:val="24"/>
    </w:rPr>
  </w:style>
  <w:style w:styleId="Style_68" w:type="paragraph">
    <w:name w:val="Основной шрифт абзаца1"/>
    <w:link w:val="Style_68_ch"/>
  </w:style>
  <w:style w:styleId="Style_68_ch" w:type="character">
    <w:name w:val="Основной шрифт абзаца1"/>
    <w:link w:val="Style_68"/>
  </w:style>
  <w:style w:styleId="Style_69" w:type="paragraph">
    <w:name w:val="Balloon Text"/>
    <w:basedOn w:val="Style_3"/>
    <w:link w:val="Style_69_ch"/>
    <w:pPr>
      <w:spacing w:after="0" w:line="240" w:lineRule="auto"/>
      <w:ind/>
    </w:pPr>
    <w:rPr>
      <w:rFonts w:ascii="Segoe UI" w:hAnsi="Segoe UI"/>
      <w:sz w:val="18"/>
    </w:rPr>
  </w:style>
  <w:style w:styleId="Style_69_ch" w:type="character">
    <w:name w:val="Balloon Text"/>
    <w:basedOn w:val="Style_3_ch"/>
    <w:link w:val="Style_69"/>
    <w:rPr>
      <w:rFonts w:ascii="Segoe UI" w:hAnsi="Segoe UI"/>
      <w:sz w:val="18"/>
    </w:rPr>
  </w:style>
  <w:style w:styleId="Style_70" w:type="paragraph">
    <w:name w:val="Основной шрифт абзаца3"/>
    <w:link w:val="Style_70_ch"/>
  </w:style>
  <w:style w:styleId="Style_70_ch" w:type="character">
    <w:name w:val="Основной шрифт абзаца3"/>
    <w:link w:val="Style_70"/>
  </w:style>
  <w:style w:styleId="Style_71" w:type="paragraph">
    <w:name w:val="Subtitle"/>
    <w:next w:val="Style_3"/>
    <w:link w:val="Style_71_ch"/>
    <w:uiPriority w:val="11"/>
    <w:qFormat/>
    <w:pPr>
      <w:ind/>
      <w:jc w:val="both"/>
    </w:pPr>
    <w:rPr>
      <w:rFonts w:ascii="XO Thames" w:hAnsi="XO Thames"/>
      <w:i w:val="1"/>
      <w:sz w:val="24"/>
    </w:rPr>
  </w:style>
  <w:style w:styleId="Style_71_ch" w:type="character">
    <w:name w:val="Subtitle"/>
    <w:link w:val="Style_71"/>
    <w:rPr>
      <w:rFonts w:ascii="XO Thames" w:hAnsi="XO Thames"/>
      <w:i w:val="1"/>
      <w:sz w:val="24"/>
    </w:rPr>
  </w:style>
  <w:style w:styleId="Style_72" w:type="paragraph">
    <w:name w:val="Title"/>
    <w:next w:val="Style_3"/>
    <w:link w:val="Style_72_ch"/>
    <w:uiPriority w:val="10"/>
    <w:qFormat/>
    <w:pPr>
      <w:spacing w:after="567" w:before="567"/>
      <w:ind/>
      <w:jc w:val="center"/>
    </w:pPr>
    <w:rPr>
      <w:rFonts w:ascii="XO Thames" w:hAnsi="XO Thames"/>
      <w:b w:val="1"/>
      <w:caps w:val="1"/>
      <w:sz w:val="40"/>
    </w:rPr>
  </w:style>
  <w:style w:styleId="Style_72_ch" w:type="character">
    <w:name w:val="Title"/>
    <w:link w:val="Style_72"/>
    <w:rPr>
      <w:rFonts w:ascii="XO Thames" w:hAnsi="XO Thames"/>
      <w:b w:val="1"/>
      <w:caps w:val="1"/>
      <w:sz w:val="40"/>
    </w:rPr>
  </w:style>
  <w:style w:styleId="Style_73" w:type="paragraph">
    <w:name w:val="heading 4"/>
    <w:next w:val="Style_3"/>
    <w:link w:val="Style_73_ch"/>
    <w:uiPriority w:val="9"/>
    <w:qFormat/>
    <w:pPr>
      <w:spacing w:after="120" w:before="120"/>
      <w:ind/>
      <w:jc w:val="both"/>
      <w:outlineLvl w:val="3"/>
    </w:pPr>
    <w:rPr>
      <w:rFonts w:ascii="XO Thames" w:hAnsi="XO Thames"/>
      <w:b w:val="1"/>
      <w:sz w:val="24"/>
    </w:rPr>
  </w:style>
  <w:style w:styleId="Style_73_ch" w:type="character">
    <w:name w:val="heading 4"/>
    <w:link w:val="Style_73"/>
    <w:rPr>
      <w:rFonts w:ascii="XO Thames" w:hAnsi="XO Thames"/>
      <w:b w:val="1"/>
      <w:sz w:val="24"/>
    </w:rPr>
  </w:style>
  <w:style w:styleId="Style_74" w:type="paragraph">
    <w:name w:val="Обычный1"/>
    <w:link w:val="Style_74_ch"/>
  </w:style>
  <w:style w:styleId="Style_74_ch" w:type="character">
    <w:name w:val="Обычный1"/>
    <w:link w:val="Style_74"/>
  </w:style>
  <w:style w:styleId="Style_75" w:type="paragraph">
    <w:name w:val="No Spacing"/>
    <w:link w:val="Style_75_ch"/>
    <w:pPr>
      <w:spacing w:after="0" w:line="240" w:lineRule="auto"/>
      <w:ind/>
    </w:pPr>
  </w:style>
  <w:style w:styleId="Style_75_ch" w:type="character">
    <w:name w:val="No Spacing"/>
    <w:link w:val="Style_75"/>
  </w:style>
  <w:style w:styleId="Style_76" w:type="paragraph">
    <w:name w:val="Обычный1"/>
    <w:link w:val="Style_76_ch"/>
  </w:style>
  <w:style w:styleId="Style_76_ch" w:type="character">
    <w:name w:val="Обычный1"/>
    <w:link w:val="Style_76"/>
  </w:style>
  <w:style w:styleId="Style_77" w:type="paragraph">
    <w:name w:val="heading 2"/>
    <w:next w:val="Style_3"/>
    <w:link w:val="Style_77_ch"/>
    <w:uiPriority w:val="9"/>
    <w:qFormat/>
    <w:pPr>
      <w:spacing w:after="120" w:before="120"/>
      <w:ind/>
      <w:jc w:val="both"/>
      <w:outlineLvl w:val="1"/>
    </w:pPr>
    <w:rPr>
      <w:rFonts w:ascii="XO Thames" w:hAnsi="XO Thames"/>
      <w:b w:val="1"/>
      <w:sz w:val="28"/>
    </w:rPr>
  </w:style>
  <w:style w:styleId="Style_77_ch" w:type="character">
    <w:name w:val="heading 2"/>
    <w:link w:val="Style_77"/>
    <w:rPr>
      <w:rFonts w:ascii="XO Thames" w:hAnsi="XO Thames"/>
      <w:b w:val="1"/>
      <w:sz w:val="28"/>
    </w:rPr>
  </w:style>
  <w:style w:styleId="Style_78" w:type="paragraph">
    <w:name w:val="Footnote"/>
    <w:basedOn w:val="Style_3"/>
    <w:link w:val="Style_78_ch"/>
    <w:pPr>
      <w:spacing w:after="40" w:line="240" w:lineRule="auto"/>
      <w:ind/>
    </w:pPr>
    <w:rPr>
      <w:sz w:val="18"/>
    </w:rPr>
  </w:style>
  <w:style w:styleId="Style_78_ch" w:type="character">
    <w:name w:val="Footnote"/>
    <w:basedOn w:val="Style_3_ch"/>
    <w:link w:val="Style_78"/>
    <w:rPr>
      <w:sz w:val="18"/>
    </w:rPr>
  </w:style>
  <w:style w:styleId="Style_79" w:type="paragraph">
    <w:name w:val="Intense Quote Char"/>
    <w:link w:val="Style_79_ch"/>
    <w:rPr>
      <w:i w:val="1"/>
    </w:rPr>
  </w:style>
  <w:style w:styleId="Style_79_ch" w:type="character">
    <w:name w:val="Intense Quote Char"/>
    <w:link w:val="Style_79"/>
    <w:rPr>
      <w:i w:val="1"/>
    </w:rPr>
  </w:style>
  <w:style w:styleId="Style_6" w:type="paragraph">
    <w:name w:val="Основной шрифт абзаца2"/>
    <w:link w:val="Style_6_ch"/>
  </w:style>
  <w:style w:styleId="Style_6_ch" w:type="character">
    <w:name w:val="Основной шрифт абзаца2"/>
    <w:link w:val="Style_6"/>
  </w:style>
  <w:style w:styleId="Style_80" w:type="paragraph">
    <w:name w:val="Гиперссылка1"/>
    <w:basedOn w:val="Style_62"/>
    <w:link w:val="Style_80_ch"/>
    <w:rPr>
      <w:color w:themeColor="hyperlink" w:val="0563C1"/>
      <w:u w:val="single"/>
    </w:rPr>
  </w:style>
  <w:style w:styleId="Style_80_ch" w:type="character">
    <w:name w:val="Гиперссылка1"/>
    <w:basedOn w:val="Style_62_ch"/>
    <w:link w:val="Style_80"/>
    <w:rPr>
      <w:color w:themeColor="hyperlink" w:val="0563C1"/>
      <w:u w:val="single"/>
    </w:rPr>
  </w:style>
  <w:style w:styleId="Style_81" w:type="paragraph">
    <w:name w:val="heading 6"/>
    <w:basedOn w:val="Style_3"/>
    <w:next w:val="Style_3"/>
    <w:link w:val="Style_81_ch"/>
    <w:uiPriority w:val="9"/>
    <w:qFormat/>
    <w:pPr>
      <w:keepNext w:val="1"/>
      <w:keepLines w:val="1"/>
      <w:spacing w:after="200" w:before="320"/>
      <w:ind/>
      <w:outlineLvl w:val="5"/>
    </w:pPr>
    <w:rPr>
      <w:rFonts w:ascii="Arial" w:hAnsi="Arial"/>
      <w:b w:val="1"/>
    </w:rPr>
  </w:style>
  <w:style w:styleId="Style_81_ch" w:type="character">
    <w:name w:val="heading 6"/>
    <w:basedOn w:val="Style_3_ch"/>
    <w:link w:val="Style_81"/>
    <w:rPr>
      <w:rFonts w:ascii="Arial" w:hAnsi="Arial"/>
      <w:b w:val="1"/>
    </w:rPr>
  </w:style>
  <w:style w:styleId="Style_82" w:type="table">
    <w:name w:val="List Table 4 - Accent 5"/>
    <w:basedOn w:val="Style_2"/>
    <w:pPr>
      <w:spacing w:after="0" w:line="240" w:lineRule="auto"/>
      <w:ind/>
    </w:pPr>
    <w:tblPr>
      <w:tblBorders>
        <w:top w:sz="4" w:themeColor="accent5" w:themeTint="90" w:val="single"/>
        <w:left w:sz="4" w:themeColor="accent5" w:themeTint="90" w:val="single"/>
        <w:bottom w:sz="4" w:themeColor="accent5" w:themeTint="90" w:val="single"/>
        <w:right w:sz="4" w:themeColor="accent5" w:themeTint="90" w:val="single"/>
        <w:insideH w:sz="4" w:themeColor="accent5" w:themeTint="90" w:val="single"/>
      </w:tblBorders>
    </w:tblPr>
  </w:style>
  <w:style w:styleId="Style_83" w:type="table">
    <w:name w:val="Lined - Accent 6"/>
    <w:basedOn w:val="Style_2"/>
    <w:pPr>
      <w:spacing w:after="0" w:line="240" w:lineRule="auto"/>
      <w:ind/>
    </w:pPr>
    <w:rPr>
      <w:color w:val="404040"/>
    </w:rPr>
  </w:style>
  <w:style w:styleId="Style_84" w:type="table">
    <w:name w:val="Lined - Accent 2"/>
    <w:basedOn w:val="Style_2"/>
    <w:pPr>
      <w:spacing w:after="0" w:line="240" w:lineRule="auto"/>
      <w:ind/>
    </w:pPr>
    <w:rPr>
      <w:color w:val="404040"/>
    </w:rPr>
  </w:style>
  <w:style w:styleId="Style_85" w:type="table">
    <w:name w:val="Grid Table 6 Colorful"/>
    <w:basedOn w:val="Style_2"/>
    <w:pPr>
      <w:spacing w:after="0" w:line="240" w:lineRule="auto"/>
      <w:ind/>
    </w:pPr>
    <w:tblPr>
      <w:tblBorders>
        <w:top w:sz="4" w:themeColor="text1" w:themeTint="80" w:val="single"/>
        <w:left w:sz="4" w:themeColor="text1" w:themeTint="80" w:val="single"/>
        <w:bottom w:sz="4" w:themeColor="text1" w:themeTint="80" w:val="single"/>
        <w:right w:sz="4" w:themeColor="text1" w:themeTint="80" w:val="single"/>
        <w:insideH w:sz="4" w:themeColor="text1" w:themeTint="80" w:val="single"/>
        <w:insideV w:sz="4" w:themeColor="text1" w:themeTint="80" w:val="single"/>
      </w:tblBorders>
    </w:tblPr>
  </w:style>
  <w:style w:styleId="Style_86" w:type="table">
    <w:name w:val="Grid Table 7 Colorful - Accent 1"/>
    <w:basedOn w:val="Style_2"/>
    <w:pPr>
      <w:spacing w:after="0" w:line="240" w:lineRule="auto"/>
      <w:ind/>
    </w:pPr>
    <w:tblPr>
      <w:tblBorders>
        <w:bottom w:sz="4" w:themeColor="accent1" w:themeTint="80" w:val="single"/>
        <w:right w:sz="4" w:themeColor="accent1" w:themeTint="80" w:val="single"/>
        <w:insideH w:sz="4" w:themeColor="accent1" w:themeTint="80" w:val="single"/>
        <w:insideV w:sz="4" w:themeColor="accent1" w:themeTint="80" w:val="single"/>
      </w:tblBorders>
    </w:tblPr>
  </w:style>
  <w:style w:styleId="Style_87" w:type="table">
    <w:name w:val="Bordered - Accent 5"/>
    <w:basedOn w:val="Style_2"/>
    <w:pPr>
      <w:spacing w:after="0" w:line="240" w:lineRule="auto"/>
      <w:ind/>
    </w:pPr>
    <w:tblPr>
      <w:tblBorders>
        <w:top w:sz="4" w:themeColor="accent5" w:themeTint="67" w:val="single"/>
        <w:left w:sz="4" w:themeColor="accent5" w:themeTint="67" w:val="single"/>
        <w:bottom w:sz="4" w:themeColor="accent5" w:themeTint="67" w:val="single"/>
        <w:right w:sz="4" w:themeColor="accent5" w:themeTint="67" w:val="single"/>
        <w:insideH w:sz="4" w:themeColor="accent5" w:themeTint="67" w:val="single"/>
        <w:insideV w:sz="4" w:themeColor="accent5" w:themeTint="67" w:val="single"/>
      </w:tblBorders>
    </w:tblPr>
  </w:style>
  <w:style w:styleId="Style_88" w:type="table">
    <w:name w:val="List Table 7 Colorful - Accent 4"/>
    <w:basedOn w:val="Style_2"/>
    <w:pPr>
      <w:spacing w:after="0" w:line="240" w:lineRule="auto"/>
      <w:ind/>
    </w:pPr>
    <w:tblPr>
      <w:tblBorders>
        <w:right w:sz="4" w:themeColor="accent4" w:themeTint="9A" w:val="single"/>
      </w:tblBorders>
    </w:tblPr>
  </w:style>
  <w:style w:styleId="Style_89" w:type="table">
    <w:name w:val="List Table 2"/>
    <w:basedOn w:val="Style_2"/>
    <w:pPr>
      <w:spacing w:after="0" w:line="240" w:lineRule="auto"/>
      <w:ind/>
    </w:pPr>
    <w:tblPr>
      <w:tblBorders>
        <w:top w:sz="4" w:themeColor="text1" w:themeTint="90" w:val="single"/>
        <w:bottom w:sz="4" w:themeColor="text1" w:themeTint="90" w:val="single"/>
        <w:insideH w:sz="4" w:themeColor="text1" w:themeTint="90" w:val="single"/>
      </w:tblBorders>
    </w:tblPr>
  </w:style>
  <w:style w:styleId="Style_90" w:type="table">
    <w:name w:val="Grid Table 6 Colorful - Accent 3"/>
    <w:basedOn w:val="Style_2"/>
    <w:pPr>
      <w:spacing w:after="0" w:line="240" w:lineRule="auto"/>
      <w:ind/>
    </w:pPr>
    <w:tblPr>
      <w:tblBorders>
        <w:top w:sz="4" w:themeColor="accent3" w:themeTint="FE" w:val="single"/>
        <w:left w:sz="4" w:themeColor="accent3" w:themeTint="FE" w:val="single"/>
        <w:bottom w:sz="4" w:themeColor="accent3" w:themeTint="FE" w:val="single"/>
        <w:right w:sz="4" w:themeColor="accent3" w:themeTint="FE" w:val="single"/>
        <w:insideH w:sz="4" w:themeColor="accent3" w:themeTint="FE" w:val="single"/>
        <w:insideV w:sz="4" w:themeColor="accent3" w:themeTint="FE" w:val="single"/>
      </w:tblBorders>
    </w:tblPr>
  </w:style>
  <w:style w:styleId="Style_91" w:type="table">
    <w:name w:val="List Table 6 Colorful"/>
    <w:basedOn w:val="Style_2"/>
    <w:pPr>
      <w:spacing w:after="0" w:line="240" w:lineRule="auto"/>
      <w:ind/>
    </w:pPr>
    <w:tblPr>
      <w:tblBorders>
        <w:top w:sz="4" w:themeColor="text1" w:themeTint="80" w:val="single"/>
        <w:bottom w:sz="4" w:themeColor="text1" w:themeTint="80" w:val="single"/>
      </w:tblBorders>
    </w:tblPr>
  </w:style>
  <w:style w:styleId="Style_92" w:type="table">
    <w:name w:val="List Table 4 - Accent 3"/>
    <w:basedOn w:val="Style_2"/>
    <w:pPr>
      <w:spacing w:after="0" w:line="240" w:lineRule="auto"/>
      <w:ind/>
    </w:pPr>
    <w:tblPr>
      <w:tblBorders>
        <w:top w:sz="4" w:themeColor="accent3" w:themeTint="90" w:val="single"/>
        <w:left w:sz="4" w:themeColor="accent3" w:themeTint="90" w:val="single"/>
        <w:bottom w:sz="4" w:themeColor="accent3" w:themeTint="90" w:val="single"/>
        <w:right w:sz="4" w:themeColor="accent3" w:themeTint="90" w:val="single"/>
        <w:insideH w:sz="4" w:themeColor="accent3" w:themeTint="90" w:val="single"/>
      </w:tblBorders>
    </w:tblPr>
  </w:style>
  <w:style w:styleId="Style_93" w:type="table">
    <w:name w:val="Grid Table 6 Colorful - Accent 6"/>
    <w:basedOn w:val="Style_2"/>
    <w:pPr>
      <w:spacing w:after="0" w:line="240" w:lineRule="auto"/>
      <w:ind/>
    </w:pPr>
    <w:tblPr>
      <w:tblBorders>
        <w:top w:sz="4" w:themeColor="accent6" w:val="single"/>
        <w:left w:sz="4" w:themeColor="accent6" w:val="single"/>
        <w:bottom w:sz="4" w:themeColor="accent6" w:val="single"/>
        <w:right w:sz="4" w:themeColor="accent6" w:val="single"/>
        <w:insideH w:sz="4" w:themeColor="accent6" w:val="single"/>
        <w:insideV w:sz="4" w:themeColor="accent6" w:val="single"/>
      </w:tblBorders>
    </w:tblPr>
  </w:style>
  <w:style w:styleId="Style_94" w:type="table">
    <w:name w:val="List Table 6 Colorful - Accent 1"/>
    <w:basedOn w:val="Style_2"/>
    <w:pPr>
      <w:spacing w:after="0" w:line="240" w:lineRule="auto"/>
      <w:ind/>
    </w:pPr>
    <w:tblPr>
      <w:tblBorders>
        <w:top w:sz="4" w:themeColor="accent1" w:val="single"/>
        <w:bottom w:sz="4" w:themeColor="accent1" w:val="single"/>
      </w:tblBorders>
    </w:tblPr>
  </w:style>
  <w:style w:styleId="Style_95" w:type="table">
    <w:name w:val="Bordered &amp; Lined - Accent 3"/>
    <w:basedOn w:val="Style_2"/>
    <w:pPr>
      <w:spacing w:after="0" w:line="240" w:lineRule="auto"/>
      <w:ind/>
    </w:pPr>
    <w:rPr>
      <w:color w:val="404040"/>
    </w:rPr>
    <w:tblPr>
      <w:tblBorders>
        <w:top w:sz="4" w:themeColor="accent3" w:themeShade="95" w:val="single"/>
        <w:left w:sz="4" w:themeColor="accent3" w:themeShade="95" w:val="single"/>
        <w:bottom w:sz="4" w:themeColor="accent3" w:themeShade="95" w:val="single"/>
        <w:right w:sz="4" w:themeColor="accent3" w:themeShade="95" w:val="single"/>
        <w:insideH w:sz="4" w:themeColor="accent3" w:themeShade="95" w:val="single"/>
        <w:insideV w:sz="4" w:themeColor="accent3" w:themeShade="95" w:val="single"/>
      </w:tblBorders>
    </w:tblPr>
  </w:style>
  <w:style w:styleId="Style_96" w:type="table">
    <w:name w:val="List Table 2 - Accent 6"/>
    <w:basedOn w:val="Style_2"/>
    <w:pPr>
      <w:spacing w:after="0" w:line="240" w:lineRule="auto"/>
      <w:ind/>
    </w:pPr>
    <w:tblPr>
      <w:tblBorders>
        <w:top w:sz="4" w:themeColor="accent6" w:themeTint="90" w:val="single"/>
        <w:bottom w:sz="4" w:themeColor="accent6" w:themeTint="90" w:val="single"/>
        <w:insideH w:sz="4" w:themeColor="accent6" w:themeTint="90" w:val="single"/>
      </w:tblBorders>
    </w:tblPr>
  </w:style>
  <w:style w:styleId="Style_97" w:type="table">
    <w:name w:val="Table Grid Light"/>
    <w:basedOn w:val="Style_2"/>
    <w:pPr>
      <w:spacing w:after="0" w:line="240" w:lineRule="auto"/>
      <w:ind/>
    </w:pPr>
    <w:tblPr>
      <w:tblBorders>
        <w:top w:sz="4" w:themeColor="text1" w:themeTint="50" w:val="single"/>
        <w:left w:sz="4" w:themeColor="text1" w:themeTint="50" w:val="single"/>
        <w:bottom w:sz="4" w:themeColor="text1" w:themeTint="50" w:val="single"/>
        <w:right w:sz="4" w:themeColor="text1" w:themeTint="50" w:val="single"/>
        <w:insideH w:sz="4" w:themeColor="text1" w:themeTint="50" w:val="single"/>
        <w:insideV w:sz="4" w:themeColor="text1" w:themeTint="50" w:val="single"/>
      </w:tblBorders>
    </w:tblPr>
  </w:style>
  <w:style w:styleId="Style_98" w:type="table">
    <w:name w:val="Grid Table 5 Dark - Accent 3"/>
    <w:basedOn w:val="Style_2"/>
    <w:pPr>
      <w:spacing w:after="0" w:line="240" w:lineRule="auto"/>
      <w:ind/>
    </w:pPr>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99" w:type="table">
    <w:name w:val="Сетка таблицы1"/>
    <w:basedOn w:val="Style_2"/>
    <w:pPr>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0" w:type="table">
    <w:name w:val="List Table 2 - Accent 4"/>
    <w:basedOn w:val="Style_2"/>
    <w:pPr>
      <w:spacing w:after="0" w:line="240" w:lineRule="auto"/>
      <w:ind/>
    </w:pPr>
    <w:tblPr>
      <w:tblBorders>
        <w:top w:sz="4" w:themeColor="accent4" w:themeTint="90" w:val="single"/>
        <w:bottom w:sz="4" w:themeColor="accent4" w:themeTint="90" w:val="single"/>
        <w:insideH w:sz="4" w:themeColor="accent4" w:themeTint="90" w:val="single"/>
      </w:tblBorders>
    </w:tblPr>
  </w:style>
  <w:style w:styleId="Style_101" w:type="table">
    <w:name w:val="Grid Table 1 Light"/>
    <w:basedOn w:val="Style_2"/>
    <w:pPr>
      <w:spacing w:after="0" w:line="240" w:lineRule="auto"/>
      <w:ind/>
    </w:pPr>
    <w:tblPr>
      <w:tblBorders>
        <w:top w:sz="4" w:themeColor="text1" w:themeTint="67" w:val="single"/>
        <w:left w:sz="4" w:themeColor="text1" w:themeTint="67" w:val="single"/>
        <w:bottom w:sz="4" w:themeColor="text1" w:themeTint="67" w:val="single"/>
        <w:right w:sz="4" w:themeColor="text1" w:themeTint="67" w:val="single"/>
        <w:insideH w:sz="4" w:themeColor="text1" w:themeTint="67" w:val="single"/>
        <w:insideV w:sz="4" w:themeColor="text1" w:themeTint="67" w:val="single"/>
      </w:tblBorders>
    </w:tblPr>
  </w:style>
  <w:style w:styleId="Style_102" w:type="table">
    <w:name w:val="Grid Table 3 - Accent 3"/>
    <w:basedOn w:val="Style_2"/>
    <w:pPr>
      <w:spacing w:after="0" w:line="240" w:lineRule="auto"/>
      <w:ind/>
    </w:pPr>
    <w:tblPr>
      <w:tblBorders>
        <w:bottom w:sz="4" w:themeColor="accent3" w:themeTint="FE" w:val="single"/>
        <w:insideH w:sz="4" w:themeColor="accent3" w:themeTint="FE" w:val="single"/>
        <w:insideV w:sz="4" w:themeColor="accent3" w:themeTint="FE" w:val="single"/>
      </w:tblBorders>
    </w:tblPr>
  </w:style>
  <w:style w:styleId="Style_103" w:type="table">
    <w:name w:val="List Table 7 Colorful - Accent 3"/>
    <w:basedOn w:val="Style_2"/>
    <w:pPr>
      <w:spacing w:after="0" w:line="240" w:lineRule="auto"/>
      <w:ind/>
    </w:pPr>
    <w:tblPr>
      <w:tblBorders>
        <w:right w:sz="4" w:themeColor="accent3" w:themeTint="98" w:val="single"/>
      </w:tblBorders>
    </w:tblPr>
  </w:style>
  <w:style w:styleId="Style_104" w:type="table">
    <w:name w:val="Table Grid"/>
    <w:basedOn w:val="Style_2"/>
    <w:pPr>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5" w:type="table">
    <w:name w:val="List Table 1 Light - Accent 5"/>
    <w:basedOn w:val="Style_2"/>
    <w:pPr>
      <w:spacing w:after="0" w:line="240" w:lineRule="auto"/>
      <w:ind/>
    </w:pPr>
  </w:style>
  <w:style w:styleId="Style_106" w:type="table">
    <w:name w:val="List Table 4 - Accent 4"/>
    <w:basedOn w:val="Style_2"/>
    <w:pPr>
      <w:spacing w:after="0" w:line="240" w:lineRule="auto"/>
      <w:ind/>
    </w:pPr>
    <w:tblPr>
      <w:tblBorders>
        <w:top w:sz="4" w:themeColor="accent4" w:themeTint="90" w:val="single"/>
        <w:left w:sz="4" w:themeColor="accent4" w:themeTint="90" w:val="single"/>
        <w:bottom w:sz="4" w:themeColor="accent4" w:themeTint="90" w:val="single"/>
        <w:right w:sz="4" w:themeColor="accent4" w:themeTint="90" w:val="single"/>
        <w:insideH w:sz="4" w:themeColor="accent4" w:themeTint="90" w:val="single"/>
      </w:tblBorders>
    </w:tblPr>
  </w:style>
  <w:style w:styleId="Style_107" w:type="table">
    <w:name w:val="List Table 5 Dark - Accent 5"/>
    <w:basedOn w:val="Style_2"/>
    <w:pPr>
      <w:spacing w:after="0" w:line="240" w:lineRule="auto"/>
      <w:ind/>
    </w:pPr>
    <w:tblPr>
      <w:tblBorders>
        <w:top w:sz="32" w:themeColor="accent5" w:themeTint="9A" w:val="single"/>
        <w:left w:sz="32" w:themeColor="accent5" w:themeTint="9A" w:val="single"/>
        <w:bottom w:sz="32" w:themeColor="accent5" w:themeTint="9A" w:val="single"/>
        <w:right w:sz="32" w:themeColor="accent5" w:themeTint="9A" w:val="single"/>
      </w:tblBorders>
    </w:tblPr>
  </w:style>
  <w:style w:styleId="Style_108" w:type="table">
    <w:name w:val="List Table 3 - Accent 2"/>
    <w:basedOn w:val="Style_2"/>
    <w:pPr>
      <w:spacing w:after="0" w:line="240" w:lineRule="auto"/>
      <w:ind/>
    </w:pPr>
    <w:tblPr>
      <w:tblBorders>
        <w:top w:sz="4" w:themeColor="accent2" w:themeTint="97" w:val="single"/>
        <w:left w:sz="4" w:themeColor="accent2" w:themeTint="97" w:val="single"/>
        <w:bottom w:sz="4" w:themeColor="accent2" w:themeTint="97" w:val="single"/>
        <w:right w:sz="4" w:themeColor="accent2" w:themeTint="97" w:val="single"/>
      </w:tblBorders>
    </w:tblPr>
  </w:style>
  <w:style w:styleId="Style_109" w:type="table">
    <w:name w:val="Grid Table 6 Colorful - Accent 1"/>
    <w:basedOn w:val="Style_2"/>
    <w:pPr>
      <w:spacing w:after="0" w:line="240" w:lineRule="auto"/>
      <w:ind/>
    </w:pPr>
    <w:tblPr>
      <w:tblBorders>
        <w:top w:sz="4" w:themeColor="accent1" w:themeTint="80" w:val="single"/>
        <w:left w:sz="4" w:themeColor="accent1" w:themeTint="80" w:val="single"/>
        <w:bottom w:sz="4" w:themeColor="accent1" w:themeTint="80" w:val="single"/>
        <w:right w:sz="4" w:themeColor="accent1" w:themeTint="80" w:val="single"/>
        <w:insideH w:sz="4" w:themeColor="accent1" w:themeTint="80" w:val="single"/>
        <w:insideV w:sz="4" w:themeColor="accent1" w:themeTint="80" w:val="single"/>
      </w:tblBorders>
    </w:tblPr>
  </w:style>
  <w:style w:styleId="Style_110" w:type="table">
    <w:name w:val="Сетка таблицы2"/>
    <w:basedOn w:val="Style_2"/>
    <w:pPr>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1" w:type="table">
    <w:name w:val="Grid Table 5 Dark - Accent 6"/>
    <w:basedOn w:val="Style_2"/>
    <w:pPr>
      <w:spacing w:after="0" w:line="240" w:lineRule="auto"/>
      <w:ind/>
    </w:pPr>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12" w:type="table">
    <w:name w:val="List Table 4 - Accent 2"/>
    <w:basedOn w:val="Style_2"/>
    <w:pPr>
      <w:spacing w:after="0" w:line="240" w:lineRule="auto"/>
      <w:ind/>
    </w:pPr>
    <w:tblPr>
      <w:tblBorders>
        <w:top w:sz="4" w:themeColor="accent2" w:themeTint="90" w:val="single"/>
        <w:left w:sz="4" w:themeColor="accent2" w:themeTint="90" w:val="single"/>
        <w:bottom w:sz="4" w:themeColor="accent2" w:themeTint="90" w:val="single"/>
        <w:right w:sz="4" w:themeColor="accent2" w:themeTint="90" w:val="single"/>
        <w:insideH w:sz="4" w:themeColor="accent2" w:themeTint="90" w:val="single"/>
      </w:tblBorders>
    </w:tblPr>
  </w:style>
  <w:style w:styleId="Style_113" w:type="table">
    <w:name w:val="Grid Table 4"/>
    <w:basedOn w:val="Style_2"/>
    <w:pPr>
      <w:spacing w:after="0" w:line="240" w:lineRule="auto"/>
      <w:ind/>
    </w:pPr>
    <w:tblPr>
      <w:tblBorders>
        <w:top w:sz="4" w:themeColor="text1" w:themeTint="90" w:val="single"/>
        <w:left w:sz="4" w:themeColor="text1" w:themeTint="90" w:val="single"/>
        <w:bottom w:sz="4" w:themeColor="text1" w:themeTint="90" w:val="single"/>
        <w:right w:sz="4" w:themeColor="text1" w:themeTint="90" w:val="single"/>
        <w:insideH w:sz="4" w:themeColor="text1" w:themeTint="90" w:val="single"/>
        <w:insideV w:sz="4" w:themeColor="text1" w:themeTint="90" w:val="single"/>
      </w:tblBorders>
    </w:tblPr>
  </w:style>
  <w:style w:styleId="Style_114" w:type="table">
    <w:name w:val="Bordered"/>
    <w:basedOn w:val="Style_2"/>
    <w:pPr>
      <w:spacing w:after="0" w:line="240" w:lineRule="auto"/>
      <w:ind/>
    </w:pPr>
    <w:tblPr>
      <w:tblBorders>
        <w:top w:sz="4" w:themeColor="text1" w:themeTint="26" w:val="single"/>
        <w:left w:sz="4" w:themeColor="text1" w:themeTint="26" w:val="single"/>
        <w:bottom w:sz="4" w:themeColor="text1" w:themeTint="26" w:val="single"/>
        <w:right w:sz="4" w:themeColor="text1" w:themeTint="26" w:val="single"/>
        <w:insideH w:sz="4" w:themeColor="text1" w:themeTint="26" w:val="single"/>
        <w:insideV w:sz="4" w:themeColor="text1" w:themeTint="26" w:val="single"/>
      </w:tblBorders>
    </w:tblPr>
  </w:style>
  <w:style w:styleId="Style_115" w:type="table">
    <w:name w:val="List Table 5 Dark - Accent 3"/>
    <w:basedOn w:val="Style_2"/>
    <w:pPr>
      <w:spacing w:after="0" w:line="240" w:lineRule="auto"/>
      <w:ind/>
    </w:pPr>
    <w:tblPr>
      <w:tblBorders>
        <w:top w:sz="32" w:themeColor="accent3" w:themeTint="98" w:val="single"/>
        <w:left w:sz="32" w:themeColor="accent3" w:themeTint="98" w:val="single"/>
        <w:bottom w:sz="32" w:themeColor="accent3" w:themeTint="98" w:val="single"/>
        <w:right w:sz="32" w:themeColor="accent3" w:themeTint="98" w:val="single"/>
      </w:tblBorders>
    </w:tblPr>
  </w:style>
  <w:style w:styleId="Style_116" w:type="table">
    <w:name w:val="Grid Table 1 Light - Accent 1"/>
    <w:basedOn w:val="Style_2"/>
    <w:pPr>
      <w:spacing w:after="0" w:line="240" w:lineRule="auto"/>
      <w:ind/>
    </w:pPr>
    <w:tblPr>
      <w:tblBorders>
        <w:top w:sz="4" w:themeColor="accent1" w:themeTint="67" w:val="single"/>
        <w:left w:sz="4" w:themeColor="accent1" w:themeTint="67" w:val="single"/>
        <w:bottom w:sz="4" w:themeColor="accent1" w:themeTint="67" w:val="single"/>
        <w:right w:sz="4" w:themeColor="accent1" w:themeTint="67" w:val="single"/>
        <w:insideH w:sz="4" w:themeColor="accent1" w:themeTint="67" w:val="single"/>
        <w:insideV w:sz="4" w:themeColor="accent1" w:themeTint="67" w:val="single"/>
      </w:tblBorders>
    </w:tblPr>
  </w:style>
  <w:style w:styleId="Style_117" w:type="table">
    <w:name w:val="List Table 5 Dark - Accent 6"/>
    <w:basedOn w:val="Style_2"/>
    <w:pPr>
      <w:spacing w:after="0" w:line="240" w:lineRule="auto"/>
      <w:ind/>
    </w:pPr>
    <w:tblPr>
      <w:tblBorders>
        <w:top w:sz="32" w:themeColor="accent6" w:themeTint="98" w:val="single"/>
        <w:left w:sz="32" w:themeColor="accent6" w:themeTint="98" w:val="single"/>
        <w:bottom w:sz="32" w:themeColor="accent6" w:themeTint="98" w:val="single"/>
        <w:right w:sz="32" w:themeColor="accent6" w:themeTint="98" w:val="single"/>
      </w:tblBorders>
    </w:tblPr>
  </w:style>
  <w:style w:styleId="Style_118" w:type="table">
    <w:name w:val="Grid Table 7 Colorful - Accent 3"/>
    <w:basedOn w:val="Style_2"/>
    <w:pPr>
      <w:spacing w:after="0" w:line="240" w:lineRule="auto"/>
      <w:ind/>
    </w:pPr>
    <w:tblPr>
      <w:tblBorders>
        <w:bottom w:sz="4" w:themeColor="accent3" w:themeTint="FE" w:val="single"/>
        <w:right w:sz="4" w:themeColor="accent3" w:themeTint="FE" w:val="single"/>
        <w:insideH w:sz="4" w:themeColor="accent3" w:themeTint="FE" w:val="single"/>
        <w:insideV w:sz="4" w:themeColor="accent3" w:themeTint="FE" w:val="single"/>
      </w:tblBorders>
    </w:tblPr>
  </w:style>
  <w:style w:styleId="Style_119" w:type="table">
    <w:name w:val="Grid Table 6 Colorful - Accent 2"/>
    <w:basedOn w:val="Style_2"/>
    <w:pPr>
      <w:spacing w:after="0" w:line="240" w:lineRule="auto"/>
      <w:ind/>
    </w:pPr>
    <w:tblPr>
      <w:tblBorders>
        <w:top w:sz="4" w:themeColor="accent2" w:themeTint="97" w:val="single"/>
        <w:left w:sz="4" w:themeColor="accent2" w:themeTint="97" w:val="single"/>
        <w:bottom w:sz="4" w:themeColor="accent2" w:themeTint="97" w:val="single"/>
        <w:right w:sz="4" w:themeColor="accent2" w:themeTint="97" w:val="single"/>
        <w:insideH w:sz="4" w:themeColor="accent2" w:themeTint="97" w:val="single"/>
        <w:insideV w:sz="4" w:themeColor="accent2" w:themeTint="97" w:val="single"/>
      </w:tblBorders>
    </w:tblPr>
  </w:style>
  <w:style w:styleId="Style_120" w:type="table">
    <w:name w:val="Lined - Accent 3"/>
    <w:basedOn w:val="Style_2"/>
    <w:pPr>
      <w:spacing w:after="0" w:line="240" w:lineRule="auto"/>
      <w:ind/>
    </w:pPr>
    <w:rPr>
      <w:color w:val="404040"/>
    </w:rPr>
  </w:style>
  <w:style w:styleId="Style_121" w:type="table">
    <w:name w:val="List Table 1 Light"/>
    <w:basedOn w:val="Style_2"/>
    <w:pPr>
      <w:spacing w:after="0" w:line="240" w:lineRule="auto"/>
      <w:ind/>
    </w:pPr>
  </w:style>
  <w:style w:styleId="Style_122" w:type="table">
    <w:name w:val="Grid Table 2"/>
    <w:basedOn w:val="Style_2"/>
    <w:pPr>
      <w:spacing w:after="0" w:line="240" w:lineRule="auto"/>
      <w:ind/>
    </w:pPr>
    <w:tblPr>
      <w:tblBorders>
        <w:bottom w:sz="4" w:themeColor="text1" w:themeTint="95" w:val="single"/>
        <w:insideH w:sz="4" w:themeColor="text1" w:themeTint="95" w:val="single"/>
        <w:insideV w:sz="4" w:themeColor="text1" w:themeTint="95" w:val="single"/>
      </w:tblBorders>
    </w:tblPr>
  </w:style>
  <w:style w:styleId="Style_123" w:type="table">
    <w:name w:val="Grid Table 6 Colorful - Accent 4"/>
    <w:basedOn w:val="Style_2"/>
    <w:pPr>
      <w:spacing w:after="0" w:line="240" w:lineRule="auto"/>
      <w:ind/>
    </w:pPr>
    <w:tblPr>
      <w:tblBorders>
        <w:top w:sz="4" w:themeColor="accent4" w:themeTint="9A" w:val="single"/>
        <w:left w:sz="4" w:themeColor="accent4" w:themeTint="9A" w:val="single"/>
        <w:bottom w:sz="4" w:themeColor="accent4" w:themeTint="9A" w:val="single"/>
        <w:right w:sz="4" w:themeColor="accent4" w:themeTint="9A" w:val="single"/>
        <w:insideH w:sz="4" w:themeColor="accent4" w:themeTint="9A" w:val="single"/>
        <w:insideV w:sz="4" w:themeColor="accent4" w:themeTint="9A" w:val="single"/>
      </w:tblBorders>
    </w:tblPr>
  </w:style>
  <w:style w:styleId="Style_124" w:type="table">
    <w:name w:val="Grid Table 2 - Accent 2"/>
    <w:basedOn w:val="Style_2"/>
    <w:pPr>
      <w:spacing w:after="0" w:line="240" w:lineRule="auto"/>
      <w:ind/>
    </w:pPr>
    <w:tblPr>
      <w:tblBorders>
        <w:bottom w:sz="4" w:themeColor="accent2" w:themeTint="97" w:val="single"/>
        <w:insideH w:sz="4" w:themeColor="accent2" w:themeTint="97" w:val="single"/>
        <w:insideV w:sz="4" w:themeColor="accent2" w:themeTint="97" w:val="single"/>
      </w:tblBorders>
    </w:tblPr>
  </w:style>
  <w:style w:styleId="Style_125" w:type="table">
    <w:name w:val="Bordered &amp; Lined - Accent 1"/>
    <w:basedOn w:val="Style_2"/>
    <w:pPr>
      <w:spacing w:after="0" w:line="240" w:lineRule="auto"/>
      <w:ind/>
    </w:pPr>
    <w:rPr>
      <w:color w:val="404040"/>
    </w:rPr>
    <w:tblPr>
      <w:tblBorders>
        <w:top w:sz="4" w:themeColor="accent1" w:themeShade="95" w:val="single"/>
        <w:left w:sz="4" w:themeColor="accent1" w:themeShade="95" w:val="single"/>
        <w:bottom w:sz="4" w:themeColor="accent1" w:themeShade="95" w:val="single"/>
        <w:right w:sz="4" w:themeColor="accent1" w:themeShade="95" w:val="single"/>
        <w:insideH w:sz="4" w:themeColor="accent1" w:themeShade="95" w:val="single"/>
        <w:insideV w:sz="4" w:themeColor="accent1" w:themeShade="95" w:val="single"/>
      </w:tblBorders>
    </w:tblPr>
  </w:style>
  <w:style w:styleId="Style_126" w:type="table">
    <w:name w:val="List Table 3 - Accent 6"/>
    <w:basedOn w:val="Style_2"/>
    <w:pPr>
      <w:spacing w:after="0" w:line="240" w:lineRule="auto"/>
      <w:ind/>
    </w:pPr>
    <w:tblPr>
      <w:tblBorders>
        <w:top w:sz="4" w:themeColor="accent6" w:themeTint="98" w:val="single"/>
        <w:left w:sz="4" w:themeColor="accent6" w:themeTint="98" w:val="single"/>
        <w:bottom w:sz="4" w:themeColor="accent6" w:themeTint="98" w:val="single"/>
        <w:right w:sz="4" w:themeColor="accent6" w:themeTint="98" w:val="single"/>
      </w:tblBorders>
    </w:tblPr>
  </w:style>
  <w:style w:styleId="Style_127" w:type="table">
    <w:name w:val="Grid Table 1 Light - Accent 5"/>
    <w:basedOn w:val="Style_2"/>
    <w:pPr>
      <w:spacing w:after="0" w:line="240" w:lineRule="auto"/>
      <w:ind/>
    </w:pPr>
    <w:tblPr>
      <w:tblBorders>
        <w:top w:sz="4" w:themeColor="accent5" w:themeTint="67" w:val="single"/>
        <w:left w:sz="4" w:themeColor="accent5" w:themeTint="67" w:val="single"/>
        <w:bottom w:sz="4" w:themeColor="accent5" w:themeTint="67" w:val="single"/>
        <w:right w:sz="4" w:themeColor="accent5" w:themeTint="67" w:val="single"/>
        <w:insideH w:sz="4" w:themeColor="accent5" w:themeTint="67" w:val="single"/>
        <w:insideV w:sz="4" w:themeColor="accent5" w:themeTint="67" w:val="single"/>
      </w:tblBorders>
    </w:tblPr>
  </w:style>
  <w:style w:styleId="Style_128" w:type="table">
    <w:name w:val="Bordered - Accent 6"/>
    <w:basedOn w:val="Style_2"/>
    <w:pPr>
      <w:spacing w:after="0" w:line="240" w:lineRule="auto"/>
      <w:ind/>
    </w:pPr>
    <w:tblPr>
      <w:tblBorders>
        <w:top w:sz="4" w:themeColor="accent6" w:themeTint="67" w:val="single"/>
        <w:left w:sz="4" w:themeColor="accent6" w:themeTint="67" w:val="single"/>
        <w:bottom w:sz="4" w:themeColor="accent6" w:themeTint="67" w:val="single"/>
        <w:right w:sz="4" w:themeColor="accent6" w:themeTint="67" w:val="single"/>
        <w:insideH w:sz="4" w:themeColor="accent6" w:themeTint="67" w:val="single"/>
        <w:insideV w:sz="4" w:themeColor="accent6" w:themeTint="67" w:val="single"/>
      </w:tblBorders>
    </w:tblPr>
  </w:style>
  <w:style w:styleId="Style_129" w:type="table">
    <w:name w:val="List Table 5 Dark - Accent 1"/>
    <w:basedOn w:val="Style_2"/>
    <w:pPr>
      <w:spacing w:after="0" w:line="240" w:lineRule="auto"/>
      <w:ind/>
    </w:pPr>
    <w:tblPr>
      <w:tblBorders>
        <w:top w:sz="32" w:themeColor="accent1" w:val="single"/>
        <w:left w:sz="32" w:themeColor="accent1" w:val="single"/>
        <w:bottom w:sz="32" w:themeColor="accent1" w:val="single"/>
        <w:right w:sz="32" w:themeColor="accent1" w:val="single"/>
      </w:tblBorders>
    </w:tblPr>
  </w:style>
  <w:style w:styleId="Style_130" w:type="table">
    <w:name w:val="Plain Table 2"/>
    <w:basedOn w:val="Style_2"/>
    <w:pPr>
      <w:spacing w:after="0" w:line="240" w:lineRule="auto"/>
      <w:ind/>
    </w:pPr>
    <w:tblPr>
      <w:tblBorders>
        <w:top w:sz="4" w:themeColor="text1" w:val="single"/>
        <w:left w:sz="4" w:val="nil"/>
        <w:bottom w:sz="4" w:themeColor="text1" w:val="single"/>
        <w:right w:sz="4" w:val="nil"/>
      </w:tblBorders>
    </w:tblPr>
  </w:style>
  <w:style w:styleId="Style_131" w:type="table">
    <w:name w:val="List Table 5 Dark - Accent 4"/>
    <w:basedOn w:val="Style_2"/>
    <w:pPr>
      <w:spacing w:after="0" w:line="240" w:lineRule="auto"/>
      <w:ind/>
    </w:pPr>
    <w:tblPr>
      <w:tblBorders>
        <w:top w:sz="32" w:themeColor="accent4" w:themeTint="9A" w:val="single"/>
        <w:left w:sz="32" w:themeColor="accent4" w:themeTint="9A" w:val="single"/>
        <w:bottom w:sz="32" w:themeColor="accent4" w:themeTint="9A" w:val="single"/>
        <w:right w:sz="32" w:themeColor="accent4" w:themeTint="9A" w:val="single"/>
      </w:tblBorders>
    </w:tblPr>
  </w:style>
  <w:style w:styleId="Style_132" w:type="table">
    <w:name w:val="List Table 6 Colorful - Accent 4"/>
    <w:basedOn w:val="Style_2"/>
    <w:pPr>
      <w:spacing w:after="0" w:line="240" w:lineRule="auto"/>
      <w:ind/>
    </w:pPr>
    <w:tblPr>
      <w:tblBorders>
        <w:top w:sz="4" w:themeColor="accent4" w:themeTint="9A" w:val="single"/>
        <w:bottom w:sz="4" w:themeColor="accent4" w:themeTint="9A" w:val="single"/>
      </w:tblBorders>
    </w:tblPr>
  </w:style>
  <w:style w:styleId="Style_133" w:type="table">
    <w:name w:val="Bordered - Accent 3"/>
    <w:basedOn w:val="Style_2"/>
    <w:pPr>
      <w:spacing w:after="0" w:line="240" w:lineRule="auto"/>
      <w:ind/>
    </w:pPr>
    <w:tblPr>
      <w:tblBorders>
        <w:top w:sz="4" w:themeColor="accent3" w:themeTint="67" w:val="single"/>
        <w:left w:sz="4" w:themeColor="accent3" w:themeTint="67" w:val="single"/>
        <w:bottom w:sz="4" w:themeColor="accent3" w:themeTint="67" w:val="single"/>
        <w:right w:sz="4" w:themeColor="accent3" w:themeTint="67" w:val="single"/>
        <w:insideH w:sz="4" w:themeColor="accent3" w:themeTint="67" w:val="single"/>
        <w:insideV w:sz="4" w:themeColor="accent3" w:themeTint="67" w:val="single"/>
      </w:tblBorders>
    </w:tblPr>
  </w:style>
  <w:style w:styleId="Style_134" w:type="table">
    <w:name w:val="Grid Table 3"/>
    <w:basedOn w:val="Style_2"/>
    <w:pPr>
      <w:spacing w:after="0" w:line="240" w:lineRule="auto"/>
      <w:ind/>
    </w:pPr>
    <w:tblPr>
      <w:tblBorders>
        <w:bottom w:sz="4" w:themeColor="text1" w:themeTint="95" w:val="single"/>
        <w:insideH w:sz="4" w:themeColor="text1" w:themeTint="95" w:val="single"/>
        <w:insideV w:sz="4" w:themeColor="text1" w:themeTint="95" w:val="single"/>
      </w:tblBorders>
    </w:tblPr>
  </w:style>
  <w:style w:styleId="Style_135" w:type="table">
    <w:name w:val="List Table 3"/>
    <w:basedOn w:val="Style_2"/>
    <w:pPr>
      <w:spacing w:after="0" w:line="240" w:lineRule="auto"/>
      <w:ind/>
    </w:pPr>
    <w:tblPr>
      <w:tblBorders>
        <w:top w:sz="4" w:themeColor="text1" w:val="single"/>
        <w:left w:sz="4" w:themeColor="text1" w:val="single"/>
        <w:bottom w:sz="4" w:themeColor="text1" w:val="single"/>
        <w:right w:sz="4" w:themeColor="text1" w:val="single"/>
      </w:tblBorders>
    </w:tblPr>
  </w:style>
  <w:style w:styleId="Style_136" w:type="table">
    <w:name w:val="List Table 4 - Accent 6"/>
    <w:basedOn w:val="Style_2"/>
    <w:pPr>
      <w:spacing w:after="0" w:line="240" w:lineRule="auto"/>
      <w:ind/>
    </w:pPr>
    <w:tblPr>
      <w:tblBorders>
        <w:top w:sz="4" w:themeColor="accent6" w:themeTint="90" w:val="single"/>
        <w:left w:sz="4" w:themeColor="accent6" w:themeTint="90" w:val="single"/>
        <w:bottom w:sz="4" w:themeColor="accent6" w:themeTint="90" w:val="single"/>
        <w:right w:sz="4" w:themeColor="accent6" w:themeTint="90" w:val="single"/>
        <w:insideH w:sz="4" w:themeColor="accent6" w:themeTint="90" w:val="single"/>
      </w:tblBorders>
    </w:tblPr>
  </w:style>
  <w:style w:styleId="Style_137" w:type="table">
    <w:name w:val="Lined - Accent"/>
    <w:basedOn w:val="Style_2"/>
    <w:pPr>
      <w:spacing w:after="0" w:line="240" w:lineRule="auto"/>
      <w:ind/>
    </w:pPr>
    <w:rPr>
      <w:color w:val="404040"/>
    </w:rPr>
  </w:style>
  <w:style w:styleId="Style_138" w:type="table">
    <w:name w:val="List Table 3 - Accent 3"/>
    <w:basedOn w:val="Style_2"/>
    <w:pPr>
      <w:spacing w:after="0" w:line="240" w:lineRule="auto"/>
      <w:ind/>
    </w:pPr>
    <w:tblPr>
      <w:tblBorders>
        <w:top w:sz="4" w:themeColor="accent3" w:themeTint="98" w:val="single"/>
        <w:left w:sz="4" w:themeColor="accent3" w:themeTint="98" w:val="single"/>
        <w:bottom w:sz="4" w:themeColor="accent3" w:themeTint="98" w:val="single"/>
        <w:right w:sz="4" w:themeColor="accent3" w:themeTint="98" w:val="single"/>
      </w:tblBorders>
    </w:tblPr>
  </w:style>
  <w:style w:styleId="Style_139" w:type="table">
    <w:name w:val="Grid Table 1 Light - Accent 6"/>
    <w:basedOn w:val="Style_2"/>
    <w:pPr>
      <w:spacing w:after="0" w:line="240" w:lineRule="auto"/>
      <w:ind/>
    </w:pPr>
    <w:tblPr>
      <w:tblBorders>
        <w:top w:sz="4" w:themeColor="accent6" w:themeTint="67" w:val="single"/>
        <w:left w:sz="4" w:themeColor="accent6" w:themeTint="67" w:val="single"/>
        <w:bottom w:sz="4" w:themeColor="accent6" w:themeTint="67" w:val="single"/>
        <w:right w:sz="4" w:themeColor="accent6" w:themeTint="67" w:val="single"/>
        <w:insideH w:sz="4" w:themeColor="accent6" w:themeTint="67" w:val="single"/>
        <w:insideV w:sz="4" w:themeColor="accent6" w:themeTint="67" w:val="single"/>
      </w:tblBorders>
    </w:tblPr>
  </w:style>
  <w:style w:styleId="Style_140" w:type="table">
    <w:name w:val="Grid Table 2 - Accent 6"/>
    <w:basedOn w:val="Style_2"/>
    <w:pPr>
      <w:spacing w:after="0" w:line="240" w:lineRule="auto"/>
      <w:ind/>
    </w:pPr>
    <w:tblPr>
      <w:tblBorders>
        <w:bottom w:sz="4" w:themeColor="accent6" w:val="single"/>
        <w:insideH w:sz="4" w:themeColor="accent6" w:val="single"/>
        <w:insideV w:sz="4" w:themeColor="accent6" w:val="single"/>
      </w:tblBorders>
    </w:tblPr>
  </w:style>
  <w:style w:styleId="Style_141" w:type="table">
    <w:name w:val="List Table 4 - Accent 1"/>
    <w:basedOn w:val="Style_2"/>
    <w:pPr>
      <w:spacing w:after="0" w:line="240" w:lineRule="auto"/>
      <w:ind/>
    </w:pPr>
    <w:tblPr>
      <w:tblBorders>
        <w:top w:sz="4" w:themeColor="accent1" w:themeTint="90" w:val="single"/>
        <w:left w:sz="4" w:themeColor="accent1" w:themeTint="90" w:val="single"/>
        <w:bottom w:sz="4" w:themeColor="accent1" w:themeTint="90" w:val="single"/>
        <w:right w:sz="4" w:themeColor="accent1" w:themeTint="90" w:val="single"/>
        <w:insideH w:sz="4" w:themeColor="accent1" w:themeTint="90" w:val="single"/>
      </w:tblBorders>
    </w:tblPr>
  </w:style>
  <w:style w:styleId="Style_142" w:type="table">
    <w:name w:val="Grid Table 4 - Accent 4"/>
    <w:basedOn w:val="Style_2"/>
    <w:pPr>
      <w:spacing w:after="0" w:line="240" w:lineRule="auto"/>
      <w:ind/>
    </w:pPr>
    <w:tblPr>
      <w:tblBorders>
        <w:top w:sz="4" w:themeColor="accent4" w:themeTint="90" w:val="single"/>
        <w:left w:sz="4" w:themeColor="accent4" w:themeTint="90" w:val="single"/>
        <w:bottom w:sz="4" w:themeColor="accent4" w:themeTint="90" w:val="single"/>
        <w:right w:sz="4" w:themeColor="accent4" w:themeTint="90" w:val="single"/>
        <w:insideH w:sz="4" w:themeColor="accent4" w:themeTint="90" w:val="single"/>
        <w:insideV w:sz="4" w:themeColor="accent4" w:themeTint="90" w:val="single"/>
      </w:tblBorders>
    </w:tblPr>
  </w:style>
  <w:style w:styleId="Style_143" w:type="table">
    <w:name w:val="List Table 1 Light - Accent 3"/>
    <w:basedOn w:val="Style_2"/>
    <w:pPr>
      <w:spacing w:after="0" w:line="240" w:lineRule="auto"/>
      <w:ind/>
    </w:pPr>
  </w:style>
  <w:style w:styleId="Style_144" w:type="table">
    <w:name w:val="Grid Table 3 - Accent 1"/>
    <w:basedOn w:val="Style_2"/>
    <w:pPr>
      <w:spacing w:after="0" w:line="240" w:lineRule="auto"/>
      <w:ind/>
    </w:pPr>
    <w:tblPr>
      <w:tblBorders>
        <w:bottom w:sz="4" w:themeColor="accent1" w:themeTint="EA" w:val="single"/>
        <w:insideH w:sz="4" w:themeColor="accent1" w:themeTint="EA" w:val="single"/>
        <w:insideV w:sz="4" w:themeColor="accent1" w:themeTint="EA" w:val="single"/>
      </w:tblBorders>
    </w:tblPr>
  </w:style>
  <w:style w:styleId="Style_145" w:type="table">
    <w:name w:val="List Table 6 Colorful - Accent 3"/>
    <w:basedOn w:val="Style_2"/>
    <w:pPr>
      <w:spacing w:after="0" w:line="240" w:lineRule="auto"/>
      <w:ind/>
    </w:pPr>
    <w:tblPr>
      <w:tblBorders>
        <w:top w:sz="4" w:themeColor="accent3" w:themeTint="98" w:val="single"/>
        <w:bottom w:sz="4" w:themeColor="accent3" w:themeTint="98" w:val="single"/>
      </w:tblBorders>
    </w:tblPr>
  </w:style>
  <w:style w:styleId="Style_146" w:type="table">
    <w:name w:val="Grid Table 3 - Accent 2"/>
    <w:basedOn w:val="Style_2"/>
    <w:pPr>
      <w:spacing w:after="0" w:line="240" w:lineRule="auto"/>
      <w:ind/>
    </w:pPr>
    <w:tblPr>
      <w:tblBorders>
        <w:bottom w:sz="4" w:themeColor="accent2" w:themeTint="97" w:val="single"/>
        <w:insideH w:sz="4" w:themeColor="accent2" w:themeTint="97" w:val="single"/>
        <w:insideV w:sz="4" w:themeColor="accent2" w:themeTint="97" w:val="single"/>
      </w:tblBorders>
    </w:tblPr>
  </w:style>
  <w:style w:styleId="Style_147" w:type="table">
    <w:name w:val="List Table 7 Colorful - Accent 6"/>
    <w:basedOn w:val="Style_2"/>
    <w:pPr>
      <w:spacing w:after="0" w:line="240" w:lineRule="auto"/>
      <w:ind/>
    </w:pPr>
    <w:tblPr>
      <w:tblBorders>
        <w:right w:sz="4" w:themeColor="accent6" w:themeTint="98" w:val="single"/>
      </w:tblBorders>
    </w:tblPr>
  </w:style>
  <w:style w:styleId="Style_148" w:type="table">
    <w:name w:val="Grid Table 4 - Accent 2"/>
    <w:basedOn w:val="Style_2"/>
    <w:pPr>
      <w:spacing w:after="0" w:line="240" w:lineRule="auto"/>
      <w:ind/>
    </w:pPr>
    <w:tblPr>
      <w:tblBorders>
        <w:top w:sz="4" w:themeColor="accent2" w:themeTint="90" w:val="single"/>
        <w:left w:sz="4" w:themeColor="accent2" w:themeTint="90" w:val="single"/>
        <w:bottom w:sz="4" w:themeColor="accent2" w:themeTint="90" w:val="single"/>
        <w:right w:sz="4" w:themeColor="accent2" w:themeTint="90" w:val="single"/>
        <w:insideH w:sz="4" w:themeColor="accent2" w:themeTint="90" w:val="single"/>
        <w:insideV w:sz="4" w:themeColor="accent2" w:themeTint="90" w:val="single"/>
      </w:tblBorders>
    </w:tblPr>
  </w:style>
  <w:style w:styleId="Style_149" w:type="table">
    <w:name w:val="List Table 7 Colorful"/>
    <w:basedOn w:val="Style_2"/>
    <w:pPr>
      <w:spacing w:after="0" w:line="240" w:lineRule="auto"/>
      <w:ind/>
    </w:pPr>
    <w:tblPr>
      <w:tblBorders>
        <w:right w:sz="4" w:themeColor="text1" w:themeTint="80" w:val="single"/>
      </w:tblBorders>
    </w:tblPr>
  </w:style>
  <w:style w:styleId="Style_150" w:type="table">
    <w:name w:val="List Table 5 Dark - Accent 2"/>
    <w:basedOn w:val="Style_2"/>
    <w:pPr>
      <w:spacing w:after="0" w:line="240" w:lineRule="auto"/>
      <w:ind/>
    </w:pPr>
    <w:tblPr>
      <w:tblBorders>
        <w:top w:sz="32" w:themeColor="accent2" w:themeTint="97" w:val="single"/>
        <w:left w:sz="32" w:themeColor="accent2" w:themeTint="97" w:val="single"/>
        <w:bottom w:sz="32" w:themeColor="accent2" w:themeTint="97" w:val="single"/>
        <w:right w:sz="32" w:themeColor="accent2" w:themeTint="97" w:val="single"/>
      </w:tblBorders>
    </w:tblPr>
  </w:style>
  <w:style w:styleId="Style_151" w:type="table">
    <w:name w:val="Grid Table 7 Colorful - Accent 2"/>
    <w:basedOn w:val="Style_2"/>
    <w:pPr>
      <w:spacing w:after="0" w:line="240" w:lineRule="auto"/>
      <w:ind/>
    </w:pPr>
    <w:tblPr>
      <w:tblBorders>
        <w:bottom w:sz="4" w:themeColor="accent2" w:themeTint="97" w:val="single"/>
        <w:right w:sz="4" w:themeColor="accent2" w:themeTint="97" w:val="single"/>
        <w:insideH w:sz="4" w:themeColor="accent2" w:themeTint="97" w:val="single"/>
        <w:insideV w:sz="4" w:themeColor="accent2" w:themeTint="97" w:val="single"/>
      </w:tblBorders>
    </w:tblPr>
  </w:style>
  <w:style w:styleId="Style_152" w:type="table">
    <w:name w:val="Bordered &amp; Lined - Accent"/>
    <w:basedOn w:val="Style_2"/>
    <w:pPr>
      <w:spacing w:after="0" w:line="240" w:lineRule="auto"/>
      <w:ind/>
    </w:pPr>
    <w:rPr>
      <w:color w:val="404040"/>
    </w:rPr>
    <w:tblPr>
      <w:tblBorders>
        <w:top w:sz="4" w:themeColor="text1" w:themeTint="A6" w:val="single"/>
        <w:left w:sz="4" w:themeColor="text1" w:themeTint="A6" w:val="single"/>
        <w:bottom w:sz="4" w:themeColor="text1" w:themeTint="A6" w:val="single"/>
        <w:right w:sz="4" w:themeColor="text1" w:themeTint="A6" w:val="single"/>
        <w:insideH w:sz="4" w:themeColor="text1" w:themeTint="A6" w:val="single"/>
        <w:insideV w:sz="4" w:themeColor="text1" w:themeTint="A6" w:val="single"/>
      </w:tblBorders>
    </w:tblPr>
  </w:style>
  <w:style w:styleId="Style_153" w:type="table">
    <w:name w:val="Grid Table 2 - Accent 3"/>
    <w:basedOn w:val="Style_2"/>
    <w:pPr>
      <w:spacing w:after="0" w:line="240" w:lineRule="auto"/>
      <w:ind/>
    </w:pPr>
    <w:tblPr>
      <w:tblBorders>
        <w:bottom w:sz="4" w:themeColor="accent3" w:themeTint="FE" w:val="single"/>
        <w:insideH w:sz="4" w:themeColor="accent3" w:themeTint="FE" w:val="single"/>
        <w:insideV w:sz="4" w:themeColor="accent3" w:themeTint="FE" w:val="single"/>
      </w:tblBorders>
    </w:tblPr>
  </w:style>
  <w:style w:styleId="Style_154" w:type="table">
    <w:name w:val="List Table 7 Colorful - Accent 5"/>
    <w:basedOn w:val="Style_2"/>
    <w:pPr>
      <w:spacing w:after="0" w:line="240" w:lineRule="auto"/>
      <w:ind/>
    </w:pPr>
    <w:tblPr>
      <w:tblBorders>
        <w:right w:sz="4" w:themeColor="accent5" w:themeTint="9A" w:val="single"/>
      </w:tblBorders>
    </w:tblPr>
  </w:style>
  <w:style w:styleId="Style_155" w:type="table">
    <w:name w:val="List Table 6 Colorful - Accent 2"/>
    <w:basedOn w:val="Style_2"/>
    <w:pPr>
      <w:spacing w:after="0" w:line="240" w:lineRule="auto"/>
      <w:ind/>
    </w:pPr>
    <w:tblPr>
      <w:tblBorders>
        <w:top w:sz="4" w:themeColor="accent2" w:themeTint="97" w:val="single"/>
        <w:bottom w:sz="4" w:themeColor="accent2" w:themeTint="97" w:val="single"/>
      </w:tblBorders>
    </w:tblPr>
  </w:style>
  <w:style w:styleId="Style_156" w:type="table">
    <w:name w:val="List Table 2 - Accent 5"/>
    <w:basedOn w:val="Style_2"/>
    <w:pPr>
      <w:spacing w:after="0" w:line="240" w:lineRule="auto"/>
      <w:ind/>
    </w:pPr>
    <w:tblPr>
      <w:tblBorders>
        <w:top w:sz="4" w:themeColor="accent5" w:themeTint="90" w:val="single"/>
        <w:bottom w:sz="4" w:themeColor="accent5" w:themeTint="90" w:val="single"/>
        <w:insideH w:sz="4" w:themeColor="accent5" w:themeTint="90" w:val="single"/>
      </w:tblBorders>
    </w:tblPr>
  </w:style>
  <w:style w:styleId="Style_157" w:type="table">
    <w:name w:val="Lined - Accent 4"/>
    <w:basedOn w:val="Style_2"/>
    <w:pPr>
      <w:spacing w:after="0" w:line="240" w:lineRule="auto"/>
      <w:ind/>
    </w:pPr>
    <w:rPr>
      <w:color w:val="404040"/>
    </w:rPr>
  </w:style>
  <w:style w:styleId="Style_158" w:type="table">
    <w:name w:val="Сетка таблицы3"/>
    <w:basedOn w:val="Style_2"/>
    <w:pPr>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9" w:type="table">
    <w:name w:val="Plain Table 1"/>
    <w:basedOn w:val="Style_2"/>
    <w:pPr>
      <w:spacing w:after="0" w:line="240" w:lineRule="auto"/>
      <w:ind/>
    </w:pPr>
    <w:tblPr>
      <w:tblBorders>
        <w:top w:sz="4" w:themeColor="text1" w:themeTint="50" w:val="single"/>
        <w:left w:sz="4" w:themeColor="text1" w:themeTint="50" w:val="single"/>
        <w:bottom w:sz="4" w:themeColor="text1" w:themeTint="50" w:val="single"/>
        <w:right w:sz="4" w:themeColor="text1" w:themeTint="50" w:val="single"/>
        <w:insideH w:sz="4" w:themeColor="text1" w:themeTint="50" w:val="single"/>
        <w:insideV w:sz="4" w:themeColor="text1" w:themeTint="50" w:val="single"/>
      </w:tblBorders>
    </w:tblPr>
  </w:style>
  <w:style w:styleId="Style_160" w:type="table">
    <w:name w:val="Bordered &amp; Lined - Accent 4"/>
    <w:basedOn w:val="Style_2"/>
    <w:pPr>
      <w:spacing w:after="0" w:line="240" w:lineRule="auto"/>
      <w:ind/>
    </w:pPr>
    <w:rPr>
      <w:color w:val="404040"/>
    </w:rPr>
    <w:tblPr>
      <w:tblBorders>
        <w:top w:sz="4" w:themeColor="accent4" w:themeShade="95" w:val="single"/>
        <w:left w:sz="4" w:themeColor="accent4" w:themeShade="95" w:val="single"/>
        <w:bottom w:sz="4" w:themeColor="accent4" w:themeShade="95" w:val="single"/>
        <w:right w:sz="4" w:themeColor="accent4" w:themeShade="95" w:val="single"/>
        <w:insideH w:sz="4" w:themeColor="accent4" w:themeShade="95" w:val="single"/>
        <w:insideV w:sz="4" w:themeColor="accent4" w:themeShade="95" w:val="single"/>
      </w:tblBorders>
    </w:tblPr>
  </w:style>
  <w:style w:styleId="Style_161" w:type="table">
    <w:name w:val="List Table 5 Dark"/>
    <w:basedOn w:val="Style_2"/>
    <w:pPr>
      <w:spacing w:after="0" w:line="240" w:lineRule="auto"/>
      <w:ind/>
    </w:pPr>
    <w:tblPr>
      <w:tblBorders>
        <w:top w:sz="32" w:themeColor="text1" w:themeTint="80" w:val="single"/>
        <w:left w:sz="32" w:themeColor="text1" w:themeTint="80" w:val="single"/>
        <w:bottom w:sz="32" w:themeColor="text1" w:themeTint="80" w:val="single"/>
        <w:right w:sz="32" w:themeColor="text1" w:themeTint="80" w:val="single"/>
      </w:tblBorders>
    </w:tblPr>
  </w:style>
  <w:style w:styleId="Style_162" w:type="table">
    <w:name w:val="List Table 3 - Accent 4"/>
    <w:basedOn w:val="Style_2"/>
    <w:pPr>
      <w:spacing w:after="0" w:line="240" w:lineRule="auto"/>
      <w:ind/>
    </w:pPr>
    <w:tblPr>
      <w:tblBorders>
        <w:top w:sz="4" w:themeColor="accent4" w:themeTint="9A" w:val="single"/>
        <w:left w:sz="4" w:themeColor="accent4" w:themeTint="9A" w:val="single"/>
        <w:bottom w:sz="4" w:themeColor="accent4" w:themeTint="9A" w:val="single"/>
        <w:right w:sz="4" w:themeColor="accent4" w:themeTint="9A" w:val="single"/>
      </w:tblBorders>
    </w:tblPr>
  </w:style>
  <w:style w:styleId="Style_163" w:type="table">
    <w:name w:val="Grid Table 1 Light - Accent 4"/>
    <w:basedOn w:val="Style_2"/>
    <w:pPr>
      <w:spacing w:after="0" w:line="240" w:lineRule="auto"/>
      <w:ind/>
    </w:pPr>
    <w:tblPr>
      <w:tblBorders>
        <w:top w:sz="4" w:themeColor="accent4" w:themeTint="67" w:val="single"/>
        <w:left w:sz="4" w:themeColor="accent4" w:themeTint="67" w:val="single"/>
        <w:bottom w:sz="4" w:themeColor="accent4" w:themeTint="67" w:val="single"/>
        <w:right w:sz="4" w:themeColor="accent4" w:themeTint="67" w:val="single"/>
        <w:insideH w:sz="4" w:themeColor="accent4" w:themeTint="67" w:val="single"/>
        <w:insideV w:sz="4" w:themeColor="accent4" w:themeTint="67" w:val="single"/>
      </w:tblBorders>
    </w:tblPr>
  </w:style>
  <w:style w:styleId="Style_164" w:type="table">
    <w:name w:val="List Table 1 Light - Accent 2"/>
    <w:basedOn w:val="Style_2"/>
    <w:pPr>
      <w:spacing w:after="0" w:line="240" w:lineRule="auto"/>
      <w:ind/>
    </w:pPr>
  </w:style>
  <w:style w:styleId="Style_165" w:type="table">
    <w:name w:val="List Table 2 - Accent 1"/>
    <w:basedOn w:val="Style_2"/>
    <w:pPr>
      <w:spacing w:after="0" w:line="240" w:lineRule="auto"/>
      <w:ind/>
    </w:pPr>
    <w:tblPr>
      <w:tblBorders>
        <w:top w:sz="4" w:themeColor="accent1" w:themeTint="90" w:val="single"/>
        <w:bottom w:sz="4" w:themeColor="accent1" w:themeTint="90" w:val="single"/>
        <w:insideH w:sz="4" w:themeColor="accent1" w:themeTint="90" w:val="single"/>
      </w:tblBorders>
    </w:tblPr>
  </w:style>
  <w:style w:styleId="Style_166" w:type="table">
    <w:name w:val="List Table 2 - Accent 3"/>
    <w:basedOn w:val="Style_2"/>
    <w:pPr>
      <w:spacing w:after="0" w:line="240" w:lineRule="auto"/>
      <w:ind/>
    </w:pPr>
    <w:tblPr>
      <w:tblBorders>
        <w:top w:sz="4" w:themeColor="accent3" w:themeTint="90" w:val="single"/>
        <w:bottom w:sz="4" w:themeColor="accent3" w:themeTint="90" w:val="single"/>
        <w:insideH w:sz="4" w:themeColor="accent3" w:themeTint="90" w:val="single"/>
      </w:tblBorders>
    </w:tblPr>
  </w:style>
  <w:style w:styleId="Style_167" w:type="table">
    <w:name w:val="Bordered &amp; Lined - Accent 6"/>
    <w:basedOn w:val="Style_2"/>
    <w:pPr>
      <w:spacing w:after="0" w:line="240" w:lineRule="auto"/>
      <w:ind/>
    </w:pPr>
    <w:rPr>
      <w:color w:val="404040"/>
    </w:rPr>
    <w:tblPr>
      <w:tblBorders>
        <w:top w:sz="4" w:themeColor="accent6" w:themeShade="95" w:val="single"/>
        <w:left w:sz="4" w:themeColor="accent6" w:themeShade="95" w:val="single"/>
        <w:bottom w:sz="4" w:themeColor="accent6" w:themeShade="95" w:val="single"/>
        <w:right w:sz="4" w:themeColor="accent6" w:themeShade="95" w:val="single"/>
        <w:insideH w:sz="4" w:themeColor="accent6" w:themeShade="95" w:val="single"/>
        <w:insideV w:sz="4" w:themeColor="accent6" w:themeShade="95" w:val="single"/>
      </w:tblBorders>
    </w:tblPr>
  </w:style>
  <w:style w:styleId="Style_168" w:type="table">
    <w:name w:val="Grid Table 3 - Accent 4"/>
    <w:basedOn w:val="Style_2"/>
    <w:pPr>
      <w:spacing w:after="0" w:line="240" w:lineRule="auto"/>
      <w:ind/>
    </w:pPr>
    <w:tblPr>
      <w:tblBorders>
        <w:bottom w:sz="4" w:themeColor="accent4" w:themeTint="9A" w:val="single"/>
        <w:insideH w:sz="4" w:themeColor="accent4" w:themeTint="9A" w:val="single"/>
        <w:insideV w:sz="4" w:themeColor="accent4" w:themeTint="9A" w:val="single"/>
      </w:tblBorders>
    </w:tblPr>
  </w:style>
  <w:style w:styleId="Style_169" w:type="table">
    <w:name w:val="List Table 6 Colorful - Accent 5"/>
    <w:basedOn w:val="Style_2"/>
    <w:pPr>
      <w:spacing w:after="0" w:line="240" w:lineRule="auto"/>
      <w:ind/>
    </w:pPr>
    <w:tblPr>
      <w:tblBorders>
        <w:top w:sz="4" w:themeColor="accent5" w:themeTint="9A" w:val="single"/>
        <w:bottom w:sz="4" w:themeColor="accent5" w:themeTint="9A" w:val="single"/>
      </w:tblBorders>
    </w:tblPr>
  </w:style>
  <w:style w:styleId="Style_170" w:type="table">
    <w:name w:val="Plain Table 4"/>
    <w:basedOn w:val="Style_2"/>
    <w:pPr>
      <w:spacing w:after="0" w:line="240" w:lineRule="auto"/>
      <w:ind/>
    </w:pPr>
  </w:style>
  <w:style w:styleId="Style_171" w:type="table">
    <w:name w:val="Grid Table 5 Dark- Accent 4"/>
    <w:basedOn w:val="Style_2"/>
    <w:pPr>
      <w:spacing w:after="0" w:line="240" w:lineRule="auto"/>
      <w:ind/>
    </w:pPr>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72" w:type="table">
    <w:name w:val="Grid Table 6 Colorful - Accent 5"/>
    <w:basedOn w:val="Style_2"/>
    <w:pPr>
      <w:spacing w:after="0" w:line="240" w:lineRule="auto"/>
      <w:ind/>
    </w:pPr>
    <w:tblPr>
      <w:tblBorders>
        <w:top w:sz="4" w:themeColor="accent5" w:val="single"/>
        <w:left w:sz="4" w:themeColor="accent5" w:val="single"/>
        <w:bottom w:sz="4" w:themeColor="accent5" w:val="single"/>
        <w:right w:sz="4" w:themeColor="accent5" w:val="single"/>
        <w:insideH w:sz="4" w:themeColor="accent5" w:val="single"/>
        <w:insideV w:sz="4" w:themeColor="accent5" w:val="single"/>
      </w:tblBorders>
    </w:tblPr>
  </w:style>
  <w:style w:styleId="Style_173" w:type="table">
    <w:name w:val="Bordered &amp; Lined - Accent 2"/>
    <w:basedOn w:val="Style_2"/>
    <w:pPr>
      <w:spacing w:after="0" w:line="240" w:lineRule="auto"/>
      <w:ind/>
    </w:pPr>
    <w:rPr>
      <w:color w:val="404040"/>
    </w:rPr>
    <w:tblPr>
      <w:tblBorders>
        <w:top w:sz="4" w:themeColor="accent2" w:themeShade="95" w:val="single"/>
        <w:left w:sz="4" w:themeColor="accent2" w:themeShade="95" w:val="single"/>
        <w:bottom w:sz="4" w:themeColor="accent2" w:themeShade="95" w:val="single"/>
        <w:right w:sz="4" w:themeColor="accent2" w:themeShade="95" w:val="single"/>
        <w:insideH w:sz="4" w:themeColor="accent2" w:themeShade="95" w:val="single"/>
        <w:insideV w:sz="4" w:themeColor="accent2" w:themeShade="95" w:val="single"/>
      </w:tblBorders>
    </w:tblPr>
  </w:style>
  <w:style w:styleId="Style_174" w:type="table">
    <w:name w:val="Grid Table 2 - Accent 1"/>
    <w:basedOn w:val="Style_2"/>
    <w:pPr>
      <w:spacing w:after="0" w:line="240" w:lineRule="auto"/>
      <w:ind/>
    </w:pPr>
    <w:tblPr>
      <w:tblBorders>
        <w:bottom w:sz="4" w:themeColor="accent1" w:themeTint="EA" w:val="single"/>
        <w:insideH w:sz="4" w:themeColor="accent1" w:themeTint="EA" w:val="single"/>
        <w:insideV w:sz="4" w:themeColor="accent1" w:themeTint="EA" w:val="single"/>
      </w:tblBorders>
    </w:tblPr>
  </w:style>
  <w:style w:styleId="Style_175" w:type="table">
    <w:name w:val="Grid Table 7 Colorful"/>
    <w:basedOn w:val="Style_2"/>
    <w:pPr>
      <w:spacing w:after="0" w:line="240" w:lineRule="auto"/>
      <w:ind/>
    </w:pPr>
    <w:tblPr>
      <w:tblBorders>
        <w:bottom w:sz="4" w:themeColor="text1" w:themeTint="80" w:val="single"/>
        <w:right w:sz="4" w:themeColor="text1" w:themeTint="80" w:val="single"/>
        <w:insideH w:sz="4" w:themeColor="text1" w:themeTint="80" w:val="single"/>
        <w:insideV w:sz="4" w:themeColor="text1" w:themeTint="80" w:val="single"/>
      </w:tblBorders>
    </w:tblPr>
  </w:style>
  <w:style w:styleId="Style_176" w:type="table">
    <w:name w:val="List Table 6 Colorful - Accent 6"/>
    <w:basedOn w:val="Style_2"/>
    <w:pPr>
      <w:spacing w:after="0" w:line="240" w:lineRule="auto"/>
      <w:ind/>
    </w:pPr>
    <w:tblPr>
      <w:tblBorders>
        <w:top w:sz="4" w:themeColor="accent6" w:themeTint="98" w:val="single"/>
        <w:bottom w:sz="4" w:themeColor="accent6" w:themeTint="98" w:val="single"/>
      </w:tblBorders>
    </w:tblPr>
  </w:style>
  <w:style w:styleId="Style_177" w:type="table">
    <w:name w:val="Grid Table 2 - Accent 5"/>
    <w:basedOn w:val="Style_2"/>
    <w:pPr>
      <w:spacing w:after="0" w:line="240" w:lineRule="auto"/>
      <w:ind/>
    </w:pPr>
    <w:tblPr>
      <w:tblBorders>
        <w:bottom w:sz="4" w:themeColor="accent5" w:val="single"/>
        <w:insideH w:sz="4" w:themeColor="accent5" w:val="single"/>
        <w:insideV w:sz="4" w:themeColor="accent5" w:val="single"/>
      </w:tblBorders>
    </w:tblPr>
  </w:style>
  <w:style w:styleId="Style_178" w:type="table">
    <w:name w:val="Bordered - Accent 4"/>
    <w:basedOn w:val="Style_2"/>
    <w:pPr>
      <w:spacing w:after="0" w:line="240" w:lineRule="auto"/>
      <w:ind/>
    </w:pPr>
    <w:tblPr>
      <w:tblBorders>
        <w:top w:sz="4" w:themeColor="accent4" w:themeTint="67" w:val="single"/>
        <w:left w:sz="4" w:themeColor="accent4" w:themeTint="67" w:val="single"/>
        <w:bottom w:sz="4" w:themeColor="accent4" w:themeTint="67" w:val="single"/>
        <w:right w:sz="4" w:themeColor="accent4" w:themeTint="67" w:val="single"/>
        <w:insideH w:sz="4" w:themeColor="accent4" w:themeTint="67" w:val="single"/>
        <w:insideV w:sz="4" w:themeColor="accent4" w:themeTint="67" w:val="single"/>
      </w:tblBorders>
    </w:tblPr>
  </w:style>
  <w:style w:styleId="Style_179" w:type="table">
    <w:name w:val="Grid Table 5 Dark"/>
    <w:basedOn w:val="Style_2"/>
    <w:pPr>
      <w:spacing w:after="0" w:line="240" w:lineRule="auto"/>
      <w:ind/>
    </w:pPr>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80" w:type="table">
    <w:name w:val="Plain Table 3"/>
    <w:basedOn w:val="Style_2"/>
    <w:pPr>
      <w:spacing w:after="0" w:line="240" w:lineRule="auto"/>
      <w:ind/>
    </w:pPr>
  </w:style>
  <w:style w:styleId="Style_181" w:type="table">
    <w:name w:val="Grid Table 7 Colorful - Accent 6"/>
    <w:basedOn w:val="Style_2"/>
    <w:pPr>
      <w:spacing w:after="0" w:line="240" w:lineRule="auto"/>
      <w:ind/>
    </w:pPr>
    <w:tblPr>
      <w:tblBorders>
        <w:bottom w:sz="4" w:themeColor="accent6" w:themeTint="90" w:val="single"/>
        <w:right w:sz="4" w:themeColor="accent6" w:themeTint="90" w:val="single"/>
        <w:insideH w:sz="4" w:themeColor="accent6" w:themeTint="90" w:val="single"/>
        <w:insideV w:sz="4" w:themeColor="accent6" w:themeTint="90" w:val="single"/>
      </w:tblBorders>
    </w:tblPr>
  </w:style>
  <w:style w:styleId="Style_182" w:type="table">
    <w:name w:val="Grid Table 7 Colorful - Accent 4"/>
    <w:basedOn w:val="Style_2"/>
    <w:pPr>
      <w:spacing w:after="0" w:line="240" w:lineRule="auto"/>
      <w:ind/>
    </w:pPr>
    <w:tblPr>
      <w:tblBorders>
        <w:bottom w:sz="4" w:themeColor="accent4" w:themeTint="9A" w:val="single"/>
        <w:right w:sz="4" w:themeColor="accent4" w:themeTint="9A" w:val="single"/>
        <w:insideH w:sz="4" w:themeColor="accent4" w:themeTint="9A" w:val="single"/>
        <w:insideV w:sz="4" w:themeColor="accent4" w:themeTint="9A" w:val="single"/>
      </w:tblBorders>
    </w:tblPr>
  </w:style>
  <w:style w:styleId="Style_183" w:type="table">
    <w:name w:val="Grid Table 5 Dark - Accent 5"/>
    <w:basedOn w:val="Style_2"/>
    <w:pPr>
      <w:spacing w:after="0" w:line="240" w:lineRule="auto"/>
      <w:ind/>
    </w:pPr>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84" w:type="table">
    <w:name w:val="Grid Table 5 Dark- Accent 1"/>
    <w:basedOn w:val="Style_2"/>
    <w:pPr>
      <w:spacing w:after="0" w:line="240" w:lineRule="auto"/>
      <w:ind/>
    </w:pPr>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85" w:type="table">
    <w:name w:val="Bordered &amp; Lined - Accent 5"/>
    <w:basedOn w:val="Style_2"/>
    <w:pPr>
      <w:spacing w:after="0" w:line="240" w:lineRule="auto"/>
      <w:ind/>
    </w:pPr>
    <w:rPr>
      <w:color w:val="404040"/>
    </w:rPr>
    <w:tblPr>
      <w:tblBorders>
        <w:top w:sz="4" w:themeColor="accent5" w:themeShade="95" w:val="single"/>
        <w:left w:sz="4" w:themeColor="accent5" w:themeShade="95" w:val="single"/>
        <w:bottom w:sz="4" w:themeColor="accent5" w:themeShade="95" w:val="single"/>
        <w:right w:sz="4" w:themeColor="accent5" w:themeShade="95" w:val="single"/>
        <w:insideH w:sz="4" w:themeColor="accent5" w:themeShade="95" w:val="single"/>
        <w:insideV w:sz="4" w:themeColor="accent5" w:themeShade="95" w:val="single"/>
      </w:tblBorders>
    </w:tblPr>
  </w:style>
  <w:style w:styleId="Style_186" w:type="table">
    <w:name w:val="Grid Table 3 - Accent 5"/>
    <w:basedOn w:val="Style_2"/>
    <w:pPr>
      <w:spacing w:after="0" w:line="240" w:lineRule="auto"/>
      <w:ind/>
    </w:pPr>
    <w:tblPr>
      <w:tblBorders>
        <w:bottom w:sz="4" w:themeColor="accent5" w:val="single"/>
        <w:insideH w:sz="4" w:themeColor="accent5" w:val="single"/>
        <w:insideV w:sz="4" w:themeColor="accent5" w:val="single"/>
      </w:tblBorders>
    </w:tblPr>
  </w:style>
  <w:style w:styleId="Style_187" w:type="table">
    <w:name w:val="List Table 3 - Accent 5"/>
    <w:basedOn w:val="Style_2"/>
    <w:pPr>
      <w:spacing w:after="0" w:line="240" w:lineRule="auto"/>
      <w:ind/>
    </w:pPr>
    <w:tblPr>
      <w:tblBorders>
        <w:top w:sz="4" w:themeColor="accent5" w:themeTint="9A" w:val="single"/>
        <w:left w:sz="4" w:themeColor="accent5" w:themeTint="9A" w:val="single"/>
        <w:bottom w:sz="4" w:themeColor="accent5" w:themeTint="9A" w:val="single"/>
        <w:right w:sz="4" w:themeColor="accent5" w:themeTint="9A" w:val="single"/>
      </w:tblBorders>
    </w:tblPr>
  </w:style>
  <w:style w:styleId="Style_188" w:type="table">
    <w:name w:val="Grid Table 7 Colorful - Accent 5"/>
    <w:basedOn w:val="Style_2"/>
    <w:pPr>
      <w:spacing w:after="0" w:line="240" w:lineRule="auto"/>
      <w:ind/>
    </w:pPr>
    <w:tblPr>
      <w:tblBorders>
        <w:bottom w:sz="4" w:themeColor="accent5" w:themeTint="90" w:val="single"/>
        <w:right w:sz="4" w:themeColor="accent5" w:themeTint="90" w:val="single"/>
        <w:insideH w:sz="4" w:themeColor="accent5" w:themeTint="90" w:val="single"/>
        <w:insideV w:sz="4" w:themeColor="accent5" w:themeTint="90" w:val="single"/>
      </w:tblBorders>
    </w:tblPr>
  </w:style>
  <w:style w:styleId="Style_189" w:type="table">
    <w:name w:val="List Table 1 Light - Accent 6"/>
    <w:basedOn w:val="Style_2"/>
    <w:pPr>
      <w:spacing w:after="0" w:line="240" w:lineRule="auto"/>
      <w:ind/>
    </w:pPr>
  </w:style>
  <w:style w:styleId="Style_190" w:type="table">
    <w:name w:val="Grid Table 5 Dark - Accent 2"/>
    <w:basedOn w:val="Style_2"/>
    <w:pPr>
      <w:spacing w:after="0" w:line="240" w:lineRule="auto"/>
      <w:ind/>
    </w:pPr>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91" w:type="table">
    <w:name w:val="Grid Table 4 - Accent 3"/>
    <w:basedOn w:val="Style_2"/>
    <w:pPr>
      <w:spacing w:after="0" w:line="240" w:lineRule="auto"/>
      <w:ind/>
    </w:pPr>
    <w:tblPr>
      <w:tblBorders>
        <w:top w:sz="4" w:themeColor="accent3" w:themeTint="90" w:val="single"/>
        <w:left w:sz="4" w:themeColor="accent3" w:themeTint="90" w:val="single"/>
        <w:bottom w:sz="4" w:themeColor="accent3" w:themeTint="90" w:val="single"/>
        <w:right w:sz="4" w:themeColor="accent3" w:themeTint="90" w:val="single"/>
        <w:insideH w:sz="4" w:themeColor="accent3" w:themeTint="90" w:val="single"/>
        <w:insideV w:sz="4" w:themeColor="accent3" w:themeTint="90" w:val="single"/>
      </w:tblBorders>
    </w:tblPr>
  </w:style>
  <w:style w:styleId="Style_192" w:type="table">
    <w:name w:val="List Table 1 Light - Accent 4"/>
    <w:basedOn w:val="Style_2"/>
    <w:pPr>
      <w:spacing w:after="0" w:line="240" w:lineRule="auto"/>
      <w:ind/>
    </w:pPr>
  </w:style>
  <w:style w:styleId="Style_193" w:type="table">
    <w:name w:val="Grid Table 1 Light - Accent 3"/>
    <w:basedOn w:val="Style_2"/>
    <w:pPr>
      <w:spacing w:after="0" w:line="240" w:lineRule="auto"/>
      <w:ind/>
    </w:pPr>
    <w:tblPr>
      <w:tblBorders>
        <w:top w:sz="4" w:themeColor="accent3" w:themeTint="67" w:val="single"/>
        <w:left w:sz="4" w:themeColor="accent3" w:themeTint="67" w:val="single"/>
        <w:bottom w:sz="4" w:themeColor="accent3" w:themeTint="67" w:val="single"/>
        <w:right w:sz="4" w:themeColor="accent3" w:themeTint="67" w:val="single"/>
        <w:insideH w:sz="4" w:themeColor="accent3" w:themeTint="67" w:val="single"/>
        <w:insideV w:sz="4" w:themeColor="accent3" w:themeTint="67" w:val="single"/>
      </w:tblBorders>
    </w:tblPr>
  </w:style>
  <w:style w:styleId="Style_194" w:type="table">
    <w:name w:val="Grid Table 4 - Accent 5"/>
    <w:basedOn w:val="Style_2"/>
    <w:pPr>
      <w:spacing w:after="0" w:line="240" w:lineRule="auto"/>
      <w:ind/>
    </w:pPr>
    <w:tblPr>
      <w:tblBorders>
        <w:top w:sz="4" w:themeColor="accent5" w:themeTint="90" w:val="single"/>
        <w:left w:sz="4" w:themeColor="accent5" w:themeTint="90" w:val="single"/>
        <w:bottom w:sz="4" w:themeColor="accent5" w:themeTint="90" w:val="single"/>
        <w:right w:sz="4" w:themeColor="accent5" w:themeTint="90" w:val="single"/>
        <w:insideH w:sz="4" w:themeColor="accent5" w:themeTint="90" w:val="single"/>
        <w:insideV w:sz="4" w:themeColor="accent5" w:themeTint="90" w:val="single"/>
      </w:tblBorders>
    </w:tblPr>
  </w:style>
  <w:style w:styleId="Style_195" w:type="table">
    <w:name w:val="Lined - Accent 1"/>
    <w:basedOn w:val="Style_2"/>
    <w:pPr>
      <w:spacing w:after="0" w:line="240" w:lineRule="auto"/>
      <w:ind/>
    </w:pPr>
    <w:rPr>
      <w:color w:val="404040"/>
    </w:rPr>
  </w:style>
  <w:style w:styleId="Style_196" w:type="table">
    <w:name w:val="Bordered - Accent 1"/>
    <w:basedOn w:val="Style_2"/>
    <w:pPr>
      <w:spacing w:after="0" w:line="240" w:lineRule="auto"/>
      <w:ind/>
    </w:pPr>
    <w:tblPr>
      <w:tblBorders>
        <w:top w:sz="4" w:themeColor="accent1" w:themeTint="67" w:val="single"/>
        <w:left w:sz="4" w:themeColor="accent1" w:themeTint="67" w:val="single"/>
        <w:bottom w:sz="4" w:themeColor="accent1" w:themeTint="67" w:val="single"/>
        <w:right w:sz="4" w:themeColor="accent1" w:themeTint="67" w:val="single"/>
        <w:insideH w:sz="4" w:themeColor="accent1" w:themeTint="67" w:val="single"/>
        <w:insideV w:sz="4" w:themeColor="accent1" w:themeTint="67" w:val="single"/>
      </w:tblBorders>
    </w:tblPr>
  </w:style>
  <w:style w:styleId="Style_197" w:type="table">
    <w:name w:val="Grid Table 4 - Accent 6"/>
    <w:basedOn w:val="Style_2"/>
    <w:pPr>
      <w:spacing w:after="0" w:line="240" w:lineRule="auto"/>
      <w:ind/>
    </w:pPr>
    <w:tblPr>
      <w:tblBorders>
        <w:top w:sz="4" w:themeColor="accent6" w:themeTint="90" w:val="single"/>
        <w:left w:sz="4" w:themeColor="accent6" w:themeTint="90" w:val="single"/>
        <w:bottom w:sz="4" w:themeColor="accent6" w:themeTint="90" w:val="single"/>
        <w:right w:sz="4" w:themeColor="accent6" w:themeTint="90" w:val="single"/>
        <w:insideH w:sz="4" w:themeColor="accent6" w:themeTint="90" w:val="single"/>
        <w:insideV w:sz="4" w:themeColor="accent6" w:themeTint="90" w:val="single"/>
      </w:tblBorders>
    </w:tblPr>
  </w:style>
  <w:style w:styleId="Style_198" w:type="table">
    <w:name w:val="List Table 2 - Accent 2"/>
    <w:basedOn w:val="Style_2"/>
    <w:pPr>
      <w:spacing w:after="0" w:line="240" w:lineRule="auto"/>
      <w:ind/>
    </w:pPr>
    <w:tblPr>
      <w:tblBorders>
        <w:top w:sz="4" w:themeColor="accent2" w:themeTint="90" w:val="single"/>
        <w:bottom w:sz="4" w:themeColor="accent2" w:themeTint="90" w:val="single"/>
        <w:insideH w:sz="4" w:themeColor="accent2" w:themeTint="90" w:val="single"/>
      </w:tblBorders>
    </w:tblPr>
  </w:style>
  <w:style w:styleId="Style_199" w:type="table">
    <w:name w:val="List Table 3 - Accent 1"/>
    <w:basedOn w:val="Style_2"/>
    <w:pPr>
      <w:spacing w:after="0" w:line="240" w:lineRule="auto"/>
      <w:ind/>
    </w:pPr>
    <w:tblPr>
      <w:tblBorders>
        <w:top w:sz="4" w:themeColor="accent1" w:val="single"/>
        <w:left w:sz="4" w:themeColor="accent1" w:val="single"/>
        <w:bottom w:sz="4" w:themeColor="accent1" w:val="single"/>
        <w:right w:sz="4" w:themeColor="accent1" w:val="single"/>
      </w:tblBorders>
    </w:tblPr>
  </w:style>
  <w:style w:styleId="Style_200" w:type="table">
    <w:name w:val="Grid Table 4 - Accent 1"/>
    <w:basedOn w:val="Style_2"/>
    <w:pPr>
      <w:spacing w:after="0" w:line="240" w:lineRule="auto"/>
      <w:ind/>
    </w:pPr>
    <w:tblPr>
      <w:tblBorders>
        <w:top w:sz="4" w:themeColor="accent1" w:themeTint="90" w:val="single"/>
        <w:left w:sz="4" w:themeColor="accent1" w:themeTint="90" w:val="single"/>
        <w:bottom w:sz="4" w:themeColor="accent1" w:themeTint="90" w:val="single"/>
        <w:right w:sz="4" w:themeColor="accent1" w:themeTint="90" w:val="single"/>
        <w:insideH w:sz="4" w:themeColor="accent1" w:themeTint="90" w:val="single"/>
        <w:insideV w:sz="4" w:themeColor="accent1" w:themeTint="90" w:val="single"/>
      </w:tblBorders>
    </w:tblPr>
  </w:style>
  <w:style w:styleId="Style_201" w:type="table">
    <w:name w:val="Lined - Accent 5"/>
    <w:basedOn w:val="Style_2"/>
    <w:pPr>
      <w:spacing w:after="0" w:line="240" w:lineRule="auto"/>
      <w:ind/>
    </w:pPr>
    <w:rPr>
      <w:color w:val="404040"/>
    </w:rPr>
  </w:style>
  <w:style w:styleId="Style_202" w:type="table">
    <w:name w:val="List Table 7 Colorful - Accent 2"/>
    <w:basedOn w:val="Style_2"/>
    <w:pPr>
      <w:spacing w:after="0" w:line="240" w:lineRule="auto"/>
      <w:ind/>
    </w:pPr>
    <w:tblPr>
      <w:tblBorders>
        <w:right w:sz="4" w:themeColor="accent2" w:themeTint="97" w:val="single"/>
      </w:tblBorders>
    </w:tblPr>
  </w:style>
  <w:style w:styleId="Style_203" w:type="table">
    <w:name w:val="Grid Table 1 Light - Accent 2"/>
    <w:basedOn w:val="Style_2"/>
    <w:pPr>
      <w:spacing w:after="0" w:line="240" w:lineRule="auto"/>
      <w:ind/>
    </w:pPr>
    <w:tblPr>
      <w:tblBorders>
        <w:top w:sz="4" w:themeColor="accent2" w:themeTint="67" w:val="single"/>
        <w:left w:sz="4" w:themeColor="accent2" w:themeTint="67" w:val="single"/>
        <w:bottom w:sz="4" w:themeColor="accent2" w:themeTint="67" w:val="single"/>
        <w:right w:sz="4" w:themeColor="accent2" w:themeTint="67" w:val="single"/>
        <w:insideH w:sz="4" w:themeColor="accent2" w:themeTint="67" w:val="single"/>
        <w:insideV w:sz="4" w:themeColor="accent2" w:themeTint="67" w:val="single"/>
      </w:tblBorders>
    </w:tblPr>
  </w:style>
  <w:style w:styleId="Style_204" w:type="table">
    <w:name w:val="Bordered - Accent 2"/>
    <w:basedOn w:val="Style_2"/>
    <w:pPr>
      <w:spacing w:after="0" w:line="240" w:lineRule="auto"/>
      <w:ind/>
    </w:pPr>
    <w:tblPr>
      <w:tblBorders>
        <w:top w:sz="4" w:themeColor="accent2" w:themeTint="67" w:val="single"/>
        <w:left w:sz="4" w:themeColor="accent2" w:themeTint="67" w:val="single"/>
        <w:bottom w:sz="4" w:themeColor="accent2" w:themeTint="67" w:val="single"/>
        <w:right w:sz="4" w:themeColor="accent2" w:themeTint="67" w:val="single"/>
        <w:insideH w:sz="4" w:themeColor="accent2" w:themeTint="67" w:val="single"/>
        <w:insideV w:sz="4" w:themeColor="accent2" w:themeTint="67" w:val="single"/>
      </w:tblBorders>
    </w:tblPr>
  </w:style>
  <w:style w:styleId="Style_205" w:type="table">
    <w:name w:val="List Table 1 Light - Accent 1"/>
    <w:basedOn w:val="Style_2"/>
    <w:pPr>
      <w:spacing w:after="0" w:line="240" w:lineRule="auto"/>
      <w:ind/>
    </w:pPr>
  </w:style>
  <w:style w:styleId="Style_206" w:type="table">
    <w:name w:val="Grid Table 3 - Accent 6"/>
    <w:basedOn w:val="Style_2"/>
    <w:pPr>
      <w:spacing w:after="0" w:line="240" w:lineRule="auto"/>
      <w:ind/>
    </w:pPr>
    <w:tblPr>
      <w:tblBorders>
        <w:bottom w:sz="4" w:themeColor="accent6" w:val="single"/>
        <w:insideH w:sz="4" w:themeColor="accent6" w:val="single"/>
        <w:insideV w:sz="4" w:themeColor="accent6" w:val="single"/>
      </w:tblBorders>
    </w:tblPr>
  </w:style>
  <w:style w:styleId="Style_207" w:type="table">
    <w:name w:val="List Table 7 Colorful - Accent 1"/>
    <w:basedOn w:val="Style_2"/>
    <w:pPr>
      <w:spacing w:after="0" w:line="240" w:lineRule="auto"/>
      <w:ind/>
    </w:pPr>
    <w:tblPr>
      <w:tblBorders>
        <w:right w:sz="4" w:themeColor="accent1" w:val="single"/>
      </w:tblBorders>
    </w:tblPr>
  </w:style>
  <w:style w:styleId="Style_208" w:type="table">
    <w:name w:val="List Table 4"/>
    <w:basedOn w:val="Style_2"/>
    <w:pPr>
      <w:spacing w:after="0" w:line="240" w:lineRule="auto"/>
      <w:ind/>
    </w:pPr>
    <w:tblPr>
      <w:tblBorders>
        <w:top w:sz="4" w:themeColor="text1" w:val="single"/>
        <w:left w:sz="4" w:themeColor="text1" w:val="single"/>
        <w:bottom w:sz="4" w:themeColor="text1" w:val="single"/>
        <w:right w:sz="4" w:themeColor="text1" w:val="single"/>
        <w:insideH w:sz="4" w:themeColor="text1" w:val="single"/>
      </w:tblBorders>
    </w:tblPr>
  </w:style>
  <w:style w:styleId="Style_209" w:type="table">
    <w:name w:val="Plain Table 5"/>
    <w:basedOn w:val="Style_2"/>
    <w:pPr>
      <w:spacing w:after="0" w:line="240" w:lineRule="auto"/>
      <w:ind/>
    </w:pPr>
  </w:style>
  <w:style w:default="1" w:styleId="Style_2" w:type="table">
    <w:name w:val="Normal Table"/>
    <w:tblPr>
      <w:tblInd w:type="dxa" w:w="0"/>
      <w:tblCellMar>
        <w:top w:type="dxa" w:w="0"/>
        <w:left w:type="dxa" w:w="108"/>
        <w:bottom w:type="dxa" w:w="0"/>
        <w:right w:type="dxa" w:w="108"/>
      </w:tblCellMar>
    </w:tblPr>
  </w:style>
  <w:style w:styleId="Style_210" w:type="table">
    <w:name w:val="Grid Table 2 - Accent 4"/>
    <w:basedOn w:val="Style_2"/>
    <w:pPr>
      <w:spacing w:after="0" w:line="240" w:lineRule="auto"/>
      <w:ind/>
    </w:pPr>
    <w:tblPr>
      <w:tblBorders>
        <w:bottom w:sz="4" w:themeColor="accent4" w:themeTint="9A" w:val="single"/>
        <w:insideH w:sz="4" w:themeColor="accent4" w:themeTint="9A" w:val="single"/>
        <w:insideV w:sz="4" w:themeColor="accent4" w:themeTint="9A"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xml" Type="http://schemas.openxmlformats.org/officeDocument/2006/relationships/styles"/>
  <Relationship Id="rId1" Target="header1.xml" Type="http://schemas.openxmlformats.org/officeDocument/2006/relationships/header"/>
  <Relationship Id="rId2" Target="header2.xml" Type="http://schemas.openxmlformats.org/officeDocument/2006/relationships/header"/>
  <Relationship Id="rId3" Target="media/1.jpeg" Type="http://schemas.openxmlformats.org/officeDocument/2006/relationships/image"/>
  <Relationship Id="rId8" Target="webSettings.xml" Type="http://schemas.openxmlformats.org/officeDocument/2006/relationships/webSettings"/>
  <Relationship Id="rId4" Target="fontTable.xml" Type="http://schemas.openxmlformats.org/officeDocument/2006/relationships/fontTable"/>
  <Relationship Id="rId9" Target="theme/theme1.xml" Type="http://schemas.openxmlformats.org/officeDocument/2006/relationships/theme"/>
  <Relationship Id="rId7" Target="stylesWithEffects.xml" Type="http://schemas.microsoft.com/office/2007/relationships/stylesWithEffects"/>
  <Relationship Id="rId5" Target="settings.xml" Type="http://schemas.openxmlformats.org/officeDocument/2006/relationships/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MyOffice-CoreFramework-Linux/34-1238.862.9476.867.1@6a6f965769ddd834e814912714f1fa4bc0274a9d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2026-09-05T06:15:51Z</dcterms:modified>
</cp:coreProperties>
</file>