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61312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lang w:eastAsia="ru-RU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lang w:eastAsia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lang w:eastAsia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ТРАНСПОРТА И ДОРОЖНОГО СТРОИТЕЛЬСТВА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КАМЧАТСКОГО КРАЯ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</w:rPr>
        <w:t xml:space="preserve">ПРИКАЗ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center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0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8"/>
          <w:lang w:eastAsia="ru-RU"/>
        </w:rPr>
      </w:r>
      <w:r>
        <w:rPr>
          <w:rFonts w:ascii="Times New Roman" w:hAnsi="Times New Roman" w:cs="Times New Roman"/>
          <w:color w:val="000000" w:themeColor="text1"/>
          <w:sz w:val="20"/>
          <w:szCs w:val="28"/>
        </w:rPr>
      </w:r>
      <w:r>
        <w:rPr>
          <w:rFonts w:ascii="Times New Roman" w:hAnsi="Times New Roman" w:cs="Times New Roman"/>
          <w:color w:val="000000" w:themeColor="text1"/>
          <w:sz w:val="20"/>
          <w:szCs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2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afterAutospacing="0" w:line="240" w:lineRule="auto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</w:r>
            <w:bookmarkStart w:id="0" w:name="REGNUMDATESTAMP"/>
            <w:r>
              <w:rPr>
                <w:rFonts w:ascii="Times New Roman" w:hAnsi="Times New Roman" w:eastAsia="Times New Roman" w:cs="Times New Roman"/>
                <w:color w:val="ffffff" w:themeColor="background1"/>
                <w:sz w:val="24"/>
              </w:rPr>
              <w:t xml:space="preserve">[Дата регистрации]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ffffff" w:themeColor="background1"/>
                <w:sz w:val="24"/>
              </w:rPr>
              <w:t xml:space="preserve"> [Номер</w:t>
            </w:r>
            <w:r>
              <w:rPr>
                <w:rFonts w:ascii="Times New Roman" w:hAnsi="Times New Roman" w:eastAsia="Times New Roman" w:cs="Times New Roman"/>
                <w:color w:val="ffffff" w:themeColor="background1"/>
                <w:sz w:val="20"/>
              </w:rPr>
              <w:t xml:space="preserve"> документа</w:t>
            </w:r>
            <w:r>
              <w:rPr>
                <w:rFonts w:ascii="Times New Roman" w:hAnsi="Times New Roman" w:eastAsia="Times New Roman" w:cs="Times New Roman"/>
                <w:color w:val="ffffff" w:themeColor="background1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г. Петропавловск-Камчатский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</w:r>
          </w:p>
        </w:tc>
      </w:tr>
    </w:tbl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tbl>
      <w:tblPr>
        <w:tblStyle w:val="874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W w:w="963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Об утверждении Порядка действий заявителей для целей осуществления доступа к дорожной инфраструктуре путем присоединения объектов дорожного сервиса,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устройства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примыканий, размещения рекламных конструкций, прокладки и переустройства инженерных коммуникаций в границах полос отвода и придорожных полос автомобильных дорог общего пользования регионального или межмуниципального значения Камчатского края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</w:tr>
    </w:tbl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В целях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 осуществления доступа к автомобильным дорогам общего пользования регионального или межмуниципального значения                            Камчатского края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ПРИКАЗЫВАЮ: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none"/>
        </w:rPr>
      </w:r>
    </w:p>
    <w:p>
      <w:pPr>
        <w:ind w:firstLine="794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Утвердить Порядок действий заявителей для целей осуществления доступа к дорожной инфраструктуре путем присоединения объектов дорожного сервиса, устройства примыканий, размещения рекламных конструкций, прокладки и переустройства инженерных коммуникаций в гр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аницах полос отвода и придорожных полос автомобильных дорог общего пользования регионального или межмуниципального значения Камчатского края согласно приложению к настоящему приказу.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94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none"/>
        </w:rPr>
        <w:t xml:space="preserve">2. Настоящий приказ вступает в силу после дня его официального опубликования.</w:t>
      </w: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lang w:eastAsia="ru-RU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Cs/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highlight w:val="none"/>
        </w:rPr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8"/>
      </w:tblGrid>
      <w:tr>
        <w:tblPrEx/>
        <w:trPr>
          <w:trHeight w:val="1417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2977" w:type="dxa"/>
            <w:textDirection w:val="lrTb"/>
            <w:noWrap w:val="false"/>
          </w:tcPr>
          <w:p>
            <w:pPr>
              <w:ind w:right="27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none"/>
              </w:rPr>
              <w:t xml:space="preserve">Министр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  <w:p>
            <w:pPr>
              <w:ind w:left="30" w:right="27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394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highlight w:val="none"/>
              </w:rPr>
            </w:r>
            <w:bookmarkStart w:id="2" w:name="SIGNERSTAMP1"/>
            <w:r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4"/>
                <w:highlight w:val="none"/>
              </w:rPr>
              <w:t xml:space="preserve">[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ffffff" w:themeColor="background1"/>
                <w:sz w:val="24"/>
                <w:highlight w:val="none"/>
              </w:rPr>
              <w:t xml:space="preserve">горизонтальный штамп подписи 1]</w:t>
            </w:r>
            <w:bookmarkEnd w:id="2"/>
            <w:r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4"/>
                <w:highlight w:val="none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268" w:type="dxa"/>
            <w:textDirection w:val="lrTb"/>
            <w:noWrap w:val="false"/>
          </w:tcPr>
          <w:p>
            <w:pPr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highlight w:val="none"/>
              </w:rPr>
              <w:t xml:space="preserve">А.С. Сафонов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</w:tc>
      </w:tr>
    </w:tbl>
    <w:p>
      <w:pPr>
        <w:ind w:right="-2" w:firstLine="4860"/>
        <w:spacing w:after="0" w:line="240" w:lineRule="auto"/>
        <w:widowControl w:val="off"/>
        <w:tabs>
          <w:tab w:val="left" w:pos="8222" w:leader="none"/>
        </w:tabs>
        <w:rPr>
          <w:rFonts w:ascii="Times New Roman" w:hAnsi="Times New Roman"/>
          <w:color w:val="000000" w:themeColor="text1"/>
          <w:sz w:val="28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Приложение к приказу Министерства</w:t>
      </w: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highlight w:val="none"/>
        </w:rPr>
      </w:r>
    </w:p>
    <w:p>
      <w:pPr>
        <w:ind w:left="4860" w:right="-2"/>
        <w:spacing w:after="0" w:line="240" w:lineRule="auto"/>
        <w:widowControl w:val="off"/>
        <w:rPr>
          <w:rFonts w:ascii="Times New Roman" w:hAnsi="Times New Roman"/>
          <w:color w:val="000000" w:themeColor="text1"/>
          <w:sz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транспорта и дорожного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строительства Камчатского края</w:t>
      </w: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highlight w:val="none"/>
        </w:rPr>
      </w:r>
    </w:p>
    <w:tbl>
      <w:tblPr>
        <w:tblStyle w:val="874"/>
        <w:tblW w:w="0" w:type="auto"/>
        <w:tblInd w:w="486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868"/>
        <w:gridCol w:w="541"/>
        <w:gridCol w:w="1842"/>
      </w:tblGrid>
      <w:tr>
        <w:tblPrEx/>
        <w:trPr>
          <w:trHeight w:val="447"/>
        </w:trPr>
        <w:tc>
          <w:tcPr>
            <w:tcW w:w="525" w:type="dxa"/>
            <w:textDirection w:val="lrTb"/>
            <w:noWrap w:val="false"/>
          </w:tcPr>
          <w:p>
            <w:pPr>
              <w:ind w:left="-65"/>
              <w:jc w:val="right"/>
              <w:spacing w:after="60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от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1868" w:type="dxa"/>
            <w:textDirection w:val="lrTb"/>
            <w:noWrap w:val="false"/>
          </w:tcPr>
          <w:p>
            <w:pPr>
              <w:jc w:val="right"/>
              <w:spacing w:after="60"/>
              <w:rPr>
                <w:rFonts w:ascii="Times New Roman" w:hAnsi="Times New Roman"/>
                <w:color w:val="ffffff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none"/>
              </w:rPr>
              <w:t xml:space="preserve">[</w:t>
            </w:r>
            <w:r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none"/>
              </w:rPr>
              <w:t xml:space="preserve">]</w:t>
            </w:r>
            <w:r>
              <w:rPr>
                <w:rFonts w:ascii="Times New Roman" w:hAnsi="Times New Roman"/>
                <w:color w:val="ffffff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color w:val="ffffff" w:themeColor="text1"/>
                <w:sz w:val="28"/>
                <w:szCs w:val="28"/>
                <w:highlight w:val="none"/>
              </w:rPr>
            </w:r>
          </w:p>
        </w:tc>
        <w:tc>
          <w:tcPr>
            <w:tcW w:w="541" w:type="dxa"/>
            <w:textDirection w:val="lrTb"/>
            <w:noWrap w:val="false"/>
          </w:tcPr>
          <w:p>
            <w:pPr>
              <w:jc w:val="right"/>
              <w:spacing w:after="60"/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№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none"/>
              </w:rPr>
              <w:t xml:space="preserve">[</w:t>
            </w:r>
            <w:r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none"/>
              </w:rPr>
              <w:t xml:space="preserve">]</w:t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  <w:highlight w:val="none"/>
              </w:rPr>
            </w:r>
          </w:p>
        </w:tc>
      </w:tr>
    </w:tbl>
    <w:p>
      <w:pPr>
        <w:ind w:left="5103" w:right="-2"/>
        <w:jc w:val="right"/>
        <w:spacing w:after="0" w:afterAutospacing="0" w:line="240" w:lineRule="auto"/>
        <w:widowControl w:val="off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Порядок действий заявителей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для целей осуществления доступа к дорожной инфраструктуре путем присоединения объектов дорожного сервиса, устройства примыканий, размещения рекламных конструкций, прокладки и переустройства инженерных коммуникаций в границах пол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ос отвода и придорожных полос автомобильных дорог общего пользования регионального или межмуниципального значения Камчатского края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  <w:t xml:space="preserve">1. Общие положения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Настоящий Порядок устанавливает алгоритм действий заявителей в целях осуществления доступа к дорожной инфраструктуре путем присоединения объектов дорожного сервиса, устройства примыканий, размещения рекламных конструкций, прокладки и переустройства инженер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ных коммуникаций в 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раницах полос отвода и придорожных полос автомобильных дорог общего пользования регионального или межмуниципального значения                      Камчатского края.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качестве заявителей могут выступать физические лица, в том числе индивидуальные предприниматели, граждане, применяющие специальный налоговый режим «Налог на профессиональный доход» (далее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НПД), юридические лица, а также их представители, действующие 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основании доверенности, оформленной в соответствии с законодательством                   Российской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Федерации (далее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заявители).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Настоящий Порядок разработан 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 Правительства Камчатского края от 09.10.2009 № 373-П «Об утверждении критериев отнесения автомобильных дорог общего пользования к автомобильным дорогам общего пользования регионального или межмуниципального значения Камчатского края и об утверждении пере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чня автомобильных дорог общего пользования регионального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или межмуниципального значения Камчатского края» и постановлением Правительства Камчатского края от 20.11.2013 № 501-П «Об утверждении стоимости и перечня услуг по присоединению объектов дорожного се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рвиса к автомобиль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ным дорогам общего пользования регионального или межмуниципального значения Камчатского края».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Правообладателем автомобильных дорог общего пользования регионального или межмуниципального значения Камчатского края в целях настоящего Порядка является краевое государственное ка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зенное учреждение «Управление автомобильных дорог Камчатского края» (далее 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Учреждение).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Учреждение осуществляет взаимодействие с заявителями по вопросам осуществления доступа к дорожной инфраструктуре путем присоединения объектов дорожного сервиса, устройства примыканий, размещения рекламных конструкций, прокладки и переустройства инженерных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коммуникаций в границах полос отвода и придорожных полос автомобильных дорог общего пользования регионального или межмуниципального значения                       Камчатского края.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Порядок и сроки взаимодействия заявителя и Учреждения установлены совместным приказом Министерства транспорта и дорожного строительства Камчатского края и Министерства экономического развития Камчатского края от 02.11.2024 № 58.01/07/294 «Об утверждении ал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горитмов действий инвестора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 обеспечению доступа к дорожной инфраструктуре путем строительства или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реконструкции пересечений и (или) примыканий к автомобильным дорогам».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Приказ от 02.11.2024 № 58.01/07/294 размещен на странице Министерства (kamgov.ru/mintrans) в разделе «Осуществление примыканий к авто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мобильным дорогам регионального значения Камчатского края».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Взаимодействие с заявителями в рамках настоящего Порядка через многофункциональные центры предоставления государственных и муниципальных услуг не предусмотрено.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Результаты рассмотрения заявления 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присоединении объектов дорожного сервиса, устройстве примыканий, размещении рекламных конструкций, прокладке и переустройстве инженерных коммуникаций в границах полос отвода и придорожных полос автомобильных дорог общего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пользования регионального или межмуниципального значения Камчатского края (далее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center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8.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 подается одним из следующих способов: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лично в Учреждение;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2) почтовым отправлением.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9.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Результатами рассмотрения 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аявления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являются: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1)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выдача проекта договора и технических условий на присоединение объектов дорожного сервиса, устройство примыканий, размещение рекламных конструкций, прокладку и переустройство инженерных коммуникаций                   (далее – технические условия);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выдача уведомления об отказе в выдаче технических условий               (далее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уведомление об отказе)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10. Проект договора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технические условия направляются заявителю одновременно. Проект договора содержит сроки, порядок и размер платы за присоединение объектов (если плата предусмотрена).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11.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Срок рассмотрения заявления о выдаче технических условий или уведомления об отказе составляет 30 календарных дней со дня регистрации заявления в Учреждении.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yellow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yellow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yellow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  <w:t xml:space="preserve">12. Уведомление об отказе в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  <w:t xml:space="preserve">выдаче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  <w:t xml:space="preserve"> технических условий направляется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  <w:t xml:space="preserve">заявителю в течение двух рабочих дней после подписания уведомления по указанному в заявлении по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  <w:t xml:space="preserve">чтовому адресу либо по адресу электронной почты.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0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Документы, предоставляемые заявителем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13. Для получения технических условий заявитель представляет в Учреждение заявление в двух экземплярах по форме, установленной приложением к настоящему Порядку.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14. К заявлению прилагаются следующие документы: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1) копия документа, удостоверяющего личность заявителя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копия документа, удостоверяющего личность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представителя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заявителя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(при подаче заявления представителем);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доверенность на право представления интересов заявителя,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оформленная в соответствии с законодательством Российской Федерации                (при подаче заявления представителем);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4) карточка организации с рекви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зитами (для юридического лица);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схема планируемого пересечения или примыкания в масштабе 1:500 с отображением: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а) места пересечения или примыкания к автомобильным дорогам общего пользования регионального или межмуниципального значения                       Камчатского края (далее — автомобильные дороги регион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ального значения);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б) границы полосы отвода и придорожных полос (в случае если они установлены в порядке, предусмотренном законодательством                         Российской Федерации) автомобильной дороги регионального значения;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в) границ территории, в отношении которой утвержд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ена документация по планировке территории для присоединения объектов дорожного сервиса, устройства примыканий, размещения рекламных конструкций, прокладки и переустройства инженерных коммуникаций в границах полос отвода и придорожных полос автомобильных 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рог регионального значения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6) копии ранее выданных согласий на присоединение объектов дорожного сервиса, устройство примыканий, размещение рекламных конструкций, прокладку и (или) переустройство инженерных коммуникаций в границах полос отвода и придорожных полос автомобильных дорог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общего пользования регионального или межмуниципального значения;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правоустанавливающие документы на земельный 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часток                               (за исключением случаев прокладки и (или) переустройства инженерных коммуникаций)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15. 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ля получения технических условий на размещение рекламных конструкций дополнительно предоставляются: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1) проект рекламной конструкции (включая фундамент);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2) расчет рекламной конструкции на прочность и устойчивость с учетом нагрузок и воздействий;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3) схема размещения рекламной конструкции относительно существующих дорожных знаков;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4) эскиз рекламной констр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укции с указанием геометрических параметров.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16.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Для случая присоединения одной автомобильной дороги к другой автомобильной дороге общего пользования регионального или межмуниципального значения заявитель в заявлении делает отметку «Присоединение дороги к дороге» и предоставляет правоустанавливающие доку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менты на присоединяемую дорогу. Технические условия выдаются на безвозмездной основе.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4. </w:t>
      </w:r>
      <w:r>
        <w:rPr>
          <w:rFonts w:ascii="Times New Roman" w:hAnsi="Times New Roman" w:eastAsia="Times New Roman" w:cs="Times New Roman"/>
          <w:color w:val="2c2d2e"/>
          <w:sz w:val="28"/>
          <w:szCs w:val="28"/>
          <w:highlight w:val="white"/>
        </w:rPr>
        <w:t xml:space="preserve">Основания для отказа в выдаче технических условий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17. Основаниями для направления уведомления об отказе являются: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1) отсутствие технической возможности присоединения объекта, устройства примыкания, размещения рекламной конструкции, прокладки или переустройства инженерных коммуникаций в границах полос отвода и придорожных полос автомобильной дороги;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предоставление недостоверных и (или) неполных сведений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18. Отказ по основанию, указанному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пункте 2 части 17 настоящего Порядка,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допу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скается только при условии, что заявитель был уведомлен о недостатках, и они не были устранены в течение срока, указанного в уведомлении.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5. Заключение договора и стоимость присоединения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19. При соответствии представленных документов требованиям настоящего  Порядка и наличии технической возможности, Учреждение в течение 10 рабочих дней со дня истечения срока, указанного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части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9 настоящего Порядка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направля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ет заявителю проект договора и технические условия.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20. Стоимость присоединения объектов дорожного сервиса к автомобильным дорогам регионального или межмуниципального значения устанавливается постановлением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Правительства Камчатского края от 20.11.2013 № 501-П «Об утверждении стоимости и перечня услуг по присоединению объектов дорожного сервиса к автомобильным дорогам общего пользования регионального или межм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униципального значения Камчатского края»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21. Плата за присоединение объ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ектов дорожного сервиса вносится заявителем на расчетный счет Учре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ждения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22. Присоединение одной автомобильной дороги к другой автомобильной дороге общего пользования регио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нального или межмуниципального значения осуществляется на безвозмездной основе на основании отдельного соглашения, заключаемого между Учреждением и владельцем присоединяемой дороги.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center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center"/>
        <w:spacing w:after="0" w:afterAutospacing="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Приложение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к Порядку действий заявителей для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целей осуществления доступа к дорожной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инфраструкту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ре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путем присоединения объектов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дорожного сервиса, устройство примыканий,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размещение рекламных конструкций, прокладку и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переустройство инженерных коммуникаций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в границах полос отвода и придорожных полос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автомобильных дорог общего пользования региональ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ного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right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или межмуниципального значения Камчатского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tbl>
      <w:tblPr>
        <w:tblStyle w:val="874"/>
        <w:tblW w:w="94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>
        <w:tblPrEx/>
        <w:trPr/>
        <w:tc>
          <w:tcPr>
            <w:gridSpan w:val="2"/>
            <w:tcW w:w="94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(НА ФИРМЕННОМ БЛАНКЕ ЗАЯВИТЕЛЯ)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49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КГКУ «Управление автомобильных дорог Камчатского края»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от заявителя: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(Ф.И.О. для физ.лица / ИП / самозанятого или полное наименование для юр.лица)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в лице представителя: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(если применимо)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auto" w:sz="4" w:space="0"/>
            </w:tcBorders>
            <w:tcW w:w="467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(Ф.И.О. представителя, реквизиты доверенности – при наличии)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4678" w:type="dxa"/>
            <w:vAlign w:val="center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Почтовый адрес заявителя: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Контактный телефон: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820" w:type="dxa"/>
            <w:vAlign w:val="center"/>
            <w:textDirection w:val="lrTb"/>
            <w:noWrap w:val="false"/>
          </w:tcPr>
          <w:p>
            <w:pPr>
              <w:contextualSpacing/>
              <w:jc w:val="right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Адрес электронной почты: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pStyle w:val="888"/>
        <w:contextualSpacing/>
        <w:jc w:val="center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8"/>
        <w:contextualSpacing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  <w:lang w:val="ru-RU"/>
        </w:rPr>
        <w:t xml:space="preserve">Заявление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888"/>
        <w:contextualSpacing/>
        <w:jc w:val="center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 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ыдаче технических условий и проекта договора на размещение объекта в границах полос отвода и придорожных полос автомобильных дорог общего пользования регионального или межмуниципального значения Камчатского кра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  <w:t xml:space="preserve">я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8"/>
        <w:contextualSpacing/>
        <w:ind w:firstLine="851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tbl>
      <w:tblPr>
        <w:tblStyle w:val="874"/>
        <w:tblW w:w="9784" w:type="dxa"/>
        <w:tblInd w:w="-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9784"/>
      </w:tblGrid>
      <w:tr>
        <w:tblPrEx/>
        <w:trPr/>
        <w:tc>
          <w:tcPr>
            <w:tcW w:w="9784" w:type="dxa"/>
            <w:textDirection w:val="lrTb"/>
            <w:noWrap w:val="false"/>
          </w:tcPr>
          <w:p>
            <w:pPr>
              <w:pStyle w:val="888"/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Прошу выдать технические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условия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проект договора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на: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784" w:type="dxa"/>
            <w:textDirection w:val="lrTb"/>
            <w:noWrap w:val="false"/>
          </w:tcPr>
          <w:p>
            <w:pPr>
              <w:pStyle w:val="888"/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784" w:type="dxa"/>
            <w:textDirection w:val="lrTb"/>
            <w:noWrap w:val="false"/>
          </w:tcPr>
          <w:p>
            <w:pPr>
              <w:pStyle w:val="888"/>
              <w:contextualSpacing/>
              <w:jc w:val="both"/>
              <w:spacing w:after="0" w:afterAutospacing="0" w:line="240" w:lineRule="auto"/>
              <w:tabs>
                <w:tab w:val="left" w:pos="7567" w:leader="none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784" w:type="dxa"/>
            <w:textDirection w:val="lrTb"/>
            <w:noWrap w:val="false"/>
          </w:tcPr>
          <w:p>
            <w:pPr>
              <w:pStyle w:val="888"/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784" w:type="dxa"/>
            <w:textDirection w:val="lrTb"/>
            <w:noWrap w:val="false"/>
          </w:tcPr>
          <w:p>
            <w:pPr>
              <w:pStyle w:val="888"/>
              <w:contextualSpacing/>
              <w:ind w:left="-138" w:right="-73"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  <w:lang w:val="ru-RU"/>
              </w:rPr>
              <w:t xml:space="preserve">(присоединение объекта дорожного сервиса;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  <w:lang w:val="ru-RU"/>
              </w:rPr>
              <w:t xml:space="preserve">присоединение дороги к дороге (безвозмездно)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  <w:lang w:val="ru-RU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  <w:lang w:val="ru-RU"/>
              </w:rPr>
              <w:t xml:space="preserve">устрой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  <w:lang w:val="ru-RU"/>
              </w:rPr>
              <w:t xml:space="preserve">ство примыкания; размещение рекламной конструкции; прокладку и (или) переустройство инженерных коммуникаций в границах полос отвода и придорожных полос автомобильной дороги общего пользования регионального или межмуниципального значения Камчатского края)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</w:p>
          <w:p>
            <w:pPr>
              <w:pStyle w:val="888"/>
              <w:contextualSpacing/>
              <w:ind w:left="-138" w:right="-73"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в границах полосы отвода и (или)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придорожной полосы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автомобильной дороги _____________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784" w:type="dxa"/>
            <w:textDirection w:val="lrTb"/>
            <w:noWrap w:val="false"/>
          </w:tcPr>
          <w:p>
            <w:pPr>
              <w:pStyle w:val="888"/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</w:tcBorders>
            <w:tcW w:w="9784" w:type="dxa"/>
            <w:textDirection w:val="lrTb"/>
            <w:noWrap w:val="false"/>
          </w:tcPr>
          <w:p>
            <w:pPr>
              <w:pStyle w:val="888"/>
              <w:contextualSpacing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784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  <w:lang w:val="ru-RU"/>
              </w:rPr>
              <w:t xml:space="preserve">(наименование автомобильной дороги)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pStyle w:val="888"/>
        <w:contextualSpacing/>
        <w:ind w:firstLine="851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8"/>
        <w:contextualSpacing/>
        <w:ind w:firstLine="851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8"/>
        <w:contextualSpacing/>
        <w:ind w:firstLine="851"/>
        <w:jc w:val="both"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tbl>
      <w:tblPr>
        <w:tblStyle w:val="874"/>
        <w:tblW w:w="9787" w:type="dxa"/>
        <w:tblInd w:w="-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304"/>
        <w:gridCol w:w="1961"/>
        <w:gridCol w:w="32"/>
        <w:gridCol w:w="677"/>
        <w:gridCol w:w="283"/>
        <w:gridCol w:w="1844"/>
        <w:gridCol w:w="2301"/>
      </w:tblGrid>
      <w:tr>
        <w:tblPrEx/>
        <w:trPr/>
        <w:tc>
          <w:tcPr>
            <w:gridSpan w:val="8"/>
            <w:shd w:val="clear" w:color="auto" w:fill="d9d9d9" w:themeFill="background1" w:themeFillShade="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1. Сведения о заявителе (нужное заполнить)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Статус заявителя: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Borders>
              <w:top w:val="single" w:color="auto" w:sz="4" w:space="0"/>
            </w:tcBorders>
            <w:tcW w:w="7098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физическое лицо (не ИП, не самозанятый)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2689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(нужное указать)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W w:w="7098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индивидуальный предприниматель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2689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W w:w="7098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самозанятый (НПД)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2689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W w:w="7098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юридическое лицо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2689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W w:w="7098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представитель заявителя (заполнить также раздел 1.1)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2689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6"/>
            <w:tcBorders>
              <w:bottom w:val="single" w:color="auto" w:sz="4" w:space="0"/>
            </w:tcBorders>
            <w:tcW w:w="7098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shd w:val="clear" w:color="auto" w:fill="d9d9d9" w:themeFill="background1" w:themeFillShade="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1.1 Общие сведения (для всех)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Фамилия, имя, отчество (при наличии):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Для юридического лица – дополнительно полное наименование и Ф.И.О. руководителя: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238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ИНН/КПП: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7"/>
            <w:tcBorders>
              <w:top w:val="single" w:color="auto" w:sz="4" w:space="0"/>
              <w:bottom w:val="single" w:color="auto" w:sz="4" w:space="0"/>
            </w:tcBorders>
            <w:tcW w:w="740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238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ОГРН/ОГРНИП: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7"/>
            <w:tcBorders>
              <w:top w:val="single" w:color="auto" w:sz="4" w:space="0"/>
              <w:bottom w:val="single" w:color="auto" w:sz="4" w:space="0"/>
            </w:tcBorders>
            <w:tcW w:w="740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Справка о постановке на учет НПД (для самозанятых): дата, номер, кем выдана: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auto" w:sz="4" w:space="0"/>
            </w:tcBorders>
            <w:tcW w:w="7486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Документ, удостоверяющий личность (серия, номер, дата, кем выдан):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301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</w:tcBorders>
            <w:tcW w:w="4650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Адрес места нахождения / регистрации: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513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</w:tcBorders>
            <w:tcW w:w="4650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Контактный телефон, факс (при наличии):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513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W w:w="4650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Адрес электронной почты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(при наличии)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513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shd w:val="clear" w:color="auto" w:fill="d9d9d9" w:themeFill="background1" w:themeFillShade="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1.2 Для представителя (заполняется, если заявление подает представитель):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auto" w:sz="4" w:space="0"/>
            </w:tcBorders>
            <w:tcW w:w="4650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Фамилия, имя, отчество представителя: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5"/>
            <w:tcBorders>
              <w:top w:val="single" w:color="auto" w:sz="4" w:space="0"/>
              <w:bottom w:val="single" w:color="auto" w:sz="4" w:space="0"/>
            </w:tcBorders>
            <w:tcW w:w="513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auto" w:sz="4" w:space="0"/>
            </w:tcBorders>
            <w:tcW w:w="468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Доверенность (номер, дата, срок действия):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510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Документ, удостоверяющий личность представителя (серия, номер, дата, кем выдан):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shd w:val="clear" w:color="auto" w:fill="d9d9d9" w:themeFill="background1" w:themeFillShade="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2. Сведения об объекте и месте присоединения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</w:tcBorders>
            <w:tcW w:w="5359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Наименование и вид объекта дорожного сервиса: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3"/>
            <w:tcBorders>
              <w:top w:val="single" w:color="auto" w:sz="4" w:space="0"/>
              <w:bottom w:val="single" w:color="auto" w:sz="4" w:space="0"/>
            </w:tcBorders>
            <w:tcW w:w="4428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auto" w:sz="4" w:space="0"/>
            </w:tcBorders>
            <w:tcW w:w="564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Площадь объекта (кв. м):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14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W w:w="564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Кадастровый номер земельного участка (если есть):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14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W w:w="564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Автомобильная дорога (наименование):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14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W w:w="564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Участок (км, м):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14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W w:w="564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Сторона расположения (справа / слева):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14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W w:w="564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Координаты характерных угловых точек в WGS84: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14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W w:w="564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Для примыканий: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414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W w:w="564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- перспективная интенсивность движения: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414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6"/>
            <w:tcW w:w="5642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- состав движения: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145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shd w:val="clear" w:color="auto" w:fill="d9d9d9" w:themeFill="background1" w:themeFillShade="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3. Способ получения результата рассмотрения заявления (выбрать один)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лично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по почте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по электронной почте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shd w:val="clear" w:color="auto" w:fill="d9d9d9" w:themeFill="background1" w:themeFillShade="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4. Перечень прилагаемых документов (отметить нужное)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копия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документа, удостоверяющего личность заявителя;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копия документа, удостоверяющего личность представителя (при наличии);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доверенность на право представления интересов (для представителя);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карточка организации с реквизитами (для юр.лица);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справка о постановке на учет плательщика НПД (для самозанятых);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схема планируемого пересечения и/или примыкания в масштабе 1:500 с отображением границ полосы отвода и придорожных полос;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сведения об утверждении документации по планировке территории (при наличии);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копии ранее выданных согласий 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присоединение объектов дорожного сервиса, устройства примыканий, размещени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е рекламных конструкций, прокладку и (или) переустройство инженерных коммуникаций (при наличии)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правоустанавливающие документы на земельный участок;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☐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для рекламных конструкций: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 - проект рекламной конструкции (включая фундамент);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 - расчет на прочность и устойчивость;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 - схема размещения относительно дорожных знаков;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 - эскиз с геометрическими параметрами.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bottom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shd w:val="clear" w:color="auto" w:fill="d9d9d9" w:themeFill="background1" w:themeFillShade="D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5. Подтверждение достоверности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</w:tcBorders>
            <w:tcW w:w="9787" w:type="dxa"/>
            <w:textDirection w:val="lrTb"/>
            <w:noWrap w:val="false"/>
          </w:tcPr>
          <w:p>
            <w:pPr>
              <w:pStyle w:val="888"/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Достоверность и полноту представленных сведений подтверждаю.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contextualSpacing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tbl>
      <w:tblPr>
        <w:tblStyle w:val="874"/>
        <w:tblW w:w="0" w:type="auto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9"/>
        <w:gridCol w:w="447"/>
        <w:gridCol w:w="356"/>
        <w:gridCol w:w="2035"/>
        <w:gridCol w:w="1061"/>
        <w:gridCol w:w="2400"/>
        <w:gridCol w:w="278"/>
        <w:gridCol w:w="2625"/>
      </w:tblGrid>
      <w:tr>
        <w:tblPrEx/>
        <w:trPr/>
        <w:tc>
          <w:tcPr>
            <w:tcW w:w="369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auto" w:sz="4" w:space="0"/>
            </w:tcBorders>
            <w:tcW w:w="447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356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auto" w:sz="4" w:space="0"/>
            </w:tcBorders>
            <w:tcW w:w="2035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1061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20___ 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78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bottom w:val="single" w:color="auto" w:sz="4" w:space="0"/>
            </w:tcBorders>
            <w:tcW w:w="2625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5"/>
            <w:tcW w:w="426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(дата составления заявления)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</w:p>
        </w:tc>
        <w:tc>
          <w:tcPr>
            <w:tcBorders>
              <w:top w:val="single" w:color="auto" w:sz="4" w:space="0"/>
            </w:tcBorders>
            <w:tcW w:w="2400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(подпись заявителя/представителя)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</w:p>
        </w:tc>
        <w:tc>
          <w:tcPr>
            <w:tcW w:w="278" w:type="dxa"/>
            <w:textDirection w:val="lrTb"/>
            <w:noWrap w:val="false"/>
          </w:tcPr>
          <w:p>
            <w:pPr>
              <w:contextualSpacing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</w:p>
        </w:tc>
        <w:tc>
          <w:tcPr>
            <w:tcBorders>
              <w:top w:val="single" w:color="auto" w:sz="4" w:space="0"/>
            </w:tcBorders>
            <w:tcW w:w="2625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(ФИО)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gridSpan w:val="5"/>
            <w:tcW w:w="4268" w:type="dxa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3"/>
            <w:tcW w:w="5303" w:type="dxa"/>
            <w:vAlign w:val="bottom"/>
            <w:textDirection w:val="lrTb"/>
            <w:noWrap w:val="false"/>
          </w:tcPr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МП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/>
              <w:jc w:val="center"/>
              <w:spacing w:after="0" w:afterAutospacing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highlight w:val="none"/>
              </w:rPr>
              <w:t xml:space="preserve">(при наличии)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none"/>
              </w:rPr>
            </w:r>
          </w:p>
        </w:tc>
      </w:tr>
    </w:tbl>
    <w:p>
      <w:pPr>
        <w:contextualSpacing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</w:p>
    <w:p>
      <w:pPr>
        <w:spacing w:after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Segoe U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04585755"/>
      <w:docPartObj>
        <w:docPartGallery w:val="Page Numbers (Top of Page)"/>
        <w:docPartUnique w:val="true"/>
      </w:docPartObj>
      <w:rPr/>
    </w:sdtPr>
    <w:sdtContent>
      <w:p>
        <w:pPr>
          <w:pStyle w:val="88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1 Char"/>
    <w:basedOn w:val="706"/>
    <w:link w:val="69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1">
    <w:name w:val="Heading 2 Char"/>
    <w:basedOn w:val="706"/>
    <w:link w:val="698"/>
    <w:uiPriority w:val="9"/>
    <w:rPr>
      <w:rFonts w:ascii="Liberation Sans" w:hAnsi="Liberation Sans" w:eastAsia="Liberation Sans" w:cs="Liberation Sans"/>
      <w:sz w:val="34"/>
    </w:rPr>
  </w:style>
  <w:style w:type="character" w:styleId="682">
    <w:name w:val="Heading 3 Char"/>
    <w:basedOn w:val="706"/>
    <w:link w:val="69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4 Char"/>
    <w:basedOn w:val="706"/>
    <w:link w:val="70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4">
    <w:name w:val="Heading 5 Char"/>
    <w:basedOn w:val="706"/>
    <w:link w:val="7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5">
    <w:name w:val="Heading 6 Char"/>
    <w:basedOn w:val="706"/>
    <w:link w:val="70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6">
    <w:name w:val="Heading 7 Char"/>
    <w:basedOn w:val="706"/>
    <w:link w:val="70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7">
    <w:name w:val="Heading 8 Char"/>
    <w:basedOn w:val="706"/>
    <w:link w:val="70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8">
    <w:name w:val="Heading 9 Char"/>
    <w:basedOn w:val="706"/>
    <w:link w:val="70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Title Char"/>
    <w:basedOn w:val="706"/>
    <w:link w:val="720"/>
    <w:uiPriority w:val="10"/>
    <w:rPr>
      <w:sz w:val="48"/>
      <w:szCs w:val="48"/>
    </w:rPr>
  </w:style>
  <w:style w:type="character" w:styleId="690">
    <w:name w:val="Subtitle Char"/>
    <w:basedOn w:val="706"/>
    <w:link w:val="722"/>
    <w:uiPriority w:val="11"/>
    <w:rPr>
      <w:sz w:val="24"/>
      <w:szCs w:val="24"/>
    </w:rPr>
  </w:style>
  <w:style w:type="character" w:styleId="691">
    <w:name w:val="Quote Char"/>
    <w:link w:val="724"/>
    <w:uiPriority w:val="29"/>
    <w:rPr>
      <w:i/>
    </w:rPr>
  </w:style>
  <w:style w:type="character" w:styleId="692">
    <w:name w:val="Intense Quote Char"/>
    <w:link w:val="726"/>
    <w:uiPriority w:val="30"/>
    <w:rPr>
      <w:i/>
    </w:rPr>
  </w:style>
  <w:style w:type="character" w:styleId="693">
    <w:name w:val="Caption Char"/>
    <w:basedOn w:val="706"/>
    <w:link w:val="730"/>
    <w:uiPriority w:val="35"/>
    <w:rPr>
      <w:b/>
      <w:bCs/>
      <w:color w:val="4f81bd" w:themeColor="accent1"/>
      <w:sz w:val="18"/>
      <w:szCs w:val="18"/>
    </w:rPr>
  </w:style>
  <w:style w:type="character" w:styleId="694">
    <w:name w:val="Footnote Text Char"/>
    <w:link w:val="857"/>
    <w:uiPriority w:val="99"/>
    <w:rPr>
      <w:sz w:val="18"/>
    </w:rPr>
  </w:style>
  <w:style w:type="character" w:styleId="695">
    <w:name w:val="Endnote Text Char"/>
    <w:link w:val="860"/>
    <w:uiPriority w:val="99"/>
    <w:rPr>
      <w:sz w:val="20"/>
    </w:rPr>
  </w:style>
  <w:style w:type="paragraph" w:styleId="696" w:default="1">
    <w:name w:val="Normal"/>
    <w:qFormat/>
  </w:style>
  <w:style w:type="paragraph" w:styleId="697">
    <w:name w:val="Heading 1"/>
    <w:basedOn w:val="696"/>
    <w:next w:val="696"/>
    <w:link w:val="70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8">
    <w:name w:val="Heading 2"/>
    <w:basedOn w:val="696"/>
    <w:next w:val="696"/>
    <w:link w:val="71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9">
    <w:name w:val="Heading 3"/>
    <w:basedOn w:val="696"/>
    <w:next w:val="696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0">
    <w:name w:val="Heading 4"/>
    <w:basedOn w:val="696"/>
    <w:next w:val="696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1">
    <w:name w:val="Heading 5"/>
    <w:basedOn w:val="696"/>
    <w:next w:val="696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696"/>
    <w:next w:val="696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03">
    <w:name w:val="Heading 7"/>
    <w:basedOn w:val="696"/>
    <w:next w:val="696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04">
    <w:name w:val="Heading 8"/>
    <w:basedOn w:val="696"/>
    <w:next w:val="696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5">
    <w:name w:val="Heading 9"/>
    <w:basedOn w:val="696"/>
    <w:next w:val="696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6" w:default="1">
    <w:name w:val="Default Paragraph Font"/>
    <w:uiPriority w:val="1"/>
    <w:semiHidden/>
    <w:unhideWhenUsed/>
  </w:style>
  <w:style w:type="table" w:styleId="7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8" w:default="1">
    <w:name w:val="No List"/>
    <w:uiPriority w:val="99"/>
    <w:semiHidden/>
    <w:unhideWhenUsed/>
  </w:style>
  <w:style w:type="character" w:styleId="709" w:customStyle="1">
    <w:name w:val="Заголовок 1 Знак"/>
    <w:basedOn w:val="706"/>
    <w:link w:val="697"/>
    <w:uiPriority w:val="9"/>
    <w:rPr>
      <w:rFonts w:ascii="Arial" w:hAnsi="Arial" w:eastAsia="Arial" w:cs="Arial"/>
      <w:sz w:val="40"/>
      <w:szCs w:val="40"/>
    </w:rPr>
  </w:style>
  <w:style w:type="character" w:styleId="710" w:customStyle="1">
    <w:name w:val="Заголовок 2 Знак"/>
    <w:basedOn w:val="706"/>
    <w:link w:val="698"/>
    <w:uiPriority w:val="9"/>
    <w:rPr>
      <w:rFonts w:ascii="Arial" w:hAnsi="Arial" w:eastAsia="Arial" w:cs="Arial"/>
      <w:sz w:val="34"/>
    </w:rPr>
  </w:style>
  <w:style w:type="character" w:styleId="711" w:customStyle="1">
    <w:name w:val="Заголовок 3 Знак"/>
    <w:basedOn w:val="706"/>
    <w:link w:val="699"/>
    <w:uiPriority w:val="9"/>
    <w:rPr>
      <w:rFonts w:ascii="Arial" w:hAnsi="Arial" w:eastAsia="Arial" w:cs="Arial"/>
      <w:sz w:val="30"/>
      <w:szCs w:val="30"/>
    </w:rPr>
  </w:style>
  <w:style w:type="character" w:styleId="712" w:customStyle="1">
    <w:name w:val="Заголовок 4 Знак"/>
    <w:basedOn w:val="706"/>
    <w:link w:val="700"/>
    <w:uiPriority w:val="9"/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Заголовок 5 Знак"/>
    <w:basedOn w:val="706"/>
    <w:link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714" w:customStyle="1">
    <w:name w:val="Заголовок 6 Знак"/>
    <w:basedOn w:val="706"/>
    <w:link w:val="702"/>
    <w:uiPriority w:val="9"/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Заголовок 7 Знак"/>
    <w:basedOn w:val="70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 w:customStyle="1">
    <w:name w:val="Заголовок 8 Знак"/>
    <w:basedOn w:val="706"/>
    <w:link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Заголовок 9 Знак"/>
    <w:basedOn w:val="706"/>
    <w:link w:val="705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696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after="0" w:line="240" w:lineRule="auto"/>
    </w:pPr>
  </w:style>
  <w:style w:type="paragraph" w:styleId="720">
    <w:name w:val="Title"/>
    <w:basedOn w:val="696"/>
    <w:next w:val="696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 w:customStyle="1">
    <w:name w:val="Заголовок Знак"/>
    <w:basedOn w:val="706"/>
    <w:link w:val="720"/>
    <w:uiPriority w:val="10"/>
    <w:rPr>
      <w:sz w:val="48"/>
      <w:szCs w:val="48"/>
    </w:rPr>
  </w:style>
  <w:style w:type="paragraph" w:styleId="722">
    <w:name w:val="Subtitle"/>
    <w:basedOn w:val="696"/>
    <w:next w:val="696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 w:customStyle="1">
    <w:name w:val="Подзаголовок Знак"/>
    <w:basedOn w:val="706"/>
    <w:link w:val="722"/>
    <w:uiPriority w:val="11"/>
    <w:rPr>
      <w:sz w:val="24"/>
      <w:szCs w:val="24"/>
    </w:rPr>
  </w:style>
  <w:style w:type="paragraph" w:styleId="724">
    <w:name w:val="Quote"/>
    <w:basedOn w:val="696"/>
    <w:next w:val="696"/>
    <w:link w:val="725"/>
    <w:uiPriority w:val="29"/>
    <w:qFormat/>
    <w:pPr>
      <w:ind w:left="720" w:right="720"/>
    </w:pPr>
    <w:rPr>
      <w:i/>
    </w:rPr>
  </w:style>
  <w:style w:type="character" w:styleId="725" w:customStyle="1">
    <w:name w:val="Цитата 2 Знак"/>
    <w:link w:val="724"/>
    <w:uiPriority w:val="29"/>
    <w:rPr>
      <w:i/>
    </w:rPr>
  </w:style>
  <w:style w:type="paragraph" w:styleId="726">
    <w:name w:val="Intense Quote"/>
    <w:basedOn w:val="696"/>
    <w:next w:val="696"/>
    <w:link w:val="72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 w:customStyle="1">
    <w:name w:val="Выделенная цитата Знак"/>
    <w:link w:val="726"/>
    <w:uiPriority w:val="30"/>
    <w:rPr>
      <w:i/>
    </w:rPr>
  </w:style>
  <w:style w:type="character" w:styleId="728" w:customStyle="1">
    <w:name w:val="Header Char"/>
    <w:basedOn w:val="706"/>
    <w:uiPriority w:val="99"/>
  </w:style>
  <w:style w:type="character" w:styleId="729" w:customStyle="1">
    <w:name w:val="Footer Char"/>
    <w:basedOn w:val="706"/>
    <w:uiPriority w:val="99"/>
  </w:style>
  <w:style w:type="paragraph" w:styleId="730">
    <w:name w:val="Caption"/>
    <w:basedOn w:val="696"/>
    <w:next w:val="696"/>
    <w:link w:val="731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31" w:customStyle="1">
    <w:name w:val="Название объекта Знак"/>
    <w:basedOn w:val="706"/>
    <w:link w:val="730"/>
    <w:uiPriority w:val="35"/>
    <w:rPr>
      <w:b/>
      <w:bCs/>
      <w:color w:val="5b9bd5" w:themeColor="accent1"/>
      <w:sz w:val="18"/>
      <w:szCs w:val="18"/>
    </w:rPr>
  </w:style>
  <w:style w:type="table" w:styleId="732" w:customStyle="1">
    <w:name w:val="Table Grid Light"/>
    <w:basedOn w:val="70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3">
    <w:name w:val="Plain Table 1"/>
    <w:basedOn w:val="70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7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 w:customStyle="1">
    <w:name w:val="Grid Table 4 - Accent 1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1" w:customStyle="1">
    <w:name w:val="Grid Table 4 - Accent 2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2" w:customStyle="1">
    <w:name w:val="Grid Table 4 - Accent 3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3" w:customStyle="1">
    <w:name w:val="Grid Table 4 - Accent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4" w:customStyle="1">
    <w:name w:val="Grid Table 4 - Accent 5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5" w:customStyle="1">
    <w:name w:val="Grid Table 4 - Accent 6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6">
    <w:name w:val="Grid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3">
    <w:name w:val="Grid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4" w:customStyle="1">
    <w:name w:val="Grid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5" w:customStyle="1">
    <w:name w:val="Grid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6" w:customStyle="1">
    <w:name w:val="Grid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7" w:customStyle="1">
    <w:name w:val="Grid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8" w:customStyle="1">
    <w:name w:val="Grid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9" w:customStyle="1">
    <w:name w:val="Grid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0">
    <w:name w:val="Grid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1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2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6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>
    <w:name w:val="List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3" w:customStyle="1">
    <w:name w:val="List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4" w:customStyle="1">
    <w:name w:val="List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5" w:customStyle="1">
    <w:name w:val="List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6" w:customStyle="1">
    <w:name w:val="List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7" w:customStyle="1">
    <w:name w:val="List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8" w:customStyle="1">
    <w:name w:val="List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9">
    <w:name w:val="List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ned - Accent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7" w:customStyle="1">
    <w:name w:val="Lined - Accent 1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8" w:customStyle="1">
    <w:name w:val="Lined - Accent 2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9" w:customStyle="1">
    <w:name w:val="Lined - Accent 3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0" w:customStyle="1">
    <w:name w:val="Lined - Accent 4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1" w:customStyle="1">
    <w:name w:val="Lined - Accent 5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2" w:customStyle="1">
    <w:name w:val="Lined - Accent 6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3" w:customStyle="1">
    <w:name w:val="Bordered &amp; Lined - Accent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4" w:customStyle="1">
    <w:name w:val="Bordered &amp; Lined - Accent 1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5" w:customStyle="1">
    <w:name w:val="Bordered &amp; Lined - Accent 2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6" w:customStyle="1">
    <w:name w:val="Bordered &amp; Lined - Accent 3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7" w:customStyle="1">
    <w:name w:val="Bordered &amp; Lined - Accent 4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8" w:customStyle="1">
    <w:name w:val="Bordered &amp; Lined - Accent 5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9" w:customStyle="1">
    <w:name w:val="Bordered &amp; Lined - Accent 6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0" w:customStyle="1">
    <w:name w:val="Bordered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1" w:customStyle="1">
    <w:name w:val="Bordered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2" w:customStyle="1">
    <w:name w:val="Bordered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3" w:customStyle="1">
    <w:name w:val="Bordered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4" w:customStyle="1">
    <w:name w:val="Bordered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5" w:customStyle="1">
    <w:name w:val="Bordered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6" w:customStyle="1">
    <w:name w:val="Bordered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7">
    <w:name w:val="footnote text"/>
    <w:basedOn w:val="696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 w:customStyle="1">
    <w:name w:val="Текст сноски Знак"/>
    <w:link w:val="857"/>
    <w:uiPriority w:val="99"/>
    <w:rPr>
      <w:sz w:val="18"/>
    </w:rPr>
  </w:style>
  <w:style w:type="character" w:styleId="859">
    <w:name w:val="footnote reference"/>
    <w:basedOn w:val="706"/>
    <w:uiPriority w:val="99"/>
    <w:unhideWhenUsed/>
    <w:rPr>
      <w:vertAlign w:val="superscript"/>
    </w:rPr>
  </w:style>
  <w:style w:type="paragraph" w:styleId="860">
    <w:name w:val="endnote text"/>
    <w:basedOn w:val="696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 w:customStyle="1">
    <w:name w:val="Текст концевой сноски Знак"/>
    <w:link w:val="860"/>
    <w:uiPriority w:val="99"/>
    <w:rPr>
      <w:sz w:val="20"/>
    </w:rPr>
  </w:style>
  <w:style w:type="character" w:styleId="862">
    <w:name w:val="endnote reference"/>
    <w:basedOn w:val="706"/>
    <w:uiPriority w:val="99"/>
    <w:semiHidden/>
    <w:unhideWhenUsed/>
    <w:rPr>
      <w:vertAlign w:val="superscript"/>
    </w:rPr>
  </w:style>
  <w:style w:type="paragraph" w:styleId="863">
    <w:name w:val="toc 1"/>
    <w:basedOn w:val="696"/>
    <w:next w:val="696"/>
    <w:uiPriority w:val="39"/>
    <w:unhideWhenUsed/>
    <w:pPr>
      <w:spacing w:after="57"/>
    </w:pPr>
  </w:style>
  <w:style w:type="paragraph" w:styleId="864">
    <w:name w:val="toc 2"/>
    <w:basedOn w:val="696"/>
    <w:next w:val="696"/>
    <w:uiPriority w:val="39"/>
    <w:unhideWhenUsed/>
    <w:pPr>
      <w:ind w:left="283"/>
      <w:spacing w:after="57"/>
    </w:pPr>
  </w:style>
  <w:style w:type="paragraph" w:styleId="865">
    <w:name w:val="toc 3"/>
    <w:basedOn w:val="696"/>
    <w:next w:val="696"/>
    <w:uiPriority w:val="39"/>
    <w:unhideWhenUsed/>
    <w:pPr>
      <w:ind w:left="567"/>
      <w:spacing w:after="57"/>
    </w:pPr>
  </w:style>
  <w:style w:type="paragraph" w:styleId="866">
    <w:name w:val="toc 4"/>
    <w:basedOn w:val="696"/>
    <w:next w:val="696"/>
    <w:uiPriority w:val="39"/>
    <w:unhideWhenUsed/>
    <w:pPr>
      <w:ind w:left="850"/>
      <w:spacing w:after="57"/>
    </w:pPr>
  </w:style>
  <w:style w:type="paragraph" w:styleId="867">
    <w:name w:val="toc 5"/>
    <w:basedOn w:val="696"/>
    <w:next w:val="696"/>
    <w:uiPriority w:val="39"/>
    <w:unhideWhenUsed/>
    <w:pPr>
      <w:ind w:left="1134"/>
      <w:spacing w:after="57"/>
    </w:pPr>
  </w:style>
  <w:style w:type="paragraph" w:styleId="868">
    <w:name w:val="toc 6"/>
    <w:basedOn w:val="696"/>
    <w:next w:val="696"/>
    <w:uiPriority w:val="39"/>
    <w:unhideWhenUsed/>
    <w:pPr>
      <w:ind w:left="1417"/>
      <w:spacing w:after="57"/>
    </w:pPr>
  </w:style>
  <w:style w:type="paragraph" w:styleId="869">
    <w:name w:val="toc 7"/>
    <w:basedOn w:val="696"/>
    <w:next w:val="696"/>
    <w:uiPriority w:val="39"/>
    <w:unhideWhenUsed/>
    <w:pPr>
      <w:ind w:left="1701"/>
      <w:spacing w:after="57"/>
    </w:pPr>
  </w:style>
  <w:style w:type="paragraph" w:styleId="870">
    <w:name w:val="toc 8"/>
    <w:basedOn w:val="696"/>
    <w:next w:val="696"/>
    <w:uiPriority w:val="39"/>
    <w:unhideWhenUsed/>
    <w:pPr>
      <w:ind w:left="1984"/>
      <w:spacing w:after="57"/>
    </w:pPr>
  </w:style>
  <w:style w:type="paragraph" w:styleId="871">
    <w:name w:val="toc 9"/>
    <w:basedOn w:val="696"/>
    <w:next w:val="696"/>
    <w:uiPriority w:val="39"/>
    <w:unhideWhenUsed/>
    <w:pPr>
      <w:ind w:left="2268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696"/>
    <w:next w:val="696"/>
    <w:uiPriority w:val="99"/>
    <w:unhideWhenUsed/>
    <w:pPr>
      <w:spacing w:after="0"/>
    </w:pPr>
  </w:style>
  <w:style w:type="table" w:styleId="874">
    <w:name w:val="Table Grid"/>
    <w:basedOn w:val="70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5">
    <w:name w:val="Plain Text"/>
    <w:basedOn w:val="696"/>
    <w:link w:val="876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szCs w:val="21"/>
    </w:rPr>
  </w:style>
  <w:style w:type="character" w:styleId="876" w:customStyle="1">
    <w:name w:val="Текст Знак"/>
    <w:basedOn w:val="706"/>
    <w:link w:val="875"/>
    <w:uiPriority w:val="99"/>
    <w:semiHidden/>
    <w:rPr>
      <w:rFonts w:ascii="Calibri" w:hAnsi="Calibri" w:eastAsia="Calibri" w:cs="Times New Roman"/>
      <w:szCs w:val="21"/>
    </w:rPr>
  </w:style>
  <w:style w:type="paragraph" w:styleId="877">
    <w:name w:val="Footer"/>
    <w:basedOn w:val="696"/>
    <w:link w:val="878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78" w:customStyle="1">
    <w:name w:val="Нижний колонтитул Знак"/>
    <w:basedOn w:val="706"/>
    <w:link w:val="877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79">
    <w:name w:val="Balloon Text"/>
    <w:basedOn w:val="696"/>
    <w:link w:val="88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0" w:customStyle="1">
    <w:name w:val="Текст выноски Знак"/>
    <w:basedOn w:val="706"/>
    <w:link w:val="879"/>
    <w:uiPriority w:val="99"/>
    <w:semiHidden/>
    <w:rPr>
      <w:rFonts w:ascii="Segoe UI" w:hAnsi="Segoe UI" w:cs="Segoe UI"/>
      <w:sz w:val="18"/>
      <w:szCs w:val="18"/>
    </w:rPr>
  </w:style>
  <w:style w:type="paragraph" w:styleId="881">
    <w:name w:val="Header"/>
    <w:basedOn w:val="696"/>
    <w:link w:val="88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2" w:customStyle="1">
    <w:name w:val="Верхний колонтитул Знак"/>
    <w:basedOn w:val="706"/>
    <w:link w:val="881"/>
    <w:uiPriority w:val="99"/>
  </w:style>
  <w:style w:type="character" w:styleId="883">
    <w:name w:val="Hyperlink"/>
    <w:basedOn w:val="706"/>
    <w:uiPriority w:val="99"/>
    <w:unhideWhenUsed/>
    <w:rPr>
      <w:color w:val="0563c1" w:themeColor="hyperlink"/>
      <w:u w:val="single"/>
    </w:rPr>
  </w:style>
  <w:style w:type="table" w:styleId="884" w:customStyle="1">
    <w:name w:val="Сетка таблицы1"/>
    <w:basedOn w:val="707"/>
    <w:next w:val="87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5" w:customStyle="1">
    <w:name w:val="Сетка таблицы2"/>
    <w:basedOn w:val="707"/>
    <w:next w:val="87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6" w:customStyle="1">
    <w:name w:val="ConsPlusTitlePage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ahoma" w:hAnsi="Tahoma" w:eastAsia="Times New Roman" w:cs="Tahoma"/>
      <w:sz w:val="20"/>
      <w:szCs w:val="20"/>
      <w:lang w:val="en-US" w:eastAsia="zh-CN"/>
    </w:rPr>
  </w:style>
  <w:style w:type="paragraph" w:styleId="887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val="en-US" w:eastAsia="zh-CN"/>
    </w:rPr>
  </w:style>
  <w:style w:type="paragraph" w:styleId="888" w:customStyle="1">
    <w:name w:val="ConsPlusNonformat"/>
    <w:uiPriority w:val="99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val="en-US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29C94-F5D2-4BA5-A0A8-2F75E086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cp:keywords/>
  <dc:description/>
  <cp:lastModifiedBy>gricajov</cp:lastModifiedBy>
  <cp:revision>60</cp:revision>
  <dcterms:created xsi:type="dcterms:W3CDTF">2023-07-23T23:09:00Z</dcterms:created>
  <dcterms:modified xsi:type="dcterms:W3CDTF">2026-09-01T21:07:46Z</dcterms:modified>
</cp:coreProperties>
</file>