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определен</w:t>
      </w:r>
      <w:r>
        <w:rPr>
          <w:rFonts w:ascii="Times New Roman" w:hAnsi="Times New Roman"/>
          <w:b/>
          <w:sz w:val="28"/>
        </w:rPr>
        <w:t xml:space="preserve">ия размера платы за пользование недвижимым </w:t>
      </w:r>
      <w:r>
        <w:rPr>
          <w:rFonts w:ascii="Times New Roman" w:hAnsi="Times New Roman"/>
          <w:b/>
          <w:sz w:val="28"/>
        </w:rPr>
        <w:t xml:space="preserve">имуществом, находящимся в государственной собственности Камчатского края, для строительства и (или) эксплуатации средств связи и (или) сооружений связи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</w:t>
      </w:r>
      <w:r>
        <w:rPr>
          <w:rFonts w:ascii="Times New Roman" w:hAnsi="Times New Roman"/>
          <w:sz w:val="28"/>
        </w:rPr>
        <w:t xml:space="preserve"> соответствии с пунктом 3</w:t>
      </w:r>
      <w:r>
        <w:rPr>
          <w:rFonts w:ascii="Times New Roman" w:hAnsi="Times New Roman"/>
          <w:sz w:val="28"/>
          <w:vertAlign w:val="superscript"/>
        </w:rPr>
        <w:t xml:space="preserve">1</w:t>
      </w:r>
      <w:r>
        <w:rPr>
          <w:rFonts w:ascii="Times New Roman" w:hAnsi="Times New Roman"/>
          <w:sz w:val="28"/>
        </w:rPr>
        <w:t xml:space="preserve"> статьи 6 Федерального закона от 07.07.2003 № 126-ФЗ «О связи»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</w:rPr>
        <w:t xml:space="preserve">1. Утвердить Порядок определения размера платы за пользование недвижимым имущ</w:t>
      </w:r>
      <w:r>
        <w:rPr>
          <w:rFonts w:ascii="Times New Roman" w:hAnsi="Times New Roman"/>
          <w:sz w:val="28"/>
        </w:rPr>
        <w:t xml:space="preserve">еством, находящимся в государственной собственности Камчатского края, для строительства и (или) эксплуатации средств связи и (или) сооружений связи согласно приложению к настоящему постановлению.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highlight w:val="none"/>
        </w:rPr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04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/>
          <w:b w:val="0"/>
          <w:bCs w:val="0"/>
          <w:sz w:val="28"/>
          <w:szCs w:val="22"/>
          <w:highlight w:val="none"/>
        </w:rPr>
        <w:t xml:space="preserve">Порядок</w:t>
        <w:br/>
      </w:r>
      <w:r>
        <w:rPr>
          <w:rFonts w:ascii="Times New Roman" w:hAnsi="Times New Roman"/>
          <w:b w:val="0"/>
          <w:bCs w:val="0"/>
          <w:sz w:val="28"/>
        </w:rPr>
        <w:t xml:space="preserve">определен</w:t>
      </w:r>
      <w:r>
        <w:rPr>
          <w:rFonts w:ascii="Times New Roman" w:hAnsi="Times New Roman"/>
          <w:b w:val="0"/>
          <w:bCs w:val="0"/>
          <w:sz w:val="28"/>
        </w:rPr>
        <w:t xml:space="preserve">ия размера платы за пользование недвижимым имуществом, находящимся в государственной собственности Камчатского края, для строительства и (или) эксплуатации средств связи и (или) сооружений связи</w:t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/>
          <w:b w:val="0"/>
          <w:bCs w:val="0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  <w:r>
        <w:rPr>
          <w:rFonts w:ascii="Times New Roman" w:hAnsi="Times New Roman"/>
          <w:b w:val="0"/>
          <w:bCs w:val="0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b w:val="0"/>
          <w:bCs w:val="0"/>
          <w:sz w:val="28"/>
          <w:szCs w:val="22"/>
          <w:highlight w:val="none"/>
        </w:rPr>
        <w:t xml:space="preserve">1. Настоящий Порядок устанавливает правила определения размера платы за пользование</w:t>
      </w:r>
      <w:r>
        <w:rPr>
          <w:rFonts w:ascii="Times New Roman" w:hAnsi="Times New Roman"/>
          <w:b w:val="0"/>
          <w:bCs w:val="0"/>
          <w:sz w:val="28"/>
          <w:szCs w:val="22"/>
          <w:highlight w:val="white"/>
        </w:rPr>
        <w:t xml:space="preserve"> </w:t>
      </w:r>
      <w:r>
        <w:rPr>
          <w:rFonts w:ascii="Times New Roman" w:hAnsi="Times New Roman"/>
          <w:sz w:val="28"/>
          <w:highlight w:val="none"/>
        </w:rPr>
        <w:t xml:space="preserve">юридическим лицом, </w:t>
      </w:r>
      <w:r>
        <w:rPr>
          <w:rFonts w:ascii="Times New Roman" w:hAnsi="Times New Roman"/>
          <w:sz w:val="28"/>
          <w:highlight w:val="none"/>
        </w:rPr>
        <w:t xml:space="preserve">индивидуальным предпринимателем, осуществляющим деятельность в области связи в качестве основног</w:t>
      </w:r>
      <w:r>
        <w:rPr>
          <w:rFonts w:ascii="Times New Roman" w:hAnsi="Times New Roman"/>
          <w:sz w:val="28"/>
          <w:highlight w:val="none"/>
        </w:rPr>
        <w:t xml:space="preserve">о вида деятельности (далее – хозяйствующий субъект),</w:t>
      </w:r>
      <w:r>
        <w:rPr>
          <w:rFonts w:ascii="Times New Roman" w:hAnsi="Times New Roman"/>
          <w:sz w:val="28"/>
          <w:highlight w:val="none"/>
        </w:rPr>
        <w:t xml:space="preserve"> </w:t>
      </w:r>
      <w:r>
        <w:rPr>
          <w:rFonts w:ascii="Times New Roman" w:hAnsi="Times New Roman"/>
          <w:b w:val="0"/>
          <w:bCs w:val="0"/>
          <w:sz w:val="28"/>
          <w:szCs w:val="22"/>
          <w:highlight w:val="white"/>
        </w:rPr>
        <w:t xml:space="preserve">недвижимым </w:t>
      </w:r>
      <w:r>
        <w:rPr>
          <w:rFonts w:ascii="Times New Roman" w:hAnsi="Times New Roman"/>
          <w:b w:val="0"/>
          <w:bCs w:val="0"/>
          <w:sz w:val="28"/>
          <w:szCs w:val="22"/>
          <w:highlight w:val="white"/>
        </w:rPr>
        <w:t xml:space="preserve">имуще</w:t>
      </w:r>
      <w:r>
        <w:rPr>
          <w:rFonts w:ascii="Times New Roman" w:hAnsi="Times New Roman"/>
          <w:b w:val="0"/>
          <w:bCs w:val="0"/>
          <w:sz w:val="28"/>
          <w:szCs w:val="22"/>
          <w:highlight w:val="none"/>
        </w:rPr>
        <w:t xml:space="preserve">ством, указанным </w:t>
      </w:r>
      <w:r>
        <w:rPr>
          <w:rFonts w:ascii="Times New Roman" w:hAnsi="Times New Roman"/>
          <w:sz w:val="28"/>
        </w:rPr>
        <w:t xml:space="preserve">в пункте 3 статьи 6 Федерального закона </w:t>
      </w:r>
      <w:r>
        <w:rPr>
          <w:rFonts w:ascii="Times New Roman" w:hAnsi="Times New Roman"/>
          <w:sz w:val="28"/>
        </w:rPr>
        <w:t xml:space="preserve">от 07.07.2003 № 126-ФЗ </w:t>
        <w:br/>
      </w:r>
      <w:r>
        <w:rPr>
          <w:rFonts w:ascii="Times New Roman" w:hAnsi="Times New Roman"/>
          <w:sz w:val="28"/>
        </w:rPr>
        <w:t xml:space="preserve">«О связи», находящимся в государственной собственности Камчатского края </w:t>
      </w:r>
      <w:r>
        <w:rPr>
          <w:rFonts w:ascii="Times New Roman" w:hAnsi="Times New Roman"/>
          <w:sz w:val="28"/>
        </w:rPr>
        <w:t xml:space="preserve">(далее – имущество)</w:t>
      </w:r>
      <w:r>
        <w:rPr>
          <w:rFonts w:ascii="Times New Roman" w:hAnsi="Times New Roman"/>
          <w:sz w:val="28"/>
        </w:rPr>
        <w:t xml:space="preserve">, для строительства и (или) эксплуатации средств связи </w:t>
        <w:br/>
        <w:t xml:space="preserve">и (или) сооружений связи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2. Понятия, используемые в настоящем Порядке, применяются в том же значении, что и в Федеральном законе от 07.07.2003 № 126-ФЗ «О связи».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3. Размер платы за пользование имуществом </w:t>
      </w:r>
      <w:r>
        <w:rPr>
          <w:rFonts w:ascii="Times New Roman" w:hAnsi="Times New Roman"/>
          <w:b w:val="0"/>
          <w:bCs w:val="0"/>
          <w:sz w:val="28"/>
        </w:rPr>
        <w:t xml:space="preserve">для строительства и (или) эксплуатации средств связи и (или) сооружений связи </w:t>
      </w:r>
      <w:r>
        <w:rPr>
          <w:rFonts w:ascii="Times New Roman" w:hAnsi="Times New Roman"/>
          <w:b w:val="0"/>
          <w:bCs w:val="0"/>
          <w:sz w:val="28"/>
        </w:rPr>
        <w:t xml:space="preserve">определяется по формуле:</w:t>
      </w:r>
      <w:r>
        <w:rPr>
          <w:highlight w:val="none"/>
        </w:rPr>
      </w:r>
      <w:r>
        <w:rPr>
          <w:highlight w:val="none"/>
        </w:rPr>
      </w:r>
    </w:p>
    <w:p>
      <w:pPr>
        <w:contextualSpacing w:val="0"/>
        <w:ind w:firstLine="0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contextualSpacing w:val="0"/>
        <w:ind w:firstLine="0"/>
        <w:jc w:val="center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= (С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x S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 / 12, где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0"/>
        <w:jc w:val="both"/>
        <w:spacing w:after="0" w:line="240" w:lineRule="auto"/>
        <w:rPr>
          <w:highlight w:val="none"/>
        </w:rPr>
      </w:pPr>
      <w:r>
        <w:rPr>
          <w:rFonts w:ascii="Times New Roman" w:hAnsi="Times New Roman"/>
          <w:b w:val="0"/>
          <w:bCs w:val="0"/>
          <w:sz w:val="28"/>
        </w:rPr>
        <w:t xml:space="preserve"> </w:t>
        <w:tab/>
        <w:tab/>
        <w:tab/>
      </w:r>
      <w:r>
        <w:rPr>
          <w:highlight w:val="none"/>
        </w:rPr>
      </w:r>
      <w:r>
        <w:rPr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subscript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размер платы;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vertAlign w:val="baseli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 – ставка платы за 1 квадратный метр площади имущества в год, определенная по результатам проведения оценки в соответствии 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законодательством об оценочной деятельности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Российской Федерации (рублей)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S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– площадь имущества или его части, предоставляемых хозяйствующему субъекту по договору о пользовании имуществом, заключенному с собственником или иным владельцем имущества (кв. метров).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4. </w:t>
      </w:r>
      <w:r>
        <w:rPr>
          <w:rFonts w:ascii="Times New Roman" w:hAnsi="Times New Roman"/>
          <w:sz w:val="28"/>
          <w:highlight w:val="none"/>
        </w:rPr>
        <w:t xml:space="preserve">Размер платы за пользование имуществом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не имеющим показателей площади, устанавливается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результатам проведения оценки в соответствии с законодательством об оценочной деятельности в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5. В состав платы за пользование имуществом не подлежат включению расходы, учтенные в составе цены (тарифа) на предоставление иных услуг, связанных с использованием того же имущества или его части.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6. Расходы собственника или иного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владельца имущества при проведении работ по капитальному ремонту, модернизации, реконструкции и переустройству имущества, предоставленного хозяйствующему субъекту по договору о пользовании имуществом, не включаются в состав платы за пользование имуществом.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7. Размер платы за пользование имуществом может бы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ть изменен не ранее чем через один год после заключения договора о пользовании имуществом и не чаще одного раза в год, если иное не предусмотрено федеральным законодательством, законодательством Камчатского края. При этом изменение размера платы за пользов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ание имуществом не может превышать индекс потребительских цен (в среднем за год к предыдущему году), определяемый в соответствии с базовым вариантом прогноза социально-экономического развития Российской Федерации на очередной финансовый год и плановый период.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134" w:right="851" w:bottom="1134" w:left="1418" w:header="567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center"/>
      <w:rPr>
        <w:sz w:val="20"/>
        <w:szCs w:val="18"/>
      </w:rPr>
    </w:pPr>
    <w:fldSimple w:instr="PAGE \* MERGEFORMAT">
      <w:r>
        <w:rPr>
          <w:rFonts w:ascii="Times New Roman" w:hAnsi="Times New Roman" w:eastAsia="Times New Roman" w:cs="Times New Roman"/>
          <w:sz w:val="24"/>
          <w:szCs w:val="22"/>
        </w:rPr>
        <w:t xml:space="preserve">1</w:t>
      </w:r>
    </w:fldSimple>
    <w:r>
      <w:rPr>
        <w:rFonts w:ascii="Times New Roman" w:hAnsi="Times New Roman" w:eastAsia="Times New Roman" w:cs="Times New Roman"/>
        <w:sz w:val="24"/>
        <w:szCs w:val="22"/>
      </w:rPr>
    </w:r>
    <w:r>
      <w:rPr>
        <w:sz w:val="20"/>
        <w:szCs w:val="18"/>
      </w:rPr>
    </w:r>
    <w:r>
      <w:rPr>
        <w:sz w:val="20"/>
        <w:szCs w:val="18"/>
      </w:rPr>
    </w:r>
  </w:p>
  <w:p>
    <w:pPr>
      <w:pStyle w:val="8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1 Char"/>
    <w:basedOn w:val="858"/>
    <w:link w:val="85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95">
    <w:name w:val="Heading 2 Char"/>
    <w:basedOn w:val="858"/>
    <w:link w:val="854"/>
    <w:uiPriority w:val="9"/>
    <w:rPr>
      <w:rFonts w:ascii="Liberation Sans" w:hAnsi="Liberation Sans" w:eastAsia="Liberation Sans" w:cs="Liberation Sans"/>
      <w:sz w:val="34"/>
    </w:rPr>
  </w:style>
  <w:style w:type="character" w:styleId="696">
    <w:name w:val="Heading 3 Char"/>
    <w:basedOn w:val="858"/>
    <w:link w:val="85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7">
    <w:name w:val="Heading 4 Char"/>
    <w:basedOn w:val="858"/>
    <w:link w:val="85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8">
    <w:name w:val="Heading 5 Char"/>
    <w:basedOn w:val="858"/>
    <w:link w:val="85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9">
    <w:name w:val="Heading 6"/>
    <w:basedOn w:val="852"/>
    <w:next w:val="852"/>
    <w:link w:val="70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0">
    <w:name w:val="Heading 6 Char"/>
    <w:basedOn w:val="858"/>
    <w:link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1">
    <w:name w:val="Heading 7"/>
    <w:basedOn w:val="852"/>
    <w:next w:val="852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2">
    <w:name w:val="Heading 7 Char"/>
    <w:basedOn w:val="858"/>
    <w:link w:val="70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3">
    <w:name w:val="Heading 8"/>
    <w:basedOn w:val="852"/>
    <w:next w:val="852"/>
    <w:link w:val="70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4">
    <w:name w:val="Heading 8 Char"/>
    <w:basedOn w:val="858"/>
    <w:link w:val="7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5">
    <w:name w:val="Heading 9"/>
    <w:basedOn w:val="852"/>
    <w:next w:val="852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>
    <w:name w:val="Heading 9 Char"/>
    <w:basedOn w:val="858"/>
    <w:link w:val="7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7">
    <w:name w:val="List Paragraph"/>
    <w:basedOn w:val="852"/>
    <w:uiPriority w:val="34"/>
    <w:qFormat/>
    <w:pPr>
      <w:contextualSpacing/>
      <w:ind w:left="720"/>
    </w:pPr>
  </w:style>
  <w:style w:type="paragraph" w:styleId="708">
    <w:name w:val="No Spacing"/>
    <w:uiPriority w:val="1"/>
    <w:qFormat/>
    <w:pPr>
      <w:spacing w:before="0" w:after="0" w:line="240" w:lineRule="auto"/>
    </w:pPr>
  </w:style>
  <w:style w:type="character" w:styleId="709">
    <w:name w:val="Title Char"/>
    <w:basedOn w:val="858"/>
    <w:link w:val="898"/>
    <w:uiPriority w:val="10"/>
    <w:rPr>
      <w:sz w:val="48"/>
      <w:szCs w:val="48"/>
    </w:rPr>
  </w:style>
  <w:style w:type="character" w:styleId="710">
    <w:name w:val="Subtitle Char"/>
    <w:basedOn w:val="858"/>
    <w:link w:val="894"/>
    <w:uiPriority w:val="11"/>
    <w:rPr>
      <w:sz w:val="24"/>
      <w:szCs w:val="24"/>
    </w:rPr>
  </w:style>
  <w:style w:type="paragraph" w:styleId="711">
    <w:name w:val="Quote"/>
    <w:basedOn w:val="852"/>
    <w:next w:val="852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52"/>
    <w:next w:val="852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58"/>
    <w:link w:val="866"/>
    <w:uiPriority w:val="99"/>
  </w:style>
  <w:style w:type="character" w:styleId="716">
    <w:name w:val="Footer Char"/>
    <w:basedOn w:val="858"/>
    <w:link w:val="896"/>
    <w:uiPriority w:val="99"/>
  </w:style>
  <w:style w:type="paragraph" w:styleId="717">
    <w:name w:val="Caption"/>
    <w:basedOn w:val="852"/>
    <w:next w:val="852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858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 Light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1">
    <w:name w:val="Plain Table 2"/>
    <w:basedOn w:val="8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6">
    <w:name w:val="Grid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3">
    <w:name w:val="List Table 5 Dark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6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18">
    <w:name w:val="List Table 7 Colorful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19">
    <w:name w:val="List Table 7 Colorful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0">
    <w:name w:val="List Table 7 Colorful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1">
    <w:name w:val="List Table 7 Colorful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2">
    <w:name w:val="List Table 7 Colorful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23">
    <w:name w:val="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5">
    <w:name w:val="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6">
    <w:name w:val="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7">
    <w:name w:val="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8">
    <w:name w:val="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9">
    <w:name w:val="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0">
    <w:name w:val="Bordered &amp; Lined - Accent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Bordered &amp; Lined - Accent 2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Bordered &amp; Lined - Accent 3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Bordered &amp; Lined - Accent 4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Bordered &amp; Lined - Accent 5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Bordered &amp; Lined - Accent 6"/>
    <w:basedOn w:val="8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2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character" w:styleId="846">
    <w:name w:val="footnote reference"/>
    <w:basedOn w:val="858"/>
    <w:uiPriority w:val="99"/>
    <w:unhideWhenUsed/>
    <w:rPr>
      <w:vertAlign w:val="superscript"/>
    </w:rPr>
  </w:style>
  <w:style w:type="paragraph" w:styleId="847">
    <w:name w:val="endnote text"/>
    <w:basedOn w:val="852"/>
    <w:link w:val="848"/>
    <w:uiPriority w:val="99"/>
    <w:semiHidden/>
    <w:unhideWhenUsed/>
    <w:pPr>
      <w:spacing w:after="0" w:line="240" w:lineRule="auto"/>
    </w:pPr>
    <w:rPr>
      <w:sz w:val="20"/>
    </w:rPr>
  </w:style>
  <w:style w:type="character" w:styleId="848">
    <w:name w:val="Endnote Text Char"/>
    <w:link w:val="847"/>
    <w:uiPriority w:val="99"/>
    <w:rPr>
      <w:sz w:val="20"/>
    </w:rPr>
  </w:style>
  <w:style w:type="character" w:styleId="849">
    <w:name w:val="endnote reference"/>
    <w:basedOn w:val="858"/>
    <w:uiPriority w:val="99"/>
    <w:semiHidden/>
    <w:unhideWhenUsed/>
    <w:rPr>
      <w:vertAlign w:val="superscript"/>
    </w:r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link w:val="861"/>
    <w:qFormat/>
  </w:style>
  <w:style w:type="paragraph" w:styleId="853">
    <w:name w:val="Heading 1"/>
    <w:next w:val="852"/>
    <w:link w:val="878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54">
    <w:name w:val="Heading 2"/>
    <w:next w:val="852"/>
    <w:link w:val="903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55">
    <w:name w:val="Heading 3"/>
    <w:next w:val="852"/>
    <w:link w:val="872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56">
    <w:name w:val="Heading 4"/>
    <w:next w:val="852"/>
    <w:link w:val="902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57">
    <w:name w:val="Heading 5"/>
    <w:next w:val="852"/>
    <w:link w:val="877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58" w:default="1">
    <w:name w:val="Default Paragraph Font"/>
    <w:uiPriority w:val="1"/>
    <w:semiHidden/>
    <w:unhideWhenUsed/>
  </w:style>
  <w:style w:type="table" w:styleId="8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0" w:default="1">
    <w:name w:val="No List"/>
    <w:uiPriority w:val="99"/>
    <w:semiHidden/>
    <w:unhideWhenUsed/>
  </w:style>
  <w:style w:type="character" w:styleId="861" w:customStyle="1">
    <w:name w:val="Обычный1"/>
  </w:style>
  <w:style w:type="paragraph" w:styleId="862">
    <w:name w:val="toc 2"/>
    <w:next w:val="852"/>
    <w:link w:val="863"/>
    <w:uiPriority w:val="39"/>
    <w:pPr>
      <w:ind w:left="200"/>
    </w:pPr>
    <w:rPr>
      <w:rFonts w:ascii="XO Thames" w:hAnsi="XO Thames"/>
      <w:sz w:val="28"/>
    </w:rPr>
  </w:style>
  <w:style w:type="character" w:styleId="863" w:customStyle="1">
    <w:name w:val="Оглавление 2 Знак"/>
    <w:link w:val="862"/>
    <w:rPr>
      <w:rFonts w:ascii="XO Thames" w:hAnsi="XO Thames"/>
      <w:sz w:val="28"/>
    </w:rPr>
  </w:style>
  <w:style w:type="paragraph" w:styleId="864">
    <w:name w:val="toc 4"/>
    <w:next w:val="852"/>
    <w:link w:val="865"/>
    <w:uiPriority w:val="39"/>
    <w:pPr>
      <w:ind w:left="600"/>
    </w:pPr>
    <w:rPr>
      <w:rFonts w:ascii="XO Thames" w:hAnsi="XO Thames"/>
      <w:sz w:val="28"/>
    </w:rPr>
  </w:style>
  <w:style w:type="character" w:styleId="865" w:customStyle="1">
    <w:name w:val="Оглавление 4 Знак"/>
    <w:link w:val="864"/>
    <w:rPr>
      <w:rFonts w:ascii="XO Thames" w:hAnsi="XO Thames"/>
      <w:sz w:val="28"/>
    </w:rPr>
  </w:style>
  <w:style w:type="paragraph" w:styleId="866">
    <w:name w:val="Header"/>
    <w:basedOn w:val="852"/>
    <w:link w:val="867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861"/>
    <w:link w:val="866"/>
    <w:uiPriority w:val="99"/>
  </w:style>
  <w:style w:type="paragraph" w:styleId="868">
    <w:name w:val="toc 6"/>
    <w:next w:val="852"/>
    <w:link w:val="869"/>
    <w:uiPriority w:val="39"/>
    <w:pPr>
      <w:ind w:left="1000"/>
    </w:pPr>
    <w:rPr>
      <w:rFonts w:ascii="XO Thames" w:hAnsi="XO Thames"/>
      <w:sz w:val="28"/>
    </w:rPr>
  </w:style>
  <w:style w:type="character" w:styleId="869" w:customStyle="1">
    <w:name w:val="Оглавление 6 Знак"/>
    <w:link w:val="868"/>
    <w:rPr>
      <w:rFonts w:ascii="XO Thames" w:hAnsi="XO Thames"/>
      <w:sz w:val="28"/>
    </w:rPr>
  </w:style>
  <w:style w:type="paragraph" w:styleId="870">
    <w:name w:val="toc 7"/>
    <w:next w:val="852"/>
    <w:link w:val="871"/>
    <w:uiPriority w:val="39"/>
    <w:pPr>
      <w:ind w:left="1200"/>
    </w:pPr>
    <w:rPr>
      <w:rFonts w:ascii="XO Thames" w:hAnsi="XO Thames"/>
      <w:sz w:val="28"/>
    </w:rPr>
  </w:style>
  <w:style w:type="character" w:styleId="871" w:customStyle="1">
    <w:name w:val="Оглавление 7 Знак"/>
    <w:link w:val="870"/>
    <w:rPr>
      <w:rFonts w:ascii="XO Thames" w:hAnsi="XO Thames"/>
      <w:sz w:val="28"/>
    </w:rPr>
  </w:style>
  <w:style w:type="character" w:styleId="872" w:customStyle="1">
    <w:name w:val="Заголовок 3 Знак"/>
    <w:link w:val="855"/>
    <w:rPr>
      <w:rFonts w:ascii="XO Thames" w:hAnsi="XO Thames"/>
      <w:b/>
      <w:sz w:val="26"/>
    </w:rPr>
  </w:style>
  <w:style w:type="paragraph" w:styleId="873">
    <w:name w:val="Plain Text"/>
    <w:basedOn w:val="852"/>
    <w:link w:val="874"/>
    <w:pPr>
      <w:spacing w:after="0" w:line="240" w:lineRule="auto"/>
    </w:pPr>
    <w:rPr>
      <w:rFonts w:ascii="Calibri" w:hAnsi="Calibri"/>
    </w:rPr>
  </w:style>
  <w:style w:type="character" w:styleId="874" w:customStyle="1">
    <w:name w:val="Текст Знак"/>
    <w:basedOn w:val="861"/>
    <w:link w:val="873"/>
    <w:rPr>
      <w:rFonts w:ascii="Calibri" w:hAnsi="Calibri"/>
    </w:rPr>
  </w:style>
  <w:style w:type="paragraph" w:styleId="875">
    <w:name w:val="toc 3"/>
    <w:next w:val="852"/>
    <w:link w:val="876"/>
    <w:uiPriority w:val="39"/>
    <w:pPr>
      <w:ind w:left="400"/>
    </w:pPr>
    <w:rPr>
      <w:rFonts w:ascii="XO Thames" w:hAnsi="XO Thames"/>
      <w:sz w:val="28"/>
    </w:rPr>
  </w:style>
  <w:style w:type="character" w:styleId="876" w:customStyle="1">
    <w:name w:val="Оглавление 3 Знак"/>
    <w:link w:val="875"/>
    <w:rPr>
      <w:rFonts w:ascii="XO Thames" w:hAnsi="XO Thames"/>
      <w:sz w:val="28"/>
    </w:rPr>
  </w:style>
  <w:style w:type="character" w:styleId="877" w:customStyle="1">
    <w:name w:val="Заголовок 5 Знак"/>
    <w:link w:val="857"/>
    <w:rPr>
      <w:rFonts w:ascii="XO Thames" w:hAnsi="XO Thames"/>
      <w:b/>
      <w:sz w:val="22"/>
    </w:rPr>
  </w:style>
  <w:style w:type="character" w:styleId="878" w:customStyle="1">
    <w:name w:val="Заголовок 1 Знак"/>
    <w:link w:val="853"/>
    <w:rPr>
      <w:rFonts w:ascii="XO Thames" w:hAnsi="XO Thames"/>
      <w:b/>
      <w:sz w:val="32"/>
    </w:rPr>
  </w:style>
  <w:style w:type="paragraph" w:styleId="879" w:customStyle="1">
    <w:name w:val="Гиперссылка1"/>
    <w:basedOn w:val="887"/>
    <w:link w:val="880"/>
    <w:rPr>
      <w:color w:val="0563c1" w:themeColor="hyperlink"/>
      <w:u w:val="single"/>
    </w:rPr>
  </w:style>
  <w:style w:type="character" w:styleId="880">
    <w:name w:val="Hyperlink"/>
    <w:basedOn w:val="858"/>
    <w:link w:val="879"/>
    <w:rPr>
      <w:color w:val="0563c1" w:themeColor="hyperlink"/>
      <w:u w:val="single"/>
    </w:rPr>
  </w:style>
  <w:style w:type="paragraph" w:styleId="881" w:customStyle="1">
    <w:name w:val="Footnote"/>
    <w:link w:val="882"/>
    <w:pPr>
      <w:ind w:firstLine="851"/>
      <w:jc w:val="both"/>
    </w:pPr>
    <w:rPr>
      <w:rFonts w:ascii="XO Thames" w:hAnsi="XO Thames"/>
    </w:rPr>
  </w:style>
  <w:style w:type="character" w:styleId="882" w:customStyle="1">
    <w:name w:val="Footnote"/>
    <w:link w:val="881"/>
    <w:rPr>
      <w:rFonts w:ascii="XO Thames" w:hAnsi="XO Thames"/>
      <w:sz w:val="22"/>
    </w:rPr>
  </w:style>
  <w:style w:type="paragraph" w:styleId="883">
    <w:name w:val="toc 1"/>
    <w:next w:val="852"/>
    <w:link w:val="884"/>
    <w:uiPriority w:val="39"/>
    <w:rPr>
      <w:rFonts w:ascii="XO Thames" w:hAnsi="XO Thames"/>
      <w:b/>
      <w:sz w:val="28"/>
    </w:rPr>
  </w:style>
  <w:style w:type="character" w:styleId="884" w:customStyle="1">
    <w:name w:val="Оглавление 1 Знак"/>
    <w:link w:val="883"/>
    <w:rPr>
      <w:rFonts w:ascii="XO Thames" w:hAnsi="XO Thames"/>
      <w:b/>
      <w:sz w:val="28"/>
    </w:rPr>
  </w:style>
  <w:style w:type="paragraph" w:styleId="885" w:customStyle="1">
    <w:name w:val="Header and Footer"/>
    <w:link w:val="886"/>
    <w:pPr>
      <w:jc w:val="both"/>
      <w:spacing w:line="240" w:lineRule="auto"/>
    </w:pPr>
    <w:rPr>
      <w:rFonts w:ascii="XO Thames" w:hAnsi="XO Thames"/>
      <w:sz w:val="20"/>
    </w:rPr>
  </w:style>
  <w:style w:type="character" w:styleId="886" w:customStyle="1">
    <w:name w:val="Header and Footer"/>
    <w:link w:val="885"/>
    <w:rPr>
      <w:rFonts w:ascii="XO Thames" w:hAnsi="XO Thames"/>
      <w:sz w:val="20"/>
    </w:rPr>
  </w:style>
  <w:style w:type="paragraph" w:styleId="887" w:customStyle="1">
    <w:name w:val="Основной шрифт абзаца1"/>
  </w:style>
  <w:style w:type="paragraph" w:styleId="888">
    <w:name w:val="toc 9"/>
    <w:next w:val="852"/>
    <w:link w:val="889"/>
    <w:uiPriority w:val="39"/>
    <w:pPr>
      <w:ind w:left="1600"/>
    </w:pPr>
    <w:rPr>
      <w:rFonts w:ascii="XO Thames" w:hAnsi="XO Thames"/>
      <w:sz w:val="28"/>
    </w:rPr>
  </w:style>
  <w:style w:type="character" w:styleId="889" w:customStyle="1">
    <w:name w:val="Оглавление 9 Знак"/>
    <w:link w:val="888"/>
    <w:rPr>
      <w:rFonts w:ascii="XO Thames" w:hAnsi="XO Thames"/>
      <w:sz w:val="28"/>
    </w:rPr>
  </w:style>
  <w:style w:type="paragraph" w:styleId="890">
    <w:name w:val="toc 8"/>
    <w:next w:val="852"/>
    <w:link w:val="891"/>
    <w:uiPriority w:val="39"/>
    <w:pPr>
      <w:ind w:left="1400"/>
    </w:pPr>
    <w:rPr>
      <w:rFonts w:ascii="XO Thames" w:hAnsi="XO Thames"/>
      <w:sz w:val="28"/>
    </w:rPr>
  </w:style>
  <w:style w:type="character" w:styleId="891" w:customStyle="1">
    <w:name w:val="Оглавление 8 Знак"/>
    <w:link w:val="890"/>
    <w:rPr>
      <w:rFonts w:ascii="XO Thames" w:hAnsi="XO Thames"/>
      <w:sz w:val="28"/>
    </w:rPr>
  </w:style>
  <w:style w:type="paragraph" w:styleId="892">
    <w:name w:val="toc 5"/>
    <w:next w:val="852"/>
    <w:link w:val="893"/>
    <w:uiPriority w:val="39"/>
    <w:pPr>
      <w:ind w:left="800"/>
    </w:pPr>
    <w:rPr>
      <w:rFonts w:ascii="XO Thames" w:hAnsi="XO Thames"/>
      <w:sz w:val="28"/>
    </w:rPr>
  </w:style>
  <w:style w:type="character" w:styleId="893" w:customStyle="1">
    <w:name w:val="Оглавление 5 Знак"/>
    <w:link w:val="892"/>
    <w:rPr>
      <w:rFonts w:ascii="XO Thames" w:hAnsi="XO Thames"/>
      <w:sz w:val="28"/>
    </w:rPr>
  </w:style>
  <w:style w:type="paragraph" w:styleId="894">
    <w:name w:val="Subtitle"/>
    <w:next w:val="852"/>
    <w:link w:val="895"/>
    <w:uiPriority w:val="11"/>
    <w:qFormat/>
    <w:pPr>
      <w:jc w:val="both"/>
    </w:pPr>
    <w:rPr>
      <w:rFonts w:ascii="XO Thames" w:hAnsi="XO Thames"/>
      <w:i/>
      <w:sz w:val="24"/>
    </w:rPr>
  </w:style>
  <w:style w:type="character" w:styleId="895" w:customStyle="1">
    <w:name w:val="Подзаголовок Знак"/>
    <w:link w:val="894"/>
    <w:rPr>
      <w:rFonts w:ascii="XO Thames" w:hAnsi="XO Thames"/>
      <w:i/>
      <w:sz w:val="24"/>
    </w:rPr>
  </w:style>
  <w:style w:type="paragraph" w:styleId="896">
    <w:name w:val="Footer"/>
    <w:basedOn w:val="852"/>
    <w:link w:val="897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97" w:customStyle="1">
    <w:name w:val="Нижний колонтитул Знак"/>
    <w:basedOn w:val="861"/>
    <w:link w:val="896"/>
    <w:rPr>
      <w:rFonts w:ascii="Times New Roman" w:hAnsi="Times New Roman"/>
      <w:sz w:val="28"/>
    </w:rPr>
  </w:style>
  <w:style w:type="paragraph" w:styleId="898">
    <w:name w:val="Title"/>
    <w:next w:val="852"/>
    <w:link w:val="899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899" w:customStyle="1">
    <w:name w:val="Название Знак"/>
    <w:link w:val="898"/>
    <w:rPr>
      <w:rFonts w:ascii="XO Thames" w:hAnsi="XO Thames"/>
      <w:b/>
      <w:caps/>
      <w:sz w:val="40"/>
    </w:rPr>
  </w:style>
  <w:style w:type="paragraph" w:styleId="900">
    <w:name w:val="Balloon Text"/>
    <w:basedOn w:val="852"/>
    <w:link w:val="901"/>
    <w:pPr>
      <w:spacing w:after="0" w:line="240" w:lineRule="auto"/>
    </w:pPr>
    <w:rPr>
      <w:rFonts w:ascii="Segoe UI" w:hAnsi="Segoe UI"/>
      <w:sz w:val="18"/>
    </w:rPr>
  </w:style>
  <w:style w:type="character" w:styleId="901" w:customStyle="1">
    <w:name w:val="Текст выноски Знак"/>
    <w:basedOn w:val="861"/>
    <w:link w:val="900"/>
    <w:rPr>
      <w:rFonts w:ascii="Segoe UI" w:hAnsi="Segoe UI"/>
      <w:sz w:val="18"/>
    </w:rPr>
  </w:style>
  <w:style w:type="character" w:styleId="902" w:customStyle="1">
    <w:name w:val="Заголовок 4 Знак"/>
    <w:link w:val="856"/>
    <w:rPr>
      <w:rFonts w:ascii="XO Thames" w:hAnsi="XO Thames"/>
      <w:b/>
      <w:sz w:val="24"/>
    </w:rPr>
  </w:style>
  <w:style w:type="character" w:styleId="903" w:customStyle="1">
    <w:name w:val="Заголовок 2 Знак"/>
    <w:link w:val="854"/>
    <w:rPr>
      <w:rFonts w:ascii="XO Thames" w:hAnsi="XO Thames"/>
      <w:b/>
      <w:sz w:val="28"/>
    </w:rPr>
  </w:style>
  <w:style w:type="table" w:styleId="904">
    <w:name w:val="Table Grid"/>
    <w:basedOn w:val="8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5" w:customStyle="1">
    <w:name w:val="Сетка таблицы1"/>
    <w:basedOn w:val="8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06" w:customStyle="1">
    <w:name w:val="Сетка таблицы2"/>
    <w:basedOn w:val="859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platonovna</cp:lastModifiedBy>
  <cp:revision>20</cp:revision>
  <dcterms:created xsi:type="dcterms:W3CDTF">2025-01-31T01:52:00Z</dcterms:created>
  <dcterms:modified xsi:type="dcterms:W3CDTF">2026-09-01T03:18:39Z</dcterms:modified>
</cp:coreProperties>
</file>