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bookmarkStart w:id="1" w:name="_GoBack"/>
      <w:bookmarkEnd w:id="1"/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 КУЛЬТУРЫ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B000000">
      <w:pPr>
        <w:spacing w:after="0" w:line="240" w:lineRule="auto"/>
        <w:ind w:firstLine="709" w:left="0"/>
        <w:jc w:val="center"/>
        <w:rPr>
          <w:rFonts w:ascii="Times New Roman" w:hAnsi="Times New Roman"/>
          <w:sz w:val="20"/>
        </w:rPr>
      </w:pPr>
    </w:p>
    <w:tbl>
      <w:tblPr>
        <w:tblStyle w:val="Style_2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2"/>
        </w:trPr>
        <w:tc>
          <w:tcPr>
            <w:tcW w:type="dxa" w:w="4253"/>
            <w:tcBorders>
              <w:top w:sz="4" w:val="nil"/>
              <w:left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2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2"/>
          </w:p>
        </w:tc>
      </w:tr>
      <w:tr>
        <w:trPr>
          <w:trHeight w:hRule="atLeast" w:val="247"/>
        </w:trPr>
        <w:tc>
          <w:tcPr>
            <w:tcW w:type="dxa" w:w="4253"/>
            <w:tcBorders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3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9639"/>
      </w:tblGrid>
      <w:tr>
        <w:tc>
          <w:tcPr>
            <w:tcW w:type="dxa" w:w="963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0000000">
            <w:pPr>
              <w:spacing w:line="240" w:lineRule="auto"/>
              <w:ind w:firstLine="0" w:left="0"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Об установлении отдельных мер поддержки в сфере культуры, предусмотренных Указом </w:t>
            </w:r>
            <w:r>
              <w:rPr>
                <w:rFonts w:ascii="Times New Roman" w:hAnsi="Times New Roman"/>
                <w:b w:val="1"/>
                <w:sz w:val="28"/>
              </w:rPr>
              <w:t xml:space="preserve">Президента Российской Федерации от </w:t>
            </w:r>
            <w:r>
              <w:rPr>
                <w:rFonts w:ascii="Times New Roman" w:hAnsi="Times New Roman"/>
                <w:b w:val="1"/>
                <w:sz w:val="28"/>
              </w:rPr>
              <w:t xml:space="preserve">15.05.2026 № 327 «О единых базовых мерах поддержки лиц, </w:t>
            </w:r>
            <w:r>
              <w:rPr>
                <w:rFonts w:ascii="Times New Roman" w:hAnsi="Times New Roman"/>
                <w:b w:val="1"/>
                <w:sz w:val="28"/>
              </w:rPr>
              <w:t>принимающих (принимавших) участие в специальной военной операции, и других категорий лиц в субъектах Российской Федерации</w:t>
            </w:r>
            <w:r>
              <w:rPr>
                <w:rFonts w:ascii="Times New Roman" w:hAnsi="Times New Roman"/>
                <w:b w:val="1"/>
                <w:sz w:val="28"/>
              </w:rPr>
              <w:t>»</w:t>
            </w:r>
          </w:p>
        </w:tc>
      </w:tr>
    </w:tbl>
    <w:p w14:paraId="1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реализации Указа Президента Российской Федерации</w:t>
      </w:r>
      <w:r>
        <w:br/>
      </w: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b w:val="0"/>
          <w:sz w:val="28"/>
        </w:rPr>
        <w:t xml:space="preserve">15.05.2026 № 327 «О единых базовых мерах поддержки лиц, </w:t>
      </w:r>
      <w:r>
        <w:rPr>
          <w:rFonts w:ascii="Times New Roman" w:hAnsi="Times New Roman"/>
          <w:b w:val="0"/>
          <w:sz w:val="28"/>
        </w:rPr>
        <w:t>принимающих (принимавших) участие в специальной военной операции, и других категорий лиц в субъектах Российской Федерации</w:t>
      </w:r>
      <w:r>
        <w:rPr>
          <w:rFonts w:ascii="Times New Roman" w:hAnsi="Times New Roman"/>
          <w:b w:val="0"/>
          <w:sz w:val="28"/>
        </w:rPr>
        <w:t>»</w:t>
      </w:r>
    </w:p>
    <w:p w14:paraId="1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</w:t>
      </w:r>
      <w:r>
        <w:rPr>
          <w:rFonts w:ascii="Times New Roman" w:hAnsi="Times New Roman"/>
          <w:sz w:val="28"/>
        </w:rPr>
        <w:t>:</w:t>
      </w:r>
    </w:p>
    <w:p w14:paraId="1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Установить для</w:t>
      </w:r>
      <w:r>
        <w:rPr>
          <w:rFonts w:ascii="Times New Roman" w:hAnsi="Times New Roman"/>
          <w:sz w:val="28"/>
        </w:rPr>
        <w:t xml:space="preserve"> лиц, принимающих (принимавших) участие (содействующих (содействовавших) выполнению задач) в специальной военной операции, лиц,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Федерации, прилегающих к районам проведения специальной военной операции, 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 (далее </w:t>
      </w:r>
      <w:r>
        <w:rPr>
          <w:rFonts w:ascii="Times New Roman" w:hAnsi="Times New Roman"/>
          <w:color w:val="000000"/>
          <w:spacing w:val="0"/>
          <w:sz w:val="28"/>
        </w:rPr>
        <w:t>– участники специальной</w:t>
      </w:r>
      <w:r>
        <w:rPr>
          <w:rFonts w:ascii="Times New Roman" w:hAnsi="Times New Roman"/>
          <w:sz w:val="28"/>
        </w:rPr>
        <w:t xml:space="preserve"> военной операции), а также членов семей участников специальной военной операции меры поддер</w:t>
      </w:r>
      <w:r>
        <w:rPr>
          <w:rFonts w:ascii="Times New Roman" w:hAnsi="Times New Roman"/>
          <w:color w:val="000000"/>
          <w:sz w:val="28"/>
        </w:rPr>
        <w:t>жки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shd w:fill="FEFEFE" w:val="clear"/>
        </w:rPr>
        <w:t xml:space="preserve"> в виде предоставления льгот при посещении краевых государственных организаций культуры, а также выставок, просветительских мероприятий, организованных краевыми государственными учреждениями, подведомственными Министерству культуры Камчатского края</w:t>
      </w:r>
      <w:r>
        <w:rPr>
          <w:rFonts w:ascii="Times New Roman" w:hAnsi="Times New Roman"/>
          <w:b w:val="0"/>
          <w:sz w:val="28"/>
        </w:rPr>
        <w:t>.</w:t>
      </w: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Установить, что для целей настоящего приказа </w:t>
      </w:r>
      <w:r>
        <w:rPr>
          <w:rFonts w:ascii="Times New Roman" w:hAnsi="Times New Roman"/>
          <w:sz w:val="28"/>
        </w:rPr>
        <w:t>членами семьи участник</w:t>
      </w:r>
      <w:r>
        <w:rPr>
          <w:rFonts w:ascii="Times New Roman" w:hAnsi="Times New Roman"/>
          <w:b w:val="0"/>
          <w:sz w:val="28"/>
        </w:rPr>
        <w:t>ов специальной военной операции являются</w:t>
      </w:r>
      <w:r>
        <w:rPr>
          <w:rFonts w:ascii="Times New Roman" w:hAnsi="Times New Roman"/>
          <w:b w:val="0"/>
          <w:sz w:val="28"/>
        </w:rPr>
        <w:t xml:space="preserve"> лица, определенные в соответствии с пунктом 2 Указа </w:t>
      </w:r>
      <w:r>
        <w:rPr>
          <w:rFonts w:ascii="Times New Roman" w:hAnsi="Times New Roman"/>
          <w:b w:val="0"/>
          <w:sz w:val="28"/>
        </w:rPr>
        <w:t xml:space="preserve">Президента Российской Федерации от </w:t>
      </w:r>
      <w:r>
        <w:rPr>
          <w:rFonts w:ascii="Times New Roman" w:hAnsi="Times New Roman"/>
          <w:b w:val="0"/>
          <w:sz w:val="28"/>
        </w:rPr>
        <w:t xml:space="preserve">15.05.2026 № 327 «О единых базовых мерах поддержки лиц, </w:t>
      </w:r>
      <w:r>
        <w:rPr>
          <w:rFonts w:ascii="Times New Roman" w:hAnsi="Times New Roman"/>
          <w:b w:val="0"/>
          <w:sz w:val="28"/>
        </w:rPr>
        <w:t>принимающих (принимавших) участие в специальной военной операции, и других категорий лиц в субъектах Российской Федерации</w:t>
      </w:r>
      <w:r>
        <w:rPr>
          <w:rFonts w:ascii="Times New Roman" w:hAnsi="Times New Roman"/>
          <w:b w:val="0"/>
          <w:sz w:val="28"/>
        </w:rPr>
        <w:t>».</w:t>
      </w:r>
    </w:p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Определить, что</w:t>
      </w:r>
      <w:r>
        <w:rPr>
          <w:rFonts w:ascii="Times New Roman" w:hAnsi="Times New Roman"/>
          <w:b w:val="0"/>
          <w:sz w:val="28"/>
        </w:rPr>
        <w:t xml:space="preserve"> предоставление мер поддержки, указанных в части 1 настоящего приказа, осуществляется в соответствии с локальными актами </w:t>
      </w:r>
      <w:r>
        <w:rPr>
          <w:rFonts w:ascii="Times New Roman" w:hAnsi="Times New Roman"/>
          <w:sz w:val="28"/>
        </w:rPr>
        <w:t>краевых государственных учреждений, подведомственных Министерству культуры Камчатского края</w:t>
      </w:r>
      <w:r>
        <w:rPr>
          <w:rFonts w:ascii="Times New Roman" w:hAnsi="Times New Roman"/>
          <w:b w:val="0"/>
          <w:sz w:val="28"/>
        </w:rPr>
        <w:t>.</w:t>
      </w:r>
    </w:p>
    <w:p w14:paraId="1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b w:val="0"/>
          <w:sz w:val="28"/>
        </w:rPr>
        <w:t>Информация об установленных льготах доводится до сведения посетителей посредством ее размещения:</w:t>
      </w:r>
    </w:p>
    <w:p w14:paraId="1B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 официальных сайтах </w:t>
      </w:r>
      <w:r>
        <w:rPr>
          <w:rFonts w:ascii="Times New Roman" w:hAnsi="Times New Roman"/>
          <w:sz w:val="28"/>
        </w:rPr>
        <w:t>краевых государственных учреждений, подведомственных Министерству культуры Камчатского края,</w:t>
      </w:r>
      <w:r>
        <w:rPr>
          <w:rFonts w:ascii="Times New Roman" w:hAnsi="Times New Roman"/>
          <w:b w:val="0"/>
          <w:sz w:val="28"/>
        </w:rPr>
        <w:t xml:space="preserve"> в информационно-телекоммуникационной сети «Интернет»;</w:t>
      </w:r>
    </w:p>
    <w:p w14:paraId="1C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 специально оборудованных информационных стендах, размещаемых в доступных для посетителей </w:t>
      </w:r>
      <w:r>
        <w:rPr>
          <w:rFonts w:ascii="Times New Roman" w:hAnsi="Times New Roman"/>
          <w:sz w:val="28"/>
        </w:rPr>
        <w:t>краевых государственных учреждений, подведомственных Министерству культуры Камчатского края,</w:t>
      </w:r>
      <w:r>
        <w:rPr>
          <w:rFonts w:ascii="Times New Roman" w:hAnsi="Times New Roman"/>
          <w:b w:val="0"/>
          <w:sz w:val="28"/>
        </w:rPr>
        <w:t xml:space="preserve"> местах.</w:t>
      </w:r>
    </w:p>
    <w:p w14:paraId="1D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5. Рекомендовать органам местного самоуправления муниципальных образований в Камчатском крае установить меры поддержки, аналогичные мерам, предусмотренным частью 1 настоящего приказа.</w:t>
      </w:r>
    </w:p>
    <w:p w14:paraId="1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Настоящий приказ вступает в силу после дня его официального опубликования.</w:t>
      </w:r>
    </w:p>
    <w:p w14:paraId="1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2"/>
        <w:tblLayout w:type="fixed"/>
        <w:tblCellMar>
          <w:left w:type="dxa" w:w="0"/>
          <w:right w:type="dxa" w:w="0"/>
        </w:tblCellMar>
      </w:tblPr>
      <w:tblGrid>
        <w:gridCol w:w="2977"/>
        <w:gridCol w:w="4394"/>
        <w:gridCol w:w="2268"/>
      </w:tblGrid>
      <w:tr>
        <w:trPr>
          <w:trHeight w:hRule="atLeast" w:val="1839"/>
        </w:trPr>
        <w:tc>
          <w:tcPr>
            <w:tcW w:type="dxa" w:w="2977"/>
            <w:shd w:fill="auto" w:val="clear"/>
            <w:tcMar>
              <w:left w:type="dxa" w:w="0"/>
              <w:right w:type="dxa" w:w="0"/>
            </w:tcMar>
          </w:tcPr>
          <w:p w14:paraId="21000000">
            <w:pPr>
              <w:spacing w:after="0" w:line="240" w:lineRule="auto"/>
              <w:ind w:right="27"/>
              <w:rPr>
                <w:rFonts w:ascii="Times New Roman" w:hAnsi="Times New Roman"/>
                <w:sz w:val="24"/>
              </w:rPr>
            </w:pPr>
          </w:p>
          <w:p w14:paraId="22000000">
            <w:pPr>
              <w:spacing w:after="0" w:line="240" w:lineRule="auto"/>
              <w:ind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23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shd w:fill="auto" w:val="clear"/>
            <w:tcMar>
              <w:left w:type="dxa" w:w="0"/>
              <w:right w:type="dxa" w:w="0"/>
            </w:tcMar>
          </w:tcPr>
          <w:p w14:paraId="24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3"/>
          </w:p>
        </w:tc>
        <w:tc>
          <w:tcPr>
            <w:tcW w:type="dxa" w:w="2268"/>
            <w:shd w:fill="auto" w:val="clear"/>
            <w:tcMar>
              <w:left w:type="dxa" w:w="0"/>
              <w:right w:type="dxa" w:w="0"/>
            </w:tcMar>
          </w:tcPr>
          <w:p w14:paraId="25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</w:p>
          <w:p w14:paraId="2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О.И.Прокоп</w:t>
            </w:r>
            <w:r>
              <w:rPr>
                <w:rFonts w:ascii="Times New Roman" w:hAnsi="Times New Roman"/>
                <w:sz w:val="28"/>
              </w:rPr>
              <w:t>енко</w:t>
            </w:r>
          </w:p>
        </w:tc>
      </w:tr>
    </w:tbl>
    <w:p w14:paraId="27000000">
      <w:pPr>
        <w:widowControl w:val="0"/>
        <w:tabs>
          <w:tab w:leader="none" w:pos="8222" w:val="left"/>
        </w:tabs>
        <w:spacing w:after="0" w:line="240" w:lineRule="auto"/>
        <w:ind w:firstLine="5103" w:left="0" w:right="-2"/>
        <w:rPr>
          <w:rFonts w:ascii="Times New Roman" w:hAnsi="Times New Roman"/>
          <w:sz w:val="28"/>
        </w:rPr>
      </w:pPr>
    </w:p>
    <w:sectPr>
      <w:headerReference r:id="rId1" w:type="default"/>
      <w:pgSz w:h="16848" w:orient="portrait" w:w="11908"/>
      <w:pgMar w:bottom="1134" w:footer="709" w:gutter="0" w:header="709" w:left="1417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Plain Text"/>
    <w:basedOn w:val="Style_4"/>
    <w:link w:val="Style_12_ch"/>
    <w:pPr>
      <w:spacing w:after="0" w:line="240" w:lineRule="auto"/>
      <w:ind/>
    </w:pPr>
    <w:rPr>
      <w:rFonts w:ascii="Calibri" w:hAnsi="Calibri"/>
    </w:rPr>
  </w:style>
  <w:style w:styleId="Style_12_ch" w:type="character">
    <w:name w:val="Plain Text"/>
    <w:basedOn w:val="Style_4_ch"/>
    <w:link w:val="Style_12"/>
    <w:rPr>
      <w:rFonts w:ascii="Calibri" w:hAnsi="Calibri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footer"/>
    <w:basedOn w:val="Style_4"/>
    <w:link w:val="Style_15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15_ch" w:type="character">
    <w:name w:val="footer"/>
    <w:basedOn w:val="Style_4_ch"/>
    <w:link w:val="Style_15"/>
    <w:rPr>
      <w:rFonts w:ascii="Times New Roman" w:hAnsi="Times New Roman"/>
      <w:sz w:val="28"/>
    </w:rPr>
  </w:style>
  <w:style w:styleId="Style_16" w:type="paragraph">
    <w:name w:val="Hyperlink"/>
    <w:basedOn w:val="Style_10"/>
    <w:link w:val="Style_16_ch"/>
    <w:rPr>
      <w:color w:themeColor="hyperlink" w:val="0563C1"/>
      <w:u w:val="single"/>
    </w:rPr>
  </w:style>
  <w:style w:styleId="Style_16_ch" w:type="character">
    <w:name w:val="Hyperlink"/>
    <w:basedOn w:val="Style_10_ch"/>
    <w:link w:val="Style_16"/>
    <w:rPr>
      <w:color w:themeColor="hyperlink" w:val="0563C1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End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Endnote"/>
    <w:link w:val="Style_27"/>
    <w:rPr>
      <w:rFonts w:ascii="XO Thames" w:hAnsi="XO Thames"/>
      <w:sz w:val="22"/>
    </w:rPr>
  </w:style>
  <w:style w:styleId="Style_28" w:type="paragraph">
    <w:name w:val="Balloon Text"/>
    <w:basedOn w:val="Style_4"/>
    <w:link w:val="Style_28_ch"/>
    <w:pPr>
      <w:spacing w:after="0" w:line="240" w:lineRule="auto"/>
      <w:ind/>
    </w:pPr>
    <w:rPr>
      <w:rFonts w:ascii="Segoe UI" w:hAnsi="Segoe UI"/>
      <w:sz w:val="18"/>
    </w:rPr>
  </w:style>
  <w:style w:styleId="Style_28_ch" w:type="character">
    <w:name w:val="Balloon Text"/>
    <w:basedOn w:val="Style_4_ch"/>
    <w:link w:val="Style_28"/>
    <w:rPr>
      <w:rFonts w:ascii="Segoe UI" w:hAnsi="Segoe UI"/>
      <w:sz w:val="1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0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2026-08-28T03:57:24Z</dcterms:modified>
</cp:coreProperties>
</file>