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О порядке </w:t>
      </w:r>
      <w:r>
        <w:rPr>
          <w:rFonts w:ascii="Times New Roman" w:hAnsi="Times New Roman"/>
          <w:b/>
          <w:bCs/>
          <w:sz w:val="28"/>
        </w:rPr>
        <w:t xml:space="preserve">формирования и ведения реестра разрешений на строительство, реестра разрешения на ввод объектов капитального строительства в эксплуатацию</w:t>
      </w:r>
      <w:r>
        <w:rPr>
          <w:rFonts w:ascii="Times New Roman" w:hAnsi="Times New Roman"/>
          <w:b/>
          <w:bCs/>
          <w:sz w:val="28"/>
        </w:rPr>
        <w:t xml:space="preserve"> в Камчатском крае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  <w:t xml:space="preserve">В соответствии с частью 1</w:t>
      </w:r>
      <w:r>
        <w:rPr>
          <w:rFonts w:ascii="Times New Roman" w:hAnsi="Times New Roman"/>
          <w:sz w:val="28"/>
          <w:szCs w:val="28"/>
          <w:vertAlign w:val="superscript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статьи 51 и частью 1</w:t>
      </w:r>
      <w:r>
        <w:rPr>
          <w:rFonts w:ascii="Times New Roman" w:hAnsi="Times New Roman"/>
          <w:sz w:val="28"/>
          <w:szCs w:val="28"/>
          <w:vertAlign w:val="superscript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статьи 55 </w:t>
      </w:r>
      <w:r>
        <w:rPr>
          <w:rFonts w:ascii="Times New Roman" w:hAnsi="Times New Roman"/>
          <w:sz w:val="28"/>
          <w:szCs w:val="28"/>
        </w:rPr>
        <w:t xml:space="preserve">Градостроительного кодекса Российской Федерации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539"/>
        <w:jc w:val="both"/>
        <w:spacing w:after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Установить порядок </w:t>
      </w:r>
      <w:r>
        <w:rPr>
          <w:rFonts w:ascii="Times New Roman" w:hAnsi="Times New Roman"/>
          <w:sz w:val="28"/>
          <w:szCs w:val="28"/>
          <w:lang w:val="ru-RU"/>
        </w:rPr>
        <w:t xml:space="preserve">формирования и ведения реестра разрешений на строительство, реестра разрешения на ввод объектов капитального строительства в эксплуатацию</w:t>
      </w:r>
      <w:r>
        <w:rPr>
          <w:rFonts w:ascii="Times New Roman" w:hAnsi="Times New Roman"/>
          <w:sz w:val="28"/>
          <w:szCs w:val="28"/>
          <w:lang w:val="ru-RU"/>
        </w:rPr>
        <w:t xml:space="preserve"> в Камчатском крае согласно приложению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39"/>
        <w:jc w:val="both"/>
        <w:spacing w:after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ru-RU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40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hd w:val="nil" w:color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56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</w:t>
            </w:r>
            <w:r>
              <w:rPr>
                <w:rFonts w:ascii="Times New Roman" w:hAnsi="Times New Roman"/>
                <w:sz w:val="28"/>
              </w:rPr>
              <w:t xml:space="preserve">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Порядок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формирования и ведения реестра разрешений на строительство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реестра разрешения на ввод объектов капитального строительства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эксплуатацию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Камчатском крае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firstLine="709"/>
        <w:jc w:val="center"/>
        <w:spacing w:after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Предмет регулирования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Настоящий порядок формирования и ведения реестра разрешений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строительство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реестра разрешения на ввод объектов капитального строительства в эксплуатацию в Камчатском крае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реестры)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 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 частью 1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7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51 и частью 1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55 Градостроительного кодекса Российской Федерации и определяет требования к формированию и ведению реестр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органами исполнительной власти Камчатского края, органами местного самоуправления в Камчатском крае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частью 1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4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51 и частью 1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55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реестры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разрешений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разрешений на ввод объектов капитального строительства в эксплуатацию, выдаваемых исполнительными органами Камчатского края и органами местного самоуправления в Камчатском крае, вед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тся</w:t>
        <w:br/>
      </w:r>
      <w:r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обеспечения градостроительной деятельности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ГИСОГД Камчатского края).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архитектуры и градостроительство Камчатского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исполнительный орган Камчатского края, уполномоченный на создание и эксплуатацию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ГИСОГД Камчатского края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(далее – Оператор), обеспечивает формирование и эксплуатацию реестров в соответствии с требованиями нормативных правовых актов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Российской Федерации, Камчатского края, настоящего порядка.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Ведение реестров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исполнительными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органами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 в Камчатском крае, уполномоченными на выдачу разрешений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, разрешений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ввод объектов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– уполномоченные органы).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5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Оператор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обеспечивает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создание 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эксплуатацию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 с применением технологий, программны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организационных и технических средств формирования и ведения реестров, обеспечивающих: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разработку программного обеспечения реестров в соответствии с функциональными, техническими, качественными и эксплуатационными требованиями к реестрам;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предоставление органам государственной власти, органам местного самоуправления, физическим юридическим лицам доступа к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реестрам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соответстви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с разделом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 4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нас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тоящ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его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порядка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резервное копирование сведений, содержащихся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реестрах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бесперебойное функционирование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 в соответствии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 требованиями нормативных правовых актов Российской Федерации, Камчатского края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восстановление работоспособности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после аварии;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защиту сведений, содержащихся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реестрах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в соответствии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 требованиями законодательства Российской Федерации в области информации, информационных технологий и защиты информации, а также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в соответствии с требованиями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о государственной тайне, коммерческой тайне и иной охраняемой тайне;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 организационную, консультационную и техническую поддержку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пользователей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з) защиту содержащихся в реестре сведений от несанкционированного копирования, распространения, уничтожения, изменения и блокирования доступа к ним, а также иных неправомерных действий,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6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Функционирование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осуществляется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 муниципальных функций в электронной форме.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7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Формирование и ведение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осуществляются с использованием технологий, позволяющих обеспечить внесение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реестры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записей, внесение изменений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реестры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с учетом требований, установленных Правительством Российской Федерации,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а также хранение сведений, содержащихся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реестрах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соответствии с требованиями к полноте, достоверности, актуальности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 целостности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передачу и защиту.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8. Сведения, содержащиеся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, являются общедоступными,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сведений, доступ к которым ограничен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Требования к порядку и срокам внесения сведений в реестры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9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Реестры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формиру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ю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тся и вед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тся в электронном виде путем внесения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н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реестровых записей.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10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Основанием для внесения реестровых записей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реестры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является решение, принятое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уполномоченными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орган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ами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11.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целях принятия решения 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полномоченный орган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посредством заполнения экранных форм веб-интерфейса обеспечивает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внесени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в ГИСОГД Камчатского края проекта реестровой записи, содержащего сведения,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предусмотренные составом сведений, размещаемых в реестрах, и структурой реестровых записей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12. Состав сведений, размещаемых в реестрах, и структура реестровых записей определяются в соответствии с нормативными правовыми актами Российской Федерации 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правилами формирования реестровой записи реестров, приведенными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в 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приложения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х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 № 1 и № 2 к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 н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астоящему порядку.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Уполномоченный орган формиру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 реестровую запись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в реестр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разрешений на строительство после принятия решения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 выдаче разрешения на строительство в течение срока, указанного в части 11 статьи 51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реестре разрешений на ввод объекта капитального строительства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эксплуатацию после принятия решения о выдаче разрешения на ввод объекта капитального строительства в эксплуатацию в течение срока, указанного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части 5 статьи 55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14. Реестровая запись при внесении в реестр подписывается усиленной квалифицированной электронной подписью должностного лица, уполномоченного на принятие решени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 выдаче разрешения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на строительство, разрешения на ввод объекта капитального строительства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эксплуатацию.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5. Каждая реестровая запись идентифицируется реестровым номером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6. Реестровый номер присваивается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при внесении в реестр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каждой реестровой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записи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автоматическом режиме в соответствии с правилами формирования реестровой записи 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приведенными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standardContextual"/>
        </w:rPr>
        <w:t xml:space="preserve">в приложениях № 1 и № 2 к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настоящему порядку.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7. Реестровый номер присваивается однократно и не может быть изменен, а также использоваться повторно.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8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Внесение изменений в реестровую запись осуществляется в порядке, предусмотренном для формирования реестровой записи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при наличии оснований для внесения изменений, установленных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путем создания новой записи со ссылкой на запись, в которую вносятся изменения, при этом реестровый номер записи не изменяется. Предыдущая реестровая запись переносится автоматически в архив и исключается из общего доступа.</w:t>
      </w:r>
      <w:bookmarkStart w:id="0" w:name="undefined"/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19. Технические ошибки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реестровой записи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исправляются по решению уполномоченного органа в течение не более 5 рабочих дней со дня их обнаружения путем внесения в реестры новой записи со ссылкой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на запись, содержащую сведения, в которых допущена техническая ошибка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при этом реестровый номер записи не изменяется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Предыдущая реестровая запись переносится автоматически в архив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и исключается из общего доступа.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20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Реестровым записям могут быть присвоены следующие статусы: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«действу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ющий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» – действует со дня присвоения реестровой записи реестрового номера до дня перевода реестровой записи в статус «архивный»;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«архивный» – действует со дня перевода реестровой записи из статуса «действу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ющий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» в статус «архивный» в случаях, указанных в пункт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18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19,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21 и 22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его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П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орядка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21</w:t>
      </w:r>
      <w:r>
        <w:rPr>
          <w:rFonts w:ascii="Times New Roman" w:hAnsi="Times New Roman" w:cs="Times New Roman"/>
          <w:sz w:val="28"/>
          <w:szCs w:val="28"/>
        </w:rPr>
        <w:t xml:space="preserve">. Реестровой записи присваивается статус «архивный»,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действие разрешения прекращается на основании решения уполномоченного органа в случаях, установленных законодательством Российской Федерации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Реестровой записи автоматически присваивается статус «архивный»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>
        <w:rPr>
          <w:rFonts w:ascii="Times New Roman" w:hAnsi="Times New Roman" w:cs="Times New Roman"/>
          <w:sz w:val="28"/>
          <w:szCs w:val="28"/>
        </w:rPr>
        <w:t xml:space="preserve">срок действия разрешения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истек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выдано разрешение на ввод объекта капитального строительства (последнего этапа строительства объекта капитального строительства) в эксплуатацию.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Архив реестровых записей формируется автоматически в отдельном разделе реестра и не подлежит опубликованию.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Удаление реестровых записей не допускается.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. Ведение реестр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способом, позволяющим идентифицировать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, уполномоченного лица органа </w:t>
      </w:r>
      <w:r>
        <w:rPr>
          <w:rFonts w:ascii="Times New Roman" w:hAnsi="Times New Roman" w:cs="Times New Roman"/>
          <w:sz w:val="28"/>
          <w:szCs w:val="28"/>
        </w:rPr>
        <w:t xml:space="preserve">при внесении </w:t>
      </w:r>
      <w:r>
        <w:rPr>
          <w:rFonts w:ascii="Times New Roman" w:hAnsi="Times New Roman" w:cs="Times New Roman"/>
          <w:sz w:val="28"/>
          <w:szCs w:val="28"/>
        </w:rPr>
        <w:t xml:space="preserve">записи </w:t>
      </w:r>
      <w:r>
        <w:rPr>
          <w:rFonts w:ascii="Times New Roman" w:hAnsi="Times New Roman" w:cs="Times New Roman"/>
          <w:sz w:val="28"/>
          <w:szCs w:val="28"/>
        </w:rPr>
        <w:t xml:space="preserve">в реестр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, внесении изменений в запись реестра, исправлении технической ошибки в записи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. Учет всех действий по внесению</w:t>
      </w:r>
      <w:r>
        <w:rPr>
          <w:rFonts w:ascii="Times New Roman" w:hAnsi="Times New Roman" w:cs="Times New Roman"/>
          <w:sz w:val="28"/>
          <w:szCs w:val="28"/>
        </w:rPr>
        <w:t xml:space="preserve"> реестровых записей</w:t>
      </w:r>
      <w:r>
        <w:rPr>
          <w:rFonts w:ascii="Times New Roman" w:hAnsi="Times New Roman" w:cs="Times New Roman"/>
          <w:sz w:val="28"/>
          <w:szCs w:val="28"/>
        </w:rPr>
        <w:t xml:space="preserve"> в реестр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том числе в случае, если при внесении </w:t>
      </w:r>
      <w:r>
        <w:rPr>
          <w:rFonts w:ascii="Times New Roman" w:hAnsi="Times New Roman" w:cs="Times New Roman"/>
          <w:sz w:val="28"/>
          <w:szCs w:val="28"/>
        </w:rPr>
        <w:t xml:space="preserve">реестровых записей </w:t>
      </w:r>
      <w:r>
        <w:rPr>
          <w:rFonts w:ascii="Times New Roman" w:hAnsi="Times New Roman" w:cs="Times New Roman"/>
          <w:sz w:val="28"/>
          <w:szCs w:val="28"/>
        </w:rPr>
        <w:t xml:space="preserve">в реестр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допущена техническая ошибка,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осуществляется путем ведения электронного журнала учета </w:t>
      </w:r>
      <w:r>
        <w:rPr>
          <w:rFonts w:ascii="Times New Roman" w:hAnsi="Times New Roman" w:cs="Times New Roman"/>
          <w:sz w:val="28"/>
          <w:szCs w:val="28"/>
        </w:rPr>
        <w:t xml:space="preserve">действий</w:t>
      </w:r>
      <w:r>
        <w:rPr>
          <w:rFonts w:ascii="Times New Roman" w:hAnsi="Times New Roman" w:cs="Times New Roman"/>
          <w:sz w:val="28"/>
          <w:szCs w:val="28"/>
        </w:rPr>
        <w:t xml:space="preserve">, вносимых в реестр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27. Журнал учета действий защищен от удаления и несанкционированн</w:t>
      </w:r>
      <w:r>
        <w:rPr>
          <w:rFonts w:ascii="Times New Roman" w:hAnsi="Times New Roman" w:cs="Times New Roman"/>
          <w:sz w:val="28"/>
          <w:szCs w:val="28"/>
        </w:rPr>
        <w:t xml:space="preserve">ого редактирования. В журнале автоматически фиксируется дата, время, идентификатор пользователя, выполнившего действия по внесению или изменению реестровых записей в реестрах, исходное и измененное значение реестровой записи до и после внесения изменений.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Порядок предоставления доступа органам государственной власти, органам местного самоуправления, физическим и юридическим лицам к сведениям, содержащимся в реестрах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Доступ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власти, органов местного самоуправления, физических и юридических лиц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к содержащимся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 общедоступным сведениям обеспечиваетс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Оператором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п</w:t>
      </w:r>
      <w:r>
        <w:rPr>
          <w:rFonts w:ascii="Times New Roman" w:hAnsi="Times New Roman" w:cs="Times New Roman"/>
          <w:sz w:val="28"/>
          <w:szCs w:val="28"/>
        </w:rPr>
        <w:t xml:space="preserve">остоянной основе посредством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официального сайта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а также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государственных и муниципальных услуг и исполнения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функций в электронной форме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Оператор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доступ органов государственной власти, органов местного самоуправления, физических и юридических лиц к сведениям, содержащимся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 учетом требований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государственной, коммерческой и иной охраняемой законом тайне.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. Оператор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долгосрочное хранение сведений, содержащихся в реестрах.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</w:t>
      </w:r>
      <w:r>
        <w:rPr>
          <w:rFonts w:ascii="Times New Roman" w:hAnsi="Times New Roman" w:cs="Times New Roman"/>
          <w:sz w:val="28"/>
          <w:szCs w:val="28"/>
        </w:rPr>
        <w:t xml:space="preserve">. Отображение сведений, содержащихся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, с использованием официального сайта осуществляется в режиме просмотра таких сведений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без возможности их изменения.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Доступ к реестровым записям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обеспечивается не позднее рабочего дня, следующего за днем размещения записи в реестре.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Содержащиеся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 сведения предоставляются по запросам: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физических и юридических лиц, направленным с использованием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взимания платы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форме выписки;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органов государственной власти Российской Федерации, органов государственной власти субъектов Российской Федерации, органов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без взимания платы посредством витрины данных ГИСОГД</w:t>
      </w:r>
      <w:r>
        <w:rPr>
          <w:rFonts w:ascii="Times New Roman" w:hAnsi="Times New Roman" w:cs="Times New Roman"/>
          <w:sz w:val="28"/>
          <w:szCs w:val="28"/>
        </w:rPr>
        <w:t xml:space="preserve"> Камчатского края.</w:t>
      </w:r>
      <w:r>
        <w:rPr>
          <w:rStyle w:val="960"/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При заполнении формы запроса заявитель должен указать </w:t>
      </w:r>
      <w:r>
        <w:rPr>
          <w:rFonts w:ascii="Times New Roman" w:hAnsi="Times New Roman" w:cs="Times New Roman"/>
          <w:sz w:val="28"/>
          <w:szCs w:val="28"/>
        </w:rPr>
        <w:t xml:space="preserve">следующую информацию: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либо номер реестровой записи, содержащей запрашиваемые сведения, дату реестровой записи, в случае если требуется получить сведения, содержащиеся в реестре на конкретную дату;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либо кадастровый номер земельного участка;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либо адрес или описание места нахождения земельного участка.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Уведомление о регистрации запроса с указанием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его регистрационного номера и даты регистрации в автоматическом режиме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день его регистрации направляется заявителю.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Выписка из реестр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автоматически посредством </w:t>
      </w:r>
      <w:r>
        <w:rPr>
          <w:rFonts w:ascii="Times New Roman" w:hAnsi="Times New Roman" w:cs="Times New Roman"/>
          <w:sz w:val="28"/>
          <w:szCs w:val="28"/>
        </w:rPr>
        <w:t xml:space="preserve">ГИСОГД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не позднее</w:t>
      </w:r>
      <w:r>
        <w:rPr>
          <w:rFonts w:ascii="Times New Roman" w:hAnsi="Times New Roman" w:cs="Times New Roman"/>
          <w:sz w:val="28"/>
          <w:szCs w:val="28"/>
        </w:rPr>
        <w:t xml:space="preserve"> одного рабочего дня, следующего за днем поступления запроса о предоставлении выписки </w:t>
      </w:r>
      <w:r>
        <w:rPr>
          <w:rFonts w:ascii="Times New Roman" w:hAnsi="Times New Roman" w:cs="Times New Roman"/>
          <w:sz w:val="28"/>
          <w:szCs w:val="28"/>
        </w:rPr>
        <w:t xml:space="preserve">из реестр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, направляется лицу, сформировавшему такой запрос, посредством официального сайта.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Выписка из реестров подписывается усиленной квалифицированной электронной подписью уполномоченного органа.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В выписке указываются сведения последней на момент выдачи выписки версии реестровой записи.</w:t>
      </w:r>
      <w:r>
        <w:rPr>
          <w:rFonts w:ascii="Times New Roman" w:hAnsi="Times New Roman" w:cs="Times New Roman"/>
          <w:sz w:val="28"/>
          <w:szCs w:val="28"/>
        </w:rPr>
        <w:t xml:space="preserve"> В случае запроса сведений из реестра на конкретную дату, в выписке отображаются сведения, содержащиеся в реестре на указанную в запросе дату.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В случае если выписка из реестр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содержит сведения, свободный доступ к которым ограничен в соответствии с законодательством</w:t>
        <w:br/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такая выписка представляется исключительно лицу, имеющему доступ к указанным сведениям.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  <w:t xml:space="preserve">. При поступлении запроса о предоставлении выписки из реестр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выписка предоставляется в форме электронного документа формата XML, созданного с использованием XML-схем и обеспечивающего считывание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контроль представленных данных, а также в форме, пригодной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восприятия человеком, в виде файла формата PDF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требованиями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выписку из реестра должен быть нанесен двухмерный штриховой код (QR-код), посредством которого обеспечивается переход на адрес страницы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с размещенными на ней реестровыми записями реестра.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</w:t>
      </w:r>
      <w:r>
        <w:rPr>
          <w:rFonts w:ascii="Times New Roman" w:hAnsi="Times New Roman" w:cs="Times New Roman"/>
          <w:sz w:val="28"/>
          <w:szCs w:val="28"/>
        </w:rPr>
        <w:t xml:space="preserve">. Сведения, содержащиеся в реестр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предоставленные на основании запроса, независимо от способа предоставления являются актуальными (действительными) на дату подписания соответствующей выписки.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Обеспечение защиты информации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42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Сведения, содержащиеся в реестрах, подлежат защите в соответствии с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законодательств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 персональных данных, а также требованиями нормативных правовых актов и методических документов в сфере информационной безопасности и защиты информации.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4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Защита содержащихся в реестрах сведений от несанкционированного копирования, распространения, уничтожения, изменения и блокирования доступа к ним, а также иных неправомерных действий, 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беспечивается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Оператором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применения организационных и технических мер защиты информации, а также осуществления мероприятий по мониторингу, оценке рисков и реагированию на инциденты.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Программное и техническое обеспечение формирования и ведения реестров должно обеспечивать: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невозможность несанкционированного изменения (удаления) реестровых записей;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верификацию целостности данных путем расчета хеш‑суммы (цифрового отпечатка) данных и подписания ее усиленной квалифицированной электронной подписью с указанием метки доверенного времени при внесении записей в реестры;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отказоустойчивость и доступность реестров за счет использования механизмов кластеризации, балансировки нагрузки и реплицирования;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надежное хранение и целостность данных за счет встроенных в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базу данных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функций ограничения целостности, регулярного архивирования и резервного копирования журналов опережающей записи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фиксацию любых действий с реестровыми записями в электронном журнале.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разграничение прав доступа к реестрам.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юридическую значимость реестровых записей при их долгосрочном хранении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путем использования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сертифицированных ФСБ России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средств криптографической защиты информации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br w:type="page" w:clear="all"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5103"/>
        <w:jc w:val="right"/>
        <w:spacing w:after="0" w:line="240" w:lineRule="auto"/>
        <w:rPr>
          <w:rFonts w:ascii="Times New Roman" w:hAnsi="Times New Roman" w:cs="Times New Roman"/>
          <w:i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Приложение 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№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1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i/>
          <w:sz w:val="28"/>
          <w:szCs w:val="28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Порядку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ведения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реестра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/>
      <w:r>
        <w:rPr>
          <w:rFonts w:ascii="Times New Roman" w:hAnsi="Times New Roman" w:cs="Times New Roman"/>
          <w:bCs/>
          <w:sz w:val="28"/>
          <w:szCs w:val="28"/>
        </w:rPr>
        <w:t xml:space="preserve">разрешений на строительство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реестра разрешения на ввод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/>
      <w:r>
        <w:rPr>
          <w:rFonts w:ascii="Times New Roman" w:hAnsi="Times New Roman" w:cs="Times New Roman"/>
          <w:bCs/>
          <w:sz w:val="28"/>
          <w:szCs w:val="28"/>
        </w:rPr>
        <w:t xml:space="preserve">капитального строительства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bCs/>
          <w:sz w:val="28"/>
          <w:szCs w:val="28"/>
        </w:rPr>
        <w:t xml:space="preserve">эксплуатацию 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в Камчатском крае</w:t>
      </w:r>
      <w:r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 w:line="276" w:lineRule="auto"/>
        <w:rPr>
          <w:rFonts w:ascii="Times New Roman" w:hAnsi="Times New Roman" w:cs="Times New Roman"/>
          <w:i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i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i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i/>
          <w:sz w:val="28"/>
          <w:szCs w:val="28"/>
          <w14:ligatures w14:val="standardContextual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sz w:val="28"/>
          <w:szCs w:val="28"/>
          <w14:ligatures w14:val="standardContextual"/>
        </w:rPr>
        <w:t xml:space="preserve">Правила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pPr>
      <w:r>
        <w:rPr>
          <w:rFonts w:ascii="Times New Roman" w:hAnsi="Times New Roman" w:cs="Times New Roman"/>
          <w:b/>
          <w:sz w:val="28"/>
          <w:szCs w:val="28"/>
          <w14:ligatures w14:val="standardContextual"/>
        </w:rPr>
        <w:t xml:space="preserve">формирования реестровой записи реестра разрешений </w:t>
      </w:r>
      <w:r>
        <w:rPr>
          <w:rFonts w:ascii="Times New Roman" w:hAnsi="Times New Roman" w:cs="Times New Roman"/>
          <w:b/>
          <w:sz w:val="28"/>
          <w:szCs w:val="28"/>
          <w14:ligatures w14:val="standardContextual"/>
        </w:rPr>
        <w:t xml:space="preserve">на строительство объектов капитального строительства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  <w14:ligatures w14:val="standardContextual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Структура реестровой записи реестра разрешений на строительство состоит из: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Реестрового номера;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Даты создания реестровой записи;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Сведений о разрешении на строительство;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Сведений о застройщиках;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Сведений об объекте капитального строительства;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Сведений о земельном участке;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Сведений о проектной документации, типовом архитектурном решении, если планируется строительство или реконструкция объекта капитального строительства в границах территории исторического поселения федерального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или регионального значения;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з) Сведений о результатах экспертизы проектной документации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  <w:t xml:space="preserve">и государственной экологической экспертизы;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и) Сведений о проектных характеристиках объекта капитального строительства;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к) Сведений о проектных характеристиках линейного объекта.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  <w:t xml:space="preserve">Порядок заполнения атрибутов записи в реестре разрешений </w:t>
      </w:r>
      <w:r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  <w:t xml:space="preserve">на строительство, должна соответствовать следующим требованиям:</w:t>
      </w:r>
      <w:r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Кодовое наименование реестра: buildingPermit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Порядок заполнения атрибутов в реестре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Сведения о разрешении на строительство. Указываются информация о реквизитах записи в реестре разрешений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и внесении изменений в такую запись: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включения записи в реестр разрешений на строительство (issuingPermitDate). Указывается дата внесения записи в реестр разрешений</w:t>
        <w:br/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внесения изменений в запись реестра разрешений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(issuingPermitEditDate). Указывается дата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>
        <w:rPr>
          <w:rFonts w:ascii="Times New Roman" w:hAnsi="Times New Roman" w:cs="Times New Roman"/>
          <w:sz w:val="28"/>
          <w:szCs w:val="28"/>
        </w:rPr>
        <w:t xml:space="preserve">изменений в запись реестра разрешений на строительство или исправлени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записи в реестре разрешение на строительство в случае внесения изменений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запись реестра </w:t>
      </w:r>
      <w:r>
        <w:rPr>
          <w:rFonts w:ascii="Times New Roman" w:hAnsi="Times New Roman" w:cs="Times New Roman"/>
          <w:sz w:val="28"/>
          <w:szCs w:val="28"/>
        </w:rPr>
        <w:t xml:space="preserve">разрешени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на строительство, исправления допущенных опечаток и (или) ошибок в </w:t>
      </w:r>
      <w:r>
        <w:rPr>
          <w:rFonts w:ascii="Times New Roman" w:hAnsi="Times New Roman" w:cs="Times New Roman"/>
          <w:sz w:val="28"/>
          <w:szCs w:val="28"/>
        </w:rPr>
        <w:t xml:space="preserve">записи реестра </w:t>
      </w:r>
      <w:r>
        <w:rPr>
          <w:rFonts w:ascii="Times New Roman" w:hAnsi="Times New Roman" w:cs="Times New Roman"/>
          <w:sz w:val="28"/>
          <w:szCs w:val="28"/>
        </w:rPr>
        <w:t xml:space="preserve">разрешении на строительство.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разрешения на строительство (periodPermit). Указывается срок (дата), до которого действует разрешение на строительство, в соответствии с частью 19 статьи 51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реестровой записи в реестре разрешений на строительство (numberPermit). Указывается номер записи в реестре разрешений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(numberPermit), присвоенный при включении записи в реестр разрешений на строительство, органом (организацией), осуществляющим выдачу разрешения на строительство, который имеет структуру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RS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где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ОКТМО муниципального образования (муниципальный район, муниципальный округ, городской округ </w:t>
      </w:r>
      <w:r>
        <w:rPr>
          <w:rFonts w:ascii="Times New Roman" w:hAnsi="Times New Roman" w:cs="Times New Roman"/>
          <w:sz w:val="28"/>
          <w:szCs w:val="28"/>
        </w:rPr>
        <w:t xml:space="preserve">в составе субъекта Российской Федерации, федеральная территория) на территории, которого 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к строительству (реконструкции) объект капитального строительства.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объект расположен на территории двух и более муниципальных образований указывается код ОКТМО субъекта Российской федерации. допустимо указание нескольких муниципальных образований.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порядковый номер </w:t>
      </w:r>
      <w:r>
        <w:rPr>
          <w:rFonts w:ascii="Times New Roman" w:hAnsi="Times New Roman" w:cs="Times New Roman"/>
          <w:sz w:val="28"/>
          <w:szCs w:val="28"/>
        </w:rPr>
        <w:t xml:space="preserve">реестровой записи в реестре </w:t>
      </w:r>
      <w:r>
        <w:rPr>
          <w:rFonts w:ascii="Times New Roman" w:hAnsi="Times New Roman" w:cs="Times New Roman"/>
          <w:sz w:val="28"/>
          <w:szCs w:val="28"/>
        </w:rPr>
        <w:t xml:space="preserve">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начиная с 1 каждый календарный год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внесения записи в реестр </w:t>
      </w:r>
      <w:r>
        <w:rPr>
          <w:rFonts w:ascii="Times New Roman" w:hAnsi="Times New Roman" w:cs="Times New Roman"/>
          <w:sz w:val="28"/>
          <w:szCs w:val="28"/>
        </w:rPr>
        <w:t xml:space="preserve">разрешения на строительство (полностью).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Составные части номера отделяются друг от друга знаком «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/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Цифровые индексы обозначаются арабскими цифрами.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органе (организации), </w:t>
      </w:r>
      <w:r>
        <w:rPr>
          <w:rFonts w:ascii="Times New Roman" w:hAnsi="Times New Roman" w:cs="Times New Roman"/>
          <w:sz w:val="28"/>
          <w:szCs w:val="28"/>
        </w:rPr>
        <w:t xml:space="preserve">принявшем решение о внесении записи в реестр</w:t>
      </w:r>
      <w:r>
        <w:rPr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(authorityName)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(authorityINN)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(authorityOGRN)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лице, принявшем решение 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в реестр</w:t>
      </w:r>
      <w:r>
        <w:rPr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(authorityRepresentative)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(lastName)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firstName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Отчество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middleName</w:t>
      </w:r>
      <w:r>
        <w:rPr>
          <w:rFonts w:ascii="Times New Roman" w:hAnsi="Times New Roman" w:cs="Times New Roman"/>
          <w:sz w:val="28"/>
          <w:szCs w:val="28"/>
        </w:rPr>
        <w:t xml:space="preserve">) при наличии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position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застройщик</w:t>
      </w:r>
      <w:r>
        <w:rPr>
          <w:rFonts w:ascii="Times New Roman" w:hAnsi="Times New Roman" w:cs="Times New Roman"/>
          <w:sz w:val="28"/>
          <w:szCs w:val="28"/>
        </w:rPr>
        <w:t xml:space="preserve">е(-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(developerInfo). Указывается информация о застройщике</w:t>
      </w:r>
      <w:r>
        <w:rPr>
          <w:rFonts w:ascii="Times New Roman" w:hAnsi="Times New Roman" w:cs="Times New Roman"/>
          <w:sz w:val="28"/>
          <w:szCs w:val="28"/>
        </w:rPr>
        <w:t xml:space="preserve">(-ах)</w:t>
      </w:r>
      <w:r>
        <w:rPr>
          <w:rFonts w:ascii="Times New Roman" w:hAnsi="Times New Roman" w:cs="Times New Roman"/>
          <w:sz w:val="28"/>
          <w:szCs w:val="28"/>
        </w:rPr>
        <w:t xml:space="preserve">, направившем заявление о выдаче разрешения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физическ</w:t>
      </w:r>
      <w:r>
        <w:rPr>
          <w:rFonts w:ascii="Times New Roman" w:hAnsi="Times New Roman" w:cs="Times New Roman"/>
          <w:sz w:val="28"/>
          <w:szCs w:val="28"/>
        </w:rPr>
        <w:t xml:space="preserve">ом(-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лицах или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ом(-</w:t>
      </w:r>
      <w:r>
        <w:rPr>
          <w:rFonts w:ascii="Times New Roman" w:hAnsi="Times New Roman" w:cs="Times New Roman"/>
          <w:sz w:val="28"/>
          <w:szCs w:val="28"/>
        </w:rPr>
        <w:t xml:space="preserve">ых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е(-</w:t>
      </w:r>
      <w:r>
        <w:rPr>
          <w:rFonts w:ascii="Times New Roman" w:hAnsi="Times New Roman" w:cs="Times New Roman"/>
          <w:sz w:val="28"/>
          <w:szCs w:val="28"/>
        </w:rPr>
        <w:t xml:space="preserve">ях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(lastName)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(firstName)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Отчество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middleName</w:t>
      </w:r>
      <w:r>
        <w:rPr>
          <w:rFonts w:ascii="Times New Roman" w:hAnsi="Times New Roman" w:cs="Times New Roman"/>
          <w:sz w:val="28"/>
          <w:szCs w:val="28"/>
        </w:rPr>
        <w:t xml:space="preserve">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ОГРНИП (OGRNIP). Указывается в случае, если застройщик является индивидуальным предпринимателем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6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(адрес почтовый (address), телефон (phone), адрес электронной почты (email))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юридических лицах. Указывается информация о застройщике в случае, если застройщик является юридическим лицом: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7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7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7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(OGRN)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7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Контактная информация: (адрес почтовый (address), телефон (phone), адрес электронной почты (email)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объекте капитального строительства: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объекта капитального строительства (этапа) </w:t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проектной документацией (objectName);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выполняемых работ в отношении объекта капитального строительства в соответствии с проектной документацией (workType).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Вид обозначается арабскими цифрами: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1 -строительство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реконструкция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работы по сохранению объекта культурного наследия, при которых затрагиваются конструктивные и другие характеристики надежности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 безопасности такого объекта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Функционально технологические особенности объекта капитального строительства в соответствии с Приказом Минстроя России от 02.11.2022</w:t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№ 928/пр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«Об утверждении классификатора объектов капитального строительства по их назначению и функционально-технологическим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Указывается код из классификатора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none"/>
          <w:lang w:val="en-US"/>
        </w:rPr>
        <w:t xml:space="preserve">codeOks)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(местоположение) объекта капитального строительства (objectAddress). </w:t>
      </w:r>
      <w:r>
        <w:rPr>
          <w:rFonts w:ascii="Times New Roman" w:hAnsi="Times New Roman" w:cs="Times New Roman"/>
          <w:sz w:val="28"/>
          <w:szCs w:val="28"/>
        </w:rPr>
        <w:t xml:space="preserve">Указывается адрес объекта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Перечнем элементов планировочной структуры, элементов улично‑дорожной сети, элементов объе</w:t>
      </w:r>
      <w:r>
        <w:rPr>
          <w:rFonts w:ascii="Times New Roman" w:hAnsi="Times New Roman" w:cs="Times New Roman"/>
          <w:sz w:val="28"/>
          <w:szCs w:val="28"/>
        </w:rPr>
        <w:t xml:space="preserve">ктов адресации, типов зданий (сооружений), помещений, используемых в качестве реквизитов адреса, и Правилами сокращенного наименования адресообразующих элементов, утвержденными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риказом Министерства финансов Российской Федерации от 05.11.2015 № 171н.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адреса указывается местоположение объекта капитального строительства. Для линейных объектов и в случае их реконстр</w:t>
      </w:r>
      <w:r>
        <w:rPr>
          <w:rFonts w:ascii="Times New Roman" w:hAnsi="Times New Roman" w:cs="Times New Roman"/>
          <w:sz w:val="28"/>
          <w:szCs w:val="28"/>
        </w:rPr>
        <w:t xml:space="preserve">укции местоположение указывается в виде наименования субъекта (субъектов) Российской Федерации и муниципального (муниципальных) образования (образований), на территории которого (которых) планируется строительство или реконструкция такого линейного объекта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убъект Российской Федерации (subjectRF). Указывается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код субъекта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в котором расположен объект капитального строительства. Для линейных объектов допустимо указание нескольких субъектов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униципальный район, муниципальный округ, городской округ или внутригородская территория (для городов федерального значения)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составе субъекта Российской Федерации, федеральная 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(districtOrRegion). Указывается код ОКТМО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униципальный район, муниципальный округ, городской округ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внутригородская территория (для городов федерального значения)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составе субъекта Российской Федерации, федеральная территория).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линейных объектов допустимо указание нескольких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ородское или сельское поселение в составе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для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или внутригородского района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зданий, строений, сооружений, расположенных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федеральных территориях) (при наличии) (settlement). Указывается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код ОКТМО городского или сельского поселения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федеральных территориях) (при наличии) (settlement). Для линейных объектов допустимо указание нескольких муниципальных образований;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8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аселенный пункт (locality) (при наличии). Указывается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код ОКТМО населенного пункта. Для линейных объектов допустимо указание нескольких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8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элемента планировочной структуры (planningStructure) при наличии: тип элемента планировочной структуры (planningStructureType) и наименование элемента планировочной структуры (p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lanningStructureName)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numPr>
          <w:ilvl w:val="0"/>
          <w:numId w:val="8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аименование элемента улично-дорожной сети (roadNetwork) 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при наличии: тип элемента улично-дорожной сети (roadNetworkType) 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и наименование элемента улично-дорожной сети (roadNetworkName)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899"/>
        <w:numPr>
          <w:ilvl w:val="0"/>
          <w:numId w:val="8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ип и номер здания, строения, сооружения (building) при наличии: тип здания (сооружения) (buildingType) и номер здания (сооружения) (buildingNumber)</w:t>
      </w:r>
      <w:r>
        <w:rPr>
          <w:rFonts w:ascii="Times New Roman" w:hAnsi="Times New Roman" w:eastAsia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Уникальный н</w:t>
      </w:r>
      <w:r>
        <w:rPr>
          <w:rFonts w:ascii="Times New Roman" w:hAnsi="Times New Roman" w:cs="Times New Roman"/>
          <w:sz w:val="28"/>
          <w:szCs w:val="28"/>
        </w:rPr>
        <w:t xml:space="preserve">омер адреса объекта адресации в государственном адресном реестре, присвоенный в соответствии с порядком ведения государственного адресного реестра, утвержденным на основании пункта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3 части 2 статьи 5 Федерального закона от 28.12.2013 № 443-ФЗ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и» </w:t>
      </w:r>
      <w:r>
        <w:rPr>
          <w:rFonts w:ascii="Times New Roman" w:hAnsi="Times New Roman" w:cs="Times New Roman"/>
          <w:sz w:val="28"/>
          <w:szCs w:val="28"/>
        </w:rPr>
        <w:t xml:space="preserve">(objectGAR) при наличии.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(landplotInfo). Указываются сведения о земельном участке (земельных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участков), в границах которого (которых) расположен или планируется расположение объекта капитального строительства. Указывается в отношении всех объектов капитального строительства, предусмотренных проектной документацией, в том числе входящих в состав п</w:t>
      </w:r>
      <w:r>
        <w:rPr>
          <w:rFonts w:ascii="Times New Roman" w:hAnsi="Times New Roman" w:cs="Times New Roman"/>
          <w:sz w:val="28"/>
          <w:szCs w:val="28"/>
        </w:rPr>
        <w:t xml:space="preserve">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Не является обязательным при выдаче разрешения на строительство линейного объекта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в случаях, указанных в части 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статьи 51 Градостроительного кодекса Российской Федерации и части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57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Кадастровый номер или иной номер земельного участка (земельных участков), в границах которого (которых) расположен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планируется расположение объекта капитального строительства. Указывается кадастровый номер земельного участка в случае, если права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земельный участок зарегистрированы в Едином государственном реестре недвижимости (numEGRN) или условный номер земельного участка (numOther) в случаях, указанных в части 7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статьи 51 и части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если предусматривается образование двух и более земельных участков. Указывается в отношении всех объектов капитального строительства, предусмотренных проектной документацией, в том числе входящих в состав предприятия как и</w:t>
      </w:r>
      <w:r>
        <w:rPr>
          <w:rFonts w:ascii="Times New Roman" w:hAnsi="Times New Roman" w:cs="Times New Roman"/>
          <w:sz w:val="28"/>
          <w:szCs w:val="28"/>
        </w:rPr>
        <w:t xml:space="preserve">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Не является обязательным при выдаче разрешения на строительство (реконструкцию) линейного объекта.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земельного участка (земельных участков), в границах которого (которых) расположен или 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расположени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объект капитального строительства (landArea)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градостроительном плане земельного участка (urbanDevelopmentPlan). Не является обязательным при выдаче разрешения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линейного объекта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9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(date);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9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(number);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9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выдавшем градостроительный план земельного участка (Organization):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567"/>
        <w:jc w:val="both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</w:t>
        <w:tab/>
      </w:r>
      <w:r>
        <w:rPr>
          <w:rFonts w:ascii="Times New Roman" w:hAnsi="Times New Roman" w:cs="Times New Roman"/>
          <w:sz w:val="28"/>
          <w:szCs w:val="28"/>
        </w:rPr>
        <w:t xml:space="preserve">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схеме расположения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земельных участков на кадастровом плане территории (cadastralPlanInfo). Указываются в случаях, предусмотренных частью 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статьи 51 и частью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57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решения (date);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решения (number);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принявшем решение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схемы расположения земельного участка или земельных участков на кадастровом плане территории (Organization):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2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проекте планировки территории (planningDocumentation) при наличии Сведения указываются в отношении линейных объектов, кроме случаев,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решения (date) (в соответствии со сведениями, содержащимися в информационных системах обеспечения градостроительной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решения (number) (в соответствии со сведениями, содержащимися в информационных системах обеспечения градостроительной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принявшем решение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планировки территории (Organization)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ОГРН (OGRN)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2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проекте межевания территории (landSurveyingInfo)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наличии Сведения указываются в отношении линейных объектов, </w:t>
      </w:r>
      <w:r>
        <w:rPr>
          <w:rFonts w:ascii="Times New Roman" w:hAnsi="Times New Roman" w:cs="Times New Roman"/>
          <w:sz w:val="28"/>
          <w:szCs w:val="28"/>
        </w:rPr>
        <w:t xml:space="preserve">кроме случаев,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1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решения (date) (в соответствии со сведениями, содержащимися в информационных системах обеспечения градостроительной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1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решения (number) (в соответствии со сведениями, содержащимися в информационных системах обеспечения градостроительной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1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уполномоченного органа, принявшего решение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межевания территории (Organization):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проектной документации, типовом архитектурном решении объекта капитального строительства, утвержденном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исторического поселения (projectDocumentInfo):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разработчике - индивидуальном предпринимателе (developerIndividual)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амилия (lastName)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мя (firstName)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тчество (firstName) при наличии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3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ОГРНИП (OGRNIP)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разработчике - юридическом лице (developerOrganization)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олное наименование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(INN);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4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(OGRN);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утверждения (projectDocumentDate)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(projectDocumentNumber). При обращении застройщика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внесением изменений в запись реестра разрешений на строительство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связи с внесенными в проектную документацию изменениями, в данной строке указывается номер решения об утверждении таких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проектную документацию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типовом архитектурном решении объекта капитального строительства, утвержденном для исторического поселения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объекта в границах территории исторического поселения федерального или регионального значения (architecturalSolutionInfo)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документа, на основании которого утверждено типовое архитектурное решение (architecturalSolutionDate);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документа, на основании которого утверждено типовое архитектурное решение (architecturalSolutionNum);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5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принявшем решение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типового архитектурного решения (Organization):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результатах экспертизы проектной документации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государственной экологической экспертизы: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экспертизе проектной документации в случае,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если проектная документация подлежит экспертизе в соответствии со статьей 49 Градостроительн</w:t>
      </w:r>
      <w:r>
        <w:rPr>
          <w:rFonts w:ascii="Times New Roman" w:hAnsi="Times New Roman" w:cs="Times New Roman"/>
          <w:sz w:val="28"/>
          <w:szCs w:val="28"/>
        </w:rPr>
        <w:t xml:space="preserve">ого кодекса Российской Федерации (expertiseProjectDocument). В отношении заключений экспертизы проектной документации, сведения о которых полежат включению в единый государственный реестр заключений экспертизы проектной документации объектов капитального с</w:t>
      </w:r>
      <w:r>
        <w:rPr>
          <w:rFonts w:ascii="Times New Roman" w:hAnsi="Times New Roman" w:cs="Times New Roman"/>
          <w:sz w:val="28"/>
          <w:szCs w:val="28"/>
        </w:rPr>
        <w:t xml:space="preserve">троительства, информация о положительном заключении экспертизы проектной документации указывается в соответствии со сведениями, содержащимися в указанном реестре. В случае, если проектная документация содержит сведения, составляющие государственную тайну, </w:t>
      </w:r>
      <w:r>
        <w:rPr>
          <w:rFonts w:ascii="Times New Roman" w:hAnsi="Times New Roman" w:cs="Times New Roman"/>
          <w:sz w:val="28"/>
          <w:szCs w:val="28"/>
        </w:rPr>
        <w:t xml:space="preserve">то информация о выданном з</w:t>
      </w:r>
      <w:r>
        <w:rPr>
          <w:rFonts w:ascii="Times New Roman" w:hAnsi="Times New Roman" w:cs="Times New Roman"/>
          <w:sz w:val="28"/>
          <w:szCs w:val="28"/>
        </w:rPr>
        <w:t xml:space="preserve">аключении экспертизы проектной документации указывается в соответствии со сведениями, указанными в таком заключении. Указывается в отношении каждого полученного положительного заключения экспертизы проектной документации объекта капитального строительства.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положительного заключения экспертизы проектной документации (expertiseProjectDocumentDate);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положительного заключения экспертизы проектной документации (expertiseProjectDocumentNum);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6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органе или организации, выдавшей положительное заключение экспертизы проектной документации (Organization):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государственной экологической экспертизе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случае если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проектная документация подлежит государственной экологической экспертизе. Указывается в отношении каждого полученного положительного заключения государственной экологической экспертизы (expertiseStateEnvironmental).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7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положительного заключения государственной экологической экспертизы (expertiseStateEnvironmentalDate)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7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положительного заключения государственной экологической экспертизы (expertiseStateEnvironmentalNum)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7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утвердившим положительное заключение государственной экологической (Organization)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ОГРН (OGRN)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документе, подтверждающем соответствие вносимых в проектную документацию изменений требованиям, указанным в части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статьи 49 Градостроительного кодекса Российской Федерации, если такие изменения внесены в проектную документацию до обращения застройщика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выдачей разрешения на строительство либо если застройщик обратился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внесением изменений в разрешение на строительство в связи с внесенными в проектную документацию изменениями (documentEditInfo38)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документа, подтверждающем соответствие вносимых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проектную документацию изменений требованиям, указанным в части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статьи 49 Градостроительного кодекса Российской Федерации (documentEditInfo38Date)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документа, подтверждающем соответствие вносимых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проектную документацию изменений требованиям, указанным в части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статьи 49 Градостроительного кодекса Российской Федерации (documentEditInfo38Num)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8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 лице, утвердившем указанное подтверждение (фамилия, имя, отчество (последнее – при наличии), в должности главного инженера проекта (documentEditInfo38Name)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документе, подтверждающем соответствие вносимых в проектную документацию изменений требованиям, указанным в части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статьи 49 Градостроительного кодекса Российской Федерации, если такие изменения внесены в проектную документацию до обращения застройщика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выдачей разрешения на строительство либо если застройщик обратился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внесением изменений в разрешение на строительство в связи с внесенными в проектную документацию изменениями (documentEditInfo39)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9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ата документа, подтверждающем соответствие вносимых в проектную документацию изменений требованиям, указанным в части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статьи 49 Градостроительного кодекса Российской Федерации (documentEditInfo39Date);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9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омер документа, подтверждающем соответствие вносимых в проектную документацию изменений требованиям, указанным в части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статьи 49 Градостроительного кодекса Российской Федерации (documentEditInfo39Num);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19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ведения об уполномоченном органе, проводившей оценку соответствия (Organization):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органа (name)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ИНН (INN)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ОГРН (OGRN)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проектных характеристиках объекта капитального строительства, предусмотренного проектной документацией (permanentObject). Указываются сведения в отношении каждого объекта капитального строительства (за исключением линейных объ</w:t>
      </w:r>
      <w:r>
        <w:rPr>
          <w:rFonts w:ascii="Times New Roman" w:hAnsi="Times New Roman" w:cs="Times New Roman"/>
          <w:sz w:val="28"/>
          <w:szCs w:val="28"/>
        </w:rPr>
        <w:t xml:space="preserve">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объекта капитального строительства, предусмотренного проектной документацией (permanentObjectName)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ид объекта капитального строительства (permanentObjectType). Вид обозначается арабскими цифрами: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здание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строение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сооружение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азначение объекта (permanentObjectAssignment). Указывается назначение объекта из числа предусмотренных пунктом 9 части 5 статьи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 Федерального закона от 13.11.2015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218-ФЗ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на дату подготовки разрешения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строительство. Назначение обозначается арабскими цифрами: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нежилое здание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многоквартирный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жилой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4 - садовый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1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адастр</w:t>
      </w:r>
      <w:r>
        <w:rPr>
          <w:rFonts w:ascii="Times New Roman" w:hAnsi="Times New Roman" w:cs="Times New Roman"/>
          <w:sz w:val="28"/>
          <w:szCs w:val="28"/>
        </w:rPr>
        <w:t xml:space="preserve">овый номер реконструируемого объекта капитального строительства при наличии (permanentObjectCadastralNumber). В случае выполнения работ по сохранению объекта культурного наследия, при которых затрагиваются конструктивные и другие характеристики надежности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безопасности такого объекта, указывается кадастровый номер учтенного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Едином государственном реестре недвижимости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застрой</w:t>
      </w:r>
      <w:r>
        <w:rPr>
          <w:rFonts w:ascii="Times New Roman" w:hAnsi="Times New Roman" w:cs="Times New Roman"/>
          <w:sz w:val="28"/>
          <w:szCs w:val="28"/>
        </w:rPr>
        <w:t xml:space="preserve">ки (кв. м) (buildingArea).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эксплуатацию и эксплуатироваться автономно, то есть независимо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строительства или рекон</w:t>
      </w:r>
      <w:r>
        <w:rPr>
          <w:rFonts w:ascii="Times New Roman" w:hAnsi="Times New Roman" w:cs="Times New Roman"/>
          <w:sz w:val="28"/>
          <w:szCs w:val="28"/>
        </w:rPr>
        <w:t xml:space="preserve">струкции иных частей этого объекта капитального строительства,  то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разрешаемого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застройки части объекта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(кв. м) (при наличии) (permanentObjectPartBuildingArea). Заполняется в случае, если пода</w:t>
      </w:r>
      <w:r>
        <w:rPr>
          <w:rFonts w:ascii="Times New Roman" w:hAnsi="Times New Roman" w:cs="Times New Roman"/>
          <w:sz w:val="28"/>
          <w:szCs w:val="28"/>
        </w:rPr>
        <w:t xml:space="preserve">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то есть независимо от строительства или реконструкции иных частей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этого объекта капитального строительства (далее в настоящей сноске - этап). Указывается площадь застройки этапа, разрешаемого к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(кв. м) (при наличии) (area). В случае,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если пода</w:t>
      </w:r>
      <w:r>
        <w:rPr>
          <w:rFonts w:ascii="Times New Roman" w:hAnsi="Times New Roman" w:cs="Times New Roman"/>
          <w:sz w:val="28"/>
          <w:szCs w:val="28"/>
        </w:rPr>
        <w:t xml:space="preserve">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то есть независимо от строительства или реконструкции иных частей этого объекта капитального ст</w:t>
      </w:r>
      <w:r>
        <w:rPr>
          <w:rFonts w:ascii="Times New Roman" w:hAnsi="Times New Roman" w:cs="Times New Roman"/>
          <w:sz w:val="28"/>
          <w:szCs w:val="28"/>
        </w:rPr>
        <w:t xml:space="preserve">роительства (далее в настоящей сноске - этап),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разрешаемого к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части объекта капитального строительства (кв. м)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(при наличии) (permanentObjectPartArea). Заполняется в случае,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</w:t>
      </w:r>
      <w:r>
        <w:rPr>
          <w:rFonts w:ascii="Times New Roman" w:hAnsi="Times New Roman" w:cs="Times New Roman"/>
          <w:sz w:val="28"/>
          <w:szCs w:val="28"/>
        </w:rPr>
        <w:t xml:space="preserve">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Указывается площадь этапа, разрешаемого к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нежилых помещений (кв. м) (при наличии) (nonResidentialPremisesArea)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лощадь жилых помещений (кв. м) (при наличии) (residentialPremisesArea)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помещений (штук) (при наличии) (spacesNumber)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нежилых помещений (штук) (при наличии) (nonResidentialPremisesNumber)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жилых помещений (штук) (при наличии) (residentialPremisesNumber);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квартир (штук) (при наличии)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residentialPremisesAndApartmentsNumber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машино-мест (штук) (при наличии) (parkingSpacesNumber)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этажей (при наличии) (floorsNumber)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оличество подземных этажей (при наличии) (undergroundFloorsNumber)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местимость (человек) (при наличии) (capacity)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ысота (м) (при наличии) (height)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троительный объем (в том числе подземной части) (куб. м)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(при наличии) (constructionVolume)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0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ные показатели (otherParameters). При наличии указываются основные характерист</w:t>
      </w:r>
      <w:r>
        <w:rPr>
          <w:rFonts w:ascii="Times New Roman" w:hAnsi="Times New Roman" w:cs="Times New Roman"/>
          <w:sz w:val="28"/>
          <w:szCs w:val="28"/>
        </w:rPr>
        <w:t xml:space="preserve">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объекта капитального стр</w:t>
      </w:r>
      <w:r>
        <w:rPr>
          <w:rFonts w:ascii="Times New Roman" w:hAnsi="Times New Roman" w:cs="Times New Roman"/>
          <w:sz w:val="28"/>
          <w:szCs w:val="28"/>
        </w:rPr>
        <w:t xml:space="preserve">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проектных характеристиках линейного объекта, предусмотренного проектной документацией (linearObject). Указывается сведения в отношении каждого линейного </w:t>
      </w:r>
      <w:r>
        <w:rPr>
          <w:rFonts w:ascii="Times New Roman" w:hAnsi="Times New Roman" w:cs="Times New Roman"/>
          <w:sz w:val="28"/>
          <w:szCs w:val="28"/>
        </w:rPr>
        <w:t xml:space="preserve">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линейного объекта, предусмотренного проектной документацией (linearObjectName)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адастровый номер реконструируемого линейного объекта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(при наличии) (linearObjectCadastralNumber)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ротяженность (м) (при наличии) (length). В случае,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</w:t>
      </w:r>
      <w:r>
        <w:rPr>
          <w:rFonts w:ascii="Times New Roman" w:hAnsi="Times New Roman" w:cs="Times New Roman"/>
          <w:sz w:val="28"/>
          <w:szCs w:val="28"/>
        </w:rPr>
        <w:t xml:space="preserve"> в эксплуатацию и эксплуатироваться автономно, то есть независимо </w:t>
      </w:r>
      <w:r>
        <w:rPr>
          <w:rFonts w:ascii="Times New Roman" w:hAnsi="Times New Roman" w:cs="Times New Roman"/>
          <w:sz w:val="28"/>
          <w:szCs w:val="28"/>
        </w:rPr>
        <w:t xml:space="preserve">от строительства или реконструкции иных частей этого объекта (далее </w:t>
      </w:r>
      <w:r>
        <w:rPr>
          <w:rFonts w:ascii="Times New Roman" w:hAnsi="Times New Roman" w:cs="Times New Roman"/>
          <w:sz w:val="28"/>
          <w:szCs w:val="28"/>
        </w:rPr>
        <w:t xml:space="preserve">в настоящей сноске - этап), указывается протяженность линейного объекта, соответствующая всем ранее введенным в эксплуатацию этапам такого линейного объекта и этапа, разрешаемого к строительству, реконструкции.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случае, если подано заявление о выдаче разрешения на строительство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отношении линейного объекта в целях реконструкции, предусматривающей изменение участка (учас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разрешаемых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 реконструкции;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ротяженность участка или части линейного объекта </w:t>
      </w:r>
      <w:r>
        <w:rPr>
          <w:rFonts w:ascii="Times New Roman" w:hAnsi="Times New Roman" w:cs="Times New Roman"/>
          <w:sz w:val="28"/>
          <w:szCs w:val="28"/>
        </w:rPr>
        <w:t xml:space="preserve">(м) (partLength). Указывается в случае, если подано заявление о выдаче </w:t>
      </w:r>
      <w:r>
        <w:rPr>
          <w:rFonts w:ascii="Times New Roman" w:hAnsi="Times New Roman" w:cs="Times New Roman"/>
          <w:sz w:val="28"/>
          <w:szCs w:val="28"/>
        </w:rPr>
        <w:t xml:space="preserve">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</w:t>
      </w:r>
      <w:r>
        <w:rPr>
          <w:rFonts w:ascii="Times New Roman" w:hAnsi="Times New Roman" w:cs="Times New Roman"/>
          <w:sz w:val="28"/>
          <w:szCs w:val="28"/>
        </w:rPr>
        <w:t xml:space="preserve">и эксплуатироваться автономно,</w:t>
        <w:br/>
        <w:t xml:space="preserve">то есть независимо от 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или реконструкции иных частей этого объекта (далее в настоящей сноске - этап), либо в случае, если подано заявление о выдаче разрешения </w:t>
      </w:r>
      <w:r>
        <w:rPr>
          <w:rFonts w:ascii="Times New Roman" w:hAnsi="Times New Roman" w:cs="Times New Roman"/>
          <w:sz w:val="28"/>
          <w:szCs w:val="28"/>
        </w:rPr>
        <w:t xml:space="preserve">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данных случаях указывается протяженность этапа, разрешаемого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 строительству, реконструкции, либо указывается протяженность соответствующего участка или части линейного объекта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атегория (класс) (при наличии) (category)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ощность (пропускная способность, грузооборот, интенсивность движения) (при наличии) (power)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ип кабельной линии (type) при наличии, обозначается арабскими цифрами: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кабельная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воздушная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кабельно-воздушная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напряжения линий электропередачи в кВ (powerLevel).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2"/>
        </w:numPr>
        <w:ind w:lef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еречень зданий, строений и сооружений, проектируемых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составе линейного объекта, с указанием их характеристик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проектной документацией (при наличии) (otherParameters).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5103"/>
        <w:jc w:val="right"/>
        <w:spacing w:after="0" w:line="240" w:lineRule="auto"/>
        <w:rPr>
          <w:rFonts w:ascii="Times New Roman" w:hAnsi="Times New Roman" w:cs="Times New Roman"/>
          <w:i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Приложение 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№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standardContextual"/>
        </w:rPr>
        <w:t xml:space="preserve">2</w:t>
      </w:r>
      <w:r>
        <w:rPr>
          <w:rFonts w:ascii="Times New Roman" w:hAnsi="Times New Roman" w:cs="Times New Roman"/>
          <w:i/>
          <w:sz w:val="28"/>
          <w:szCs w:val="28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Порядку 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ведения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реестра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разрешений на строительство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реестра разрешения на ввод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капитального строительства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эксплуатацию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Камчатском крае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103"/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left="5103"/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Правила</w:t>
      </w: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формирования реестровой записи реестра разрешений на ввод объектов капитального строительства в эксплуатацию</w:t>
      </w: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r>
      <w:r/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Структура реестровой записи реестра разрешений на ввод объекта капитального строительства в эксплуатацию состоит из: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Сведений о создании реестровой записи;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Сведений о разрешении на ввод объекта в эксплуатацию;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Сведений о застройщиках;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Сведений об объекте капитального строительства;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Сведений о земельном участке;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Сведений о разрешении на строительство, на основании которого осуществлялось строительство, реконструкция объекта капитального строительства;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Наименования объекта капитального строительства, фактических показателей объекта капитального строительства и сведений о техническом плане;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з) Наименования линейного объекта, фактических показатели линейного объекта и сведений о техническом плане.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Порядок заполнения атрибутов записи в реестре разрешений на ввод должна соответствовать следующим требованиям: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Кодовое наименование реестра: commissioningPermit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заполнения атрибутов записи реестра: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разрешении на ввод объекта в эксплуатацию: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включения в реестр сведений о выдаче разрешения на ввод объекта в эксплуатацию (issuingPermitDate);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внесения изменений в реестр разрешений на ввод объекта в эксплуатацию (issuingPermitEditDate). Указывается дата последнего внесени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изменений в запись реестра разрешений на ввод или исправлени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записи в реестре разрешение на ввод;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реестровой записи в реестре разрешений на ввод объекта в эксплуатацию (numberPermit), присвоенный при включении записи в реестр разрешений на </w:t>
      </w:r>
      <w:r>
        <w:rPr>
          <w:rFonts w:ascii="Times New Roman" w:hAnsi="Times New Roman" w:cs="Times New Roman"/>
          <w:sz w:val="28"/>
          <w:szCs w:val="28"/>
        </w:rPr>
        <w:t xml:space="preserve">ввод</w:t>
      </w:r>
      <w:r>
        <w:rPr>
          <w:rFonts w:ascii="Times New Roman" w:hAnsi="Times New Roman" w:cs="Times New Roman"/>
          <w:sz w:val="28"/>
          <w:szCs w:val="28"/>
        </w:rPr>
        <w:t xml:space="preserve">, органом (организацией), осуществляющим выдачу разрешения на </w:t>
      </w:r>
      <w:r>
        <w:rPr>
          <w:rFonts w:ascii="Times New Roman" w:hAnsi="Times New Roman" w:cs="Times New Roman"/>
          <w:sz w:val="28"/>
          <w:szCs w:val="28"/>
        </w:rPr>
        <w:t xml:space="preserve">ввод</w:t>
      </w:r>
      <w:r>
        <w:rPr>
          <w:rFonts w:ascii="Times New Roman" w:hAnsi="Times New Roman" w:cs="Times New Roman"/>
          <w:sz w:val="28"/>
          <w:szCs w:val="28"/>
        </w:rPr>
        <w:t xml:space="preserve">, который имеет структуру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«а»-«б»-«в»</w:t>
      </w:r>
      <w:r>
        <w:rPr>
          <w:rFonts w:ascii="Times New Roman" w:hAnsi="Times New Roman" w:cs="Times New Roman"/>
          <w:sz w:val="28"/>
          <w:szCs w:val="28"/>
        </w:rPr>
        <w:t xml:space="preserve">, где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 - </w:t>
      </w:r>
      <w:r>
        <w:rPr>
          <w:rFonts w:ascii="Times New Roman" w:hAnsi="Times New Roman" w:cs="Times New Roman"/>
          <w:sz w:val="28"/>
          <w:szCs w:val="28"/>
        </w:rPr>
        <w:t xml:space="preserve">Код ОКТМО муниципального образования (муниципальный район, муниципальный округ, городской округ </w:t>
      </w:r>
      <w:r>
        <w:rPr>
          <w:rFonts w:ascii="Times New Roman" w:hAnsi="Times New Roman" w:cs="Times New Roman"/>
          <w:sz w:val="28"/>
          <w:szCs w:val="28"/>
        </w:rPr>
        <w:t xml:space="preserve">или внутригородская территория (для городов федерального значения) </w:t>
      </w:r>
      <w:r>
        <w:rPr>
          <w:rFonts w:ascii="Times New Roman" w:hAnsi="Times New Roman" w:cs="Times New Roman"/>
          <w:sz w:val="28"/>
          <w:szCs w:val="28"/>
        </w:rPr>
        <w:t xml:space="preserve">в составе субъекта Российской Федерации, федеральная территория) на территории, которого </w:t>
      </w:r>
      <w:r>
        <w:rPr>
          <w:rFonts w:ascii="Times New Roman" w:hAnsi="Times New Roman" w:cs="Times New Roman"/>
          <w:sz w:val="28"/>
          <w:szCs w:val="28"/>
        </w:rPr>
        <w:t xml:space="preserve">расположен</w:t>
      </w:r>
      <w:r>
        <w:rPr>
          <w:rFonts w:ascii="Times New Roman" w:hAnsi="Times New Roman" w:cs="Times New Roman"/>
          <w:sz w:val="28"/>
          <w:szCs w:val="28"/>
        </w:rPr>
        <w:t xml:space="preserve"> объект капитального строительства.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объект расположен на территории двух и более муниципальных образований указывается код ОКТМО субъекта Российской федерации. допустимо указание нескольких муниципальных образований.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- порядковый номер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реестровой записи в реестре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разрешени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на ввод объекта в эксплуатацию,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начиная с 1 каждый календарный год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- год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внесения записи в реестр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разрешения на ввод объекта в эксплуатацию (полностью).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Составные части номера отделяются друг от друга знаком «-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/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Цифровые индексы обозначаются арабскими цифрами.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рган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принявшем решение о внесении записи в реестр</w:t>
      </w:r>
      <w:r>
        <w:rPr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 (authorityInfo):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authorityName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ИНН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authorityINN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ОГРН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authorityOGRN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лице, принявшем решение 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в реестр </w:t>
      </w:r>
      <w:r>
        <w:rPr>
          <w:rFonts w:ascii="Times New Roman" w:hAnsi="Times New Roman" w:cs="Times New Roman"/>
          <w:sz w:val="28"/>
          <w:szCs w:val="28"/>
        </w:rPr>
        <w:t xml:space="preserve">разрешения на ввод объекта в эксплуатацию (authorityRepresentative):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фамилия (lastName);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имя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  <w14:ligatures w14:val="standardContextual"/>
        </w:rPr>
        <w:t xml:space="preserve">firstName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отчество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  <w14:ligatures w14:val="standardContextual"/>
        </w:rPr>
        <w:t xml:space="preserve">middleName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при наличии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должность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  <w14:ligatures w14:val="standardContextual"/>
        </w:rPr>
        <w:t xml:space="preserve">position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).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застройщике, направившем заявление о выдаче разрешения на строительство (developerInfo).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физических лицах или индивидуальных предпринимателях (developerIndividual):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Фамилия (lastName);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Имя (firstName);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Отчество (при наличии) (firstName);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ИНН (INN);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ОГРНИП (при наличии) (OGRNIP);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Контактная информация индивидуального предпринимателя или физического лица (contactInfo): адрес почтовый (address), телефон (phone), адрес электронной почты (email).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юридических лицах (developerOrganization):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Полное наименование (name);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ИНН (INN);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ОГРН (OGRN);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Контактная информация юридического лица (contactInfo): адрес почтовый (address), телефон (phone), адрес электронной почты (email).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объекте капитального строительства (objectInfo):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объекта капитального строительства (этапа)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проектной документацией (objectName);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выполненных работ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объекта капитального строительства (workType). Указывается в соответствии с разрешением на строительство, на основании которого осуществлялось строительство (реконструкция) объекта капитального строительства. Вид обозначается арабскими цифрами: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1 -строительство;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реконструкция;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работы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 технологические особенности объекта капитального строительства в соответствии 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Приказом Минстроя России от 02.11.2022 № 928/пр «Об утверждении классификатора объектов капитальног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Указывается код из классификатора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codeOks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(местоположение)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</w:t>
      </w:r>
      <w:r>
        <w:rPr>
          <w:rFonts w:ascii="Times New Roman" w:hAnsi="Times New Roman" w:cs="Times New Roman"/>
          <w:sz w:val="28"/>
          <w:szCs w:val="28"/>
        </w:rPr>
        <w:t xml:space="preserve">ующих строк; для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осуществлялось строительство такого линейного объекта. В случае ре</w:t>
      </w:r>
      <w:r>
        <w:rPr>
          <w:rFonts w:ascii="Times New Roman" w:hAnsi="Times New Roman" w:cs="Times New Roman"/>
          <w:sz w:val="28"/>
          <w:szCs w:val="28"/>
        </w:rPr>
        <w:t xml:space="preserve">конструкции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осуществлялась реконструкция такого линейного объекта. (objectAddress):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субъект Российской Федерации (subjectRF). Указывается код субъекта РФ, в котором расположен объект капитального строительства. Для линейных объектов допустимо указание нескольких субъектов РФ;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Муниципальный рай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 (districtOrRegion). Указывается код ОКТМО муниципального образования (Муниципальный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территория). Для линейных объектов допустимо указание нескольких муниципальных образований;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(settlement). Указывается код ОКТМО городского или сельского поселения в составе муницип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территориях). Для линейных объектов допустимо указание нескольких муниципальных образований;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Населенный пункт (при наличии) (locality). Указывается код ОКТМО населенного пункта. Для линейных объектов допустимо указание нескольких муниципальных образований;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Элемента планировочной структуры (при наличии) (planningStructure) при наличии: тип элемента планировочной структуры (planningStructureType) и наименование элемента планировочной структуры (planningStructureName)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Элемента улично-дорожной сети (при наличии) (roadNetwork) при наличии: тип элемента улично-дорожной сети (roadNetworkType) и наименование элемента улично-дорожной сети (roadNetworkName);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Тип и номер здания, строения, сооружения (при наличии) (building) при наличии: тип здания (сооружения) (buildingType) и номер здания (сооружения) (buildingNumber).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Уникальный номер адреса объекта адресации в государственном адресном реестре, присвоенный в соответствии с порядком в</w:t>
      </w:r>
      <w:r>
        <w:rPr>
          <w:rFonts w:ascii="Times New Roman" w:hAnsi="Times New Roman" w:cs="Times New Roman"/>
          <w:sz w:val="28"/>
          <w:szCs w:val="28"/>
        </w:rPr>
        <w:t xml:space="preserve">едения государственного адресного реестра, утвержденным на основании пункта 3 части 2 статьи 5 Федерального закона от 28.12.2013 № 443-ФЗ «О федеральной информационной адресной системе и о внесении изменений в Федеральный закон «Об общих принципах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 (при наличии) (objectGAR).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земельном участке (landplotInfo). Указывается в отношении всех объектов капитального стро</w:t>
      </w:r>
      <w:r>
        <w:rPr>
          <w:rFonts w:ascii="Times New Roman" w:hAnsi="Times New Roman" w:cs="Times New Roman"/>
          <w:sz w:val="28"/>
          <w:szCs w:val="28"/>
        </w:rPr>
        <w:t xml:space="preserve">ительства, предусмотренных проектной документацией, в том числе входящих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Кадастровый номер земельного участка (земельных участков), в границах которого (которых) расположен объект капитального строительства (numEGRN).Указывается в отношении всех объектов капитального стро</w:t>
      </w:r>
      <w:r>
        <w:rPr>
          <w:rFonts w:ascii="Times New Roman" w:hAnsi="Times New Roman" w:cs="Times New Roman"/>
          <w:sz w:val="28"/>
          <w:szCs w:val="28"/>
        </w:rPr>
        <w:t xml:space="preserve">ительства, предусмотренных проектной документацией, в том числе входящих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разрешении на строительство, на основании которого осуществлялось строительство, реконструкция объекта капитального строительства (buildingInfo):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включения в реестр сведений о выдаче разрешения на строительство (issuingPermitDate);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записи в реестре разрешений на строительство (numberPermit), присвоенный при включении записи в реестр разрешений на строительство, органом (организацией), осуществляющим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numPr>
          <w:ilvl w:val="1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органа (организации), выдавшего разрешение на строительство: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Name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ИНН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INN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9"/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ОГРН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(OGRN).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</w:t>
      </w:r>
      <w:r>
        <w:rPr>
          <w:rFonts w:ascii="Times New Roman" w:hAnsi="Times New Roman" w:cs="Times New Roman"/>
          <w:sz w:val="28"/>
          <w:szCs w:val="28"/>
        </w:rPr>
        <w:t xml:space="preserve">нование объекта капитального строительства, фактические показатели объекта капитального строительства и сведения о техническом плане (permanentObject). Указываются сведения в отношении каждого объекта капитального строительства (за исключением линейных объ</w:t>
      </w:r>
      <w:r>
        <w:rPr>
          <w:rFonts w:ascii="Times New Roman" w:hAnsi="Times New Roman" w:cs="Times New Roman"/>
          <w:sz w:val="28"/>
          <w:szCs w:val="28"/>
        </w:rPr>
        <w:t xml:space="preserve">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Наименование объекта капитального строительства, предусмотренного проектной документацией, в соответствии с техническим планом объекта капитального строительства (permanentObjectName);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Вид объекта капитального строительства (permanentObjectType). Вид обозначается арабскими цифрами: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здание;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строение;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сооружение.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Назначение объекта из числа предусмотренных пунктом 9 части 5</w:t>
        <w:br/>
        <w:t xml:space="preserve">статьи 8 Федерального закона от 13.11.2015 № 218-ФЗ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«О государственной регистрации недвижимости» на дату подготовки разрешения на строительство (permanentObjectAssignment). Назначение обозначается арабскими цифрами: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нежилое здание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многоквартирный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жилой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4 - садовый дом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5 - гараж;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Кадастровый номер реконструированного объекта капитального строительства (при наличии) (permanentObjectCadastralNumber). В случае выполнения работ по сохране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Едином государственном реестре недвижимости объекта культурного наследия.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Площадь застройки (кв. м) (при наличии) (buildingArea);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Площадь застройки части объекта капитального строительства (кв. м)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(при наличии) (permanentObjectPartBuildingArea);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Площадь (кв. м) (при наличии) (area). В случае, если подано заявление в отношении этапа строительства, реконструкции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оительства (далее в настоящей сноске - этап),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разрешаемого к строительству, реконструкции;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з) Площадь части объекта капитального строительства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(кв. м) строительства (permanentObjectPartArea). Заполняется в случае, если подано заявление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Указывается площадь этапа, разрешаемого к строительству, реконструкции;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и) Площадь нежилых помещений (кв. м) (при наличии) (nonResidentialPremisesArea);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к) Общая площадь жилых помещений (с учетом балконов, лоджий, веранд и террас) (кв. м) (при наличии) (residentialPremisesAreaWithBalcony);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л) Общая площадь жилых помещений (за исключением балконов, лоджий, веранд и террас) (кв. м)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(residentialPremisesArea);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м) Количество помещений (штук) (при наличии) (spacesNumber);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н) Количество нежилых помещений (штук) (при наличии) (nonResidentialPremisesNumber);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о) Количество жилых помещений (штук)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(residentialPremisesNumber);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п) Количество квартир (штук) (при наличии) (residentialPremisesAndApartmentsNumber);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р) Количество машино-мест (штук) (при наличии) (parkingSpacesNumber);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с) Количество этажей (при наличии) (floorsNumber);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т) Количество подземных этажей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(undergroundFloorsNumber);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у) Вместимость (человек) (при наличии) (capacity);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ф) Высота (м) (при наличии) (height);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х) Класс энергетической эффективности (при наличии) (energyEfficiencyClass) при наличии.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Указывается в отношении объектов капитального строительства, для которых присвоение класса энергетической эффективности, определяемого в соответствии с законодательством об энергосбережении и о повышении энергетической эффективности, является обязательным;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ц) Строительный объем (в том числе подземной части) (куб. м) (при наличии) (constructionVolume)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ч) Дата подготовки технического плана (technicalPlanDate)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ш) Страховой номер индивидуального лицевого счета кадастрового инженера, подготовившего технический план (insuranceNumber).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pStyle w:val="759"/>
        <w:numPr>
          <w:ilvl w:val="0"/>
          <w:numId w:val="24"/>
        </w:num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линейного объекта, фактические показатели линейного объекта и сведения о техническом плане (linearObject). Указывается сведения в отношении каждого линейного </w:t>
      </w:r>
      <w:r>
        <w:rPr>
          <w:rFonts w:ascii="Times New Roman" w:hAnsi="Times New Roman" w:cs="Times New Roman"/>
          <w:sz w:val="28"/>
          <w:szCs w:val="28"/>
        </w:rPr>
        <w:t xml:space="preserve">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а) Наименование линейного объекта, предусмотренного проектной документацией, в соответствии с техническим планом объекта капитального строительства (linearObjectName);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б) Кадастровый номер реконструированного линейного объекта (при наличии) (linearObjectCadastralNumber);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в) Протяженность (м) (при наличии) (length). В случае, если подано заявление о выда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строительства или реконструкции иных частей этого объекта (далее в настоящей сноске - этап), указывается протяженность линейного объекта, соответствующая всем ранее введенным в эксплуатацию этапам такого линейного объекта и этапа, вводимого в эксплуатацию.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случае, если подано заявление о выдаче разрешения на ввод объекта в эксплуатацию линейного объекта, в отношении которого осуществлена реконструкция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предусматривающая изменение участка (участков) или части (частей) такого линейного объекта, влекущая изменение протяженности линейного объекта указывается протяженность всех ранее введенных и вводимых в эксплуатацию участков или частей линейного объекта;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г) Протяженност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ь участка или части линейного объекта (м) (при наличии) (partLength). Указывается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случае, если подано заявление о выда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В данных случаях указывается протяженность этапа, вводимого в эксплуатацию, либо указывается протяженность соответствующего участка или части линейного объекта;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д) Категория (класс) (при наличии) (category);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е) Мощность (пропускная способность, грузооборот, интенсивность движения)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(при наличии) (power);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Тип (type), обозначается арабскими цифрами: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1 - кабельная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2 - воздушная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3 - кабельно-воздушная линия электропередачи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з) уровень напряжения линий электропередачи (при наличии) в кВ (powerLevel);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ж) Иные показатели (при наличии) (otherParameters). При наличии указывают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ся основные характеристики линейного объекта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линейного объекта;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и) Дата подготовки технического плана (technicalPlanDate)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к) Страховой номер индивидуального лицевого счета кадастрового инженера, подготовившего технический план (insuranceNumber).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standardContextual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  <w:rPr>
        <w:rFonts w:ascii="Times New Roman" w:hAnsi="Times New Roman" w:cs="Times New Roman"/>
        <w:sz w:val="32"/>
        <w:szCs w:val="32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32"/>
        <w:szCs w:val="32"/>
      </w:rPr>
    </w:r>
    <w:r>
      <w:rPr>
        <w:rFonts w:ascii="Times New Roman" w:hAnsi="Times New Roman" w:cs="Times New Roman"/>
        <w:sz w:val="32"/>
        <w:szCs w:val="32"/>
      </w:rPr>
    </w:r>
  </w:p>
  <w:p>
    <w:pPr>
      <w:pStyle w:val="91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7" w:hanging="47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037" w:hanging="47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27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7" w:hanging="47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6">
    <w:name w:val="Heading 1 Char"/>
    <w:basedOn w:val="910"/>
    <w:link w:val="90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7">
    <w:name w:val="Heading 2 Char"/>
    <w:basedOn w:val="910"/>
    <w:link w:val="906"/>
    <w:uiPriority w:val="9"/>
    <w:rPr>
      <w:rFonts w:ascii="Liberation Sans" w:hAnsi="Liberation Sans" w:eastAsia="Liberation Sans" w:cs="Liberation Sans"/>
      <w:sz w:val="34"/>
    </w:rPr>
  </w:style>
  <w:style w:type="character" w:styleId="748">
    <w:name w:val="Heading 3 Char"/>
    <w:basedOn w:val="910"/>
    <w:link w:val="90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9">
    <w:name w:val="Heading 4 Char"/>
    <w:basedOn w:val="910"/>
    <w:link w:val="90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0">
    <w:name w:val="Heading 5 Char"/>
    <w:basedOn w:val="910"/>
    <w:link w:val="90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1">
    <w:name w:val="Heading 6"/>
    <w:basedOn w:val="904"/>
    <w:next w:val="904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2">
    <w:name w:val="Heading 6 Char"/>
    <w:basedOn w:val="910"/>
    <w:link w:val="75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3">
    <w:name w:val="Heading 7"/>
    <w:basedOn w:val="904"/>
    <w:next w:val="904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4">
    <w:name w:val="Heading 7 Char"/>
    <w:basedOn w:val="910"/>
    <w:link w:val="75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5">
    <w:name w:val="Heading 8"/>
    <w:basedOn w:val="904"/>
    <w:next w:val="904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6">
    <w:name w:val="Heading 8 Char"/>
    <w:basedOn w:val="910"/>
    <w:link w:val="75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7">
    <w:name w:val="Heading 9"/>
    <w:basedOn w:val="904"/>
    <w:next w:val="904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8">
    <w:name w:val="Heading 9 Char"/>
    <w:basedOn w:val="910"/>
    <w:link w:val="75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9">
    <w:name w:val="List Paragraph"/>
    <w:basedOn w:val="904"/>
    <w:uiPriority w:val="34"/>
    <w:qFormat/>
    <w:pPr>
      <w:contextualSpacing/>
      <w:ind w:left="720"/>
    </w:pPr>
  </w:style>
  <w:style w:type="paragraph" w:styleId="760">
    <w:name w:val="No Spacing"/>
    <w:uiPriority w:val="1"/>
    <w:qFormat/>
    <w:pPr>
      <w:spacing w:before="0" w:after="0" w:line="240" w:lineRule="auto"/>
    </w:pPr>
  </w:style>
  <w:style w:type="character" w:styleId="761">
    <w:name w:val="Title Char"/>
    <w:basedOn w:val="910"/>
    <w:link w:val="950"/>
    <w:uiPriority w:val="10"/>
    <w:rPr>
      <w:sz w:val="48"/>
      <w:szCs w:val="48"/>
    </w:rPr>
  </w:style>
  <w:style w:type="character" w:styleId="762">
    <w:name w:val="Subtitle Char"/>
    <w:basedOn w:val="910"/>
    <w:link w:val="946"/>
    <w:uiPriority w:val="11"/>
    <w:rPr>
      <w:sz w:val="24"/>
      <w:szCs w:val="24"/>
    </w:rPr>
  </w:style>
  <w:style w:type="paragraph" w:styleId="763">
    <w:name w:val="Quote"/>
    <w:basedOn w:val="904"/>
    <w:next w:val="904"/>
    <w:link w:val="764"/>
    <w:uiPriority w:val="29"/>
    <w:qFormat/>
    <w:pPr>
      <w:ind w:left="720" w:right="720"/>
    </w:pPr>
    <w:rPr>
      <w:i/>
    </w:rPr>
  </w:style>
  <w:style w:type="character" w:styleId="764">
    <w:name w:val="Quote Char"/>
    <w:link w:val="763"/>
    <w:uiPriority w:val="29"/>
    <w:rPr>
      <w:i/>
    </w:rPr>
  </w:style>
  <w:style w:type="paragraph" w:styleId="765">
    <w:name w:val="Intense Quote"/>
    <w:basedOn w:val="904"/>
    <w:next w:val="904"/>
    <w:link w:val="7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>
    <w:name w:val="Intense Quote Char"/>
    <w:link w:val="765"/>
    <w:uiPriority w:val="30"/>
    <w:rPr>
      <w:i/>
    </w:rPr>
  </w:style>
  <w:style w:type="character" w:styleId="767">
    <w:name w:val="Header Char"/>
    <w:basedOn w:val="910"/>
    <w:link w:val="918"/>
    <w:uiPriority w:val="99"/>
  </w:style>
  <w:style w:type="character" w:styleId="768">
    <w:name w:val="Footer Char"/>
    <w:basedOn w:val="910"/>
    <w:link w:val="948"/>
    <w:uiPriority w:val="99"/>
  </w:style>
  <w:style w:type="paragraph" w:styleId="769">
    <w:name w:val="Caption"/>
    <w:basedOn w:val="904"/>
    <w:next w:val="904"/>
    <w:link w:val="7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910"/>
    <w:link w:val="769"/>
    <w:uiPriority w:val="35"/>
    <w:rPr>
      <w:b/>
      <w:bCs/>
      <w:color w:val="4f81bd" w:themeColor="accent1"/>
      <w:sz w:val="18"/>
      <w:szCs w:val="18"/>
    </w:rPr>
  </w:style>
  <w:style w:type="table" w:styleId="771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3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4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9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0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2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4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5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2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3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4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5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6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7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8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9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4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5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6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7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8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9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0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6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7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9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2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3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4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5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6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7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8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9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70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71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72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73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74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75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7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8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9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0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1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2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4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5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6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7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8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9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0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1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2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3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4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5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6">
    <w:name w:val="footnote text"/>
    <w:basedOn w:val="904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>
    <w:name w:val="Footnote Text Char"/>
    <w:link w:val="896"/>
    <w:uiPriority w:val="99"/>
    <w:rPr>
      <w:sz w:val="18"/>
    </w:rPr>
  </w:style>
  <w:style w:type="character" w:styleId="898">
    <w:name w:val="footnote reference"/>
    <w:basedOn w:val="910"/>
    <w:uiPriority w:val="99"/>
    <w:unhideWhenUsed/>
    <w:rPr>
      <w:vertAlign w:val="superscript"/>
    </w:rPr>
  </w:style>
  <w:style w:type="paragraph" w:styleId="899">
    <w:name w:val="endnote text"/>
    <w:basedOn w:val="904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>
    <w:name w:val="Endnote Text Char"/>
    <w:link w:val="899"/>
    <w:uiPriority w:val="99"/>
    <w:rPr>
      <w:sz w:val="20"/>
    </w:rPr>
  </w:style>
  <w:style w:type="character" w:styleId="901">
    <w:name w:val="endnote reference"/>
    <w:basedOn w:val="910"/>
    <w:uiPriority w:val="99"/>
    <w:semiHidden/>
    <w:unhideWhenUsed/>
    <w:rPr>
      <w:vertAlign w:val="superscript"/>
    </w:rPr>
  </w:style>
  <w:style w:type="paragraph" w:styleId="902">
    <w:name w:val="TOC Heading"/>
    <w:uiPriority w:val="39"/>
    <w:unhideWhenUsed/>
  </w:style>
  <w:style w:type="paragraph" w:styleId="903">
    <w:name w:val="table of figures"/>
    <w:basedOn w:val="904"/>
    <w:next w:val="904"/>
    <w:uiPriority w:val="99"/>
    <w:unhideWhenUsed/>
    <w:pPr>
      <w:spacing w:after="0" w:afterAutospacing="0"/>
    </w:pPr>
  </w:style>
  <w:style w:type="paragraph" w:styleId="904" w:default="1">
    <w:name w:val="Normal"/>
    <w:link w:val="913"/>
    <w:qFormat/>
  </w:style>
  <w:style w:type="paragraph" w:styleId="905">
    <w:name w:val="Heading 1"/>
    <w:next w:val="904"/>
    <w:link w:val="93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906">
    <w:name w:val="Heading 2"/>
    <w:next w:val="904"/>
    <w:link w:val="955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907">
    <w:name w:val="Heading 3"/>
    <w:next w:val="904"/>
    <w:link w:val="92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908">
    <w:name w:val="Heading 4"/>
    <w:next w:val="904"/>
    <w:link w:val="95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909">
    <w:name w:val="Heading 5"/>
    <w:next w:val="904"/>
    <w:link w:val="92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character" w:styleId="913" w:customStyle="1">
    <w:name w:val="Обычный1"/>
  </w:style>
  <w:style w:type="paragraph" w:styleId="914">
    <w:name w:val="toc 2"/>
    <w:next w:val="904"/>
    <w:link w:val="915"/>
    <w:uiPriority w:val="39"/>
    <w:pPr>
      <w:ind w:left="200"/>
    </w:pPr>
    <w:rPr>
      <w:rFonts w:ascii="XO Thames" w:hAnsi="XO Thames"/>
      <w:sz w:val="28"/>
    </w:rPr>
  </w:style>
  <w:style w:type="character" w:styleId="915" w:customStyle="1">
    <w:name w:val="Оглавление 2 Знак"/>
    <w:link w:val="914"/>
    <w:rPr>
      <w:rFonts w:ascii="XO Thames" w:hAnsi="XO Thames"/>
      <w:sz w:val="28"/>
    </w:rPr>
  </w:style>
  <w:style w:type="paragraph" w:styleId="916">
    <w:name w:val="toc 4"/>
    <w:next w:val="904"/>
    <w:link w:val="917"/>
    <w:uiPriority w:val="39"/>
    <w:pPr>
      <w:ind w:left="600"/>
    </w:pPr>
    <w:rPr>
      <w:rFonts w:ascii="XO Thames" w:hAnsi="XO Thames"/>
      <w:sz w:val="28"/>
    </w:rPr>
  </w:style>
  <w:style w:type="character" w:styleId="917" w:customStyle="1">
    <w:name w:val="Оглавление 4 Знак"/>
    <w:link w:val="916"/>
    <w:rPr>
      <w:rFonts w:ascii="XO Thames" w:hAnsi="XO Thames"/>
      <w:sz w:val="28"/>
    </w:rPr>
  </w:style>
  <w:style w:type="paragraph" w:styleId="918">
    <w:name w:val="Header"/>
    <w:basedOn w:val="904"/>
    <w:link w:val="91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basedOn w:val="913"/>
    <w:link w:val="918"/>
    <w:uiPriority w:val="99"/>
  </w:style>
  <w:style w:type="paragraph" w:styleId="920">
    <w:name w:val="toc 6"/>
    <w:next w:val="904"/>
    <w:link w:val="921"/>
    <w:uiPriority w:val="39"/>
    <w:pPr>
      <w:ind w:left="1000"/>
    </w:pPr>
    <w:rPr>
      <w:rFonts w:ascii="XO Thames" w:hAnsi="XO Thames"/>
      <w:sz w:val="28"/>
    </w:rPr>
  </w:style>
  <w:style w:type="character" w:styleId="921" w:customStyle="1">
    <w:name w:val="Оглавление 6 Знак"/>
    <w:link w:val="920"/>
    <w:rPr>
      <w:rFonts w:ascii="XO Thames" w:hAnsi="XO Thames"/>
      <w:sz w:val="28"/>
    </w:rPr>
  </w:style>
  <w:style w:type="paragraph" w:styleId="922">
    <w:name w:val="toc 7"/>
    <w:next w:val="904"/>
    <w:link w:val="923"/>
    <w:uiPriority w:val="39"/>
    <w:pPr>
      <w:ind w:left="1200"/>
    </w:pPr>
    <w:rPr>
      <w:rFonts w:ascii="XO Thames" w:hAnsi="XO Thames"/>
      <w:sz w:val="28"/>
    </w:rPr>
  </w:style>
  <w:style w:type="character" w:styleId="923" w:customStyle="1">
    <w:name w:val="Оглавление 7 Знак"/>
    <w:link w:val="922"/>
    <w:rPr>
      <w:rFonts w:ascii="XO Thames" w:hAnsi="XO Thames"/>
      <w:sz w:val="28"/>
    </w:rPr>
  </w:style>
  <w:style w:type="character" w:styleId="924" w:customStyle="1">
    <w:name w:val="Заголовок 3 Знак"/>
    <w:link w:val="907"/>
    <w:rPr>
      <w:rFonts w:ascii="XO Thames" w:hAnsi="XO Thames"/>
      <w:b/>
      <w:sz w:val="26"/>
    </w:rPr>
  </w:style>
  <w:style w:type="paragraph" w:styleId="925">
    <w:name w:val="Plain Text"/>
    <w:basedOn w:val="904"/>
    <w:link w:val="926"/>
    <w:pPr>
      <w:spacing w:after="0" w:line="240" w:lineRule="auto"/>
    </w:pPr>
    <w:rPr>
      <w:rFonts w:ascii="Calibri" w:hAnsi="Calibri"/>
    </w:rPr>
  </w:style>
  <w:style w:type="character" w:styleId="926" w:customStyle="1">
    <w:name w:val="Текст Знак"/>
    <w:basedOn w:val="913"/>
    <w:link w:val="925"/>
    <w:rPr>
      <w:rFonts w:ascii="Calibri" w:hAnsi="Calibri"/>
    </w:rPr>
  </w:style>
  <w:style w:type="paragraph" w:styleId="927">
    <w:name w:val="toc 3"/>
    <w:next w:val="904"/>
    <w:link w:val="928"/>
    <w:uiPriority w:val="39"/>
    <w:pPr>
      <w:ind w:left="400"/>
    </w:pPr>
    <w:rPr>
      <w:rFonts w:ascii="XO Thames" w:hAnsi="XO Thames"/>
      <w:sz w:val="28"/>
    </w:rPr>
  </w:style>
  <w:style w:type="character" w:styleId="928" w:customStyle="1">
    <w:name w:val="Оглавление 3 Знак"/>
    <w:link w:val="927"/>
    <w:rPr>
      <w:rFonts w:ascii="XO Thames" w:hAnsi="XO Thames"/>
      <w:sz w:val="28"/>
    </w:rPr>
  </w:style>
  <w:style w:type="character" w:styleId="929" w:customStyle="1">
    <w:name w:val="Заголовок 5 Знак"/>
    <w:link w:val="909"/>
    <w:rPr>
      <w:rFonts w:ascii="XO Thames" w:hAnsi="XO Thames"/>
      <w:b/>
      <w:sz w:val="22"/>
    </w:rPr>
  </w:style>
  <w:style w:type="character" w:styleId="930" w:customStyle="1">
    <w:name w:val="Заголовок 1 Знак"/>
    <w:link w:val="905"/>
    <w:rPr>
      <w:rFonts w:ascii="XO Thames" w:hAnsi="XO Thames"/>
      <w:b/>
      <w:sz w:val="32"/>
    </w:rPr>
  </w:style>
  <w:style w:type="paragraph" w:styleId="931" w:customStyle="1">
    <w:name w:val="Гиперссылка1"/>
    <w:basedOn w:val="939"/>
    <w:link w:val="932"/>
    <w:rPr>
      <w:color w:val="0563c1" w:themeColor="hyperlink"/>
      <w:u w:val="single"/>
    </w:rPr>
  </w:style>
  <w:style w:type="character" w:styleId="932">
    <w:name w:val="Hyperlink"/>
    <w:basedOn w:val="910"/>
    <w:link w:val="931"/>
    <w:rPr>
      <w:color w:val="0563c1" w:themeColor="hyperlink"/>
      <w:u w:val="single"/>
    </w:rPr>
  </w:style>
  <w:style w:type="paragraph" w:styleId="933" w:customStyle="1">
    <w:name w:val="Footnote"/>
    <w:link w:val="934"/>
    <w:pPr>
      <w:ind w:firstLine="851"/>
      <w:jc w:val="both"/>
    </w:pPr>
    <w:rPr>
      <w:rFonts w:ascii="XO Thames" w:hAnsi="XO Thames"/>
    </w:rPr>
  </w:style>
  <w:style w:type="character" w:styleId="934" w:customStyle="1">
    <w:name w:val="Footnote"/>
    <w:link w:val="933"/>
    <w:rPr>
      <w:rFonts w:ascii="XO Thames" w:hAnsi="XO Thames"/>
      <w:sz w:val="22"/>
    </w:rPr>
  </w:style>
  <w:style w:type="paragraph" w:styleId="935">
    <w:name w:val="toc 1"/>
    <w:next w:val="904"/>
    <w:link w:val="936"/>
    <w:uiPriority w:val="39"/>
    <w:rPr>
      <w:rFonts w:ascii="XO Thames" w:hAnsi="XO Thames"/>
      <w:b/>
      <w:sz w:val="28"/>
    </w:rPr>
  </w:style>
  <w:style w:type="character" w:styleId="936" w:customStyle="1">
    <w:name w:val="Оглавление 1 Знак"/>
    <w:link w:val="935"/>
    <w:rPr>
      <w:rFonts w:ascii="XO Thames" w:hAnsi="XO Thames"/>
      <w:b/>
      <w:sz w:val="28"/>
    </w:rPr>
  </w:style>
  <w:style w:type="paragraph" w:styleId="937" w:customStyle="1">
    <w:name w:val="Header and Footer"/>
    <w:link w:val="938"/>
    <w:pPr>
      <w:jc w:val="both"/>
      <w:spacing w:line="240" w:lineRule="auto"/>
    </w:pPr>
    <w:rPr>
      <w:rFonts w:ascii="XO Thames" w:hAnsi="XO Thames"/>
      <w:sz w:val="20"/>
    </w:rPr>
  </w:style>
  <w:style w:type="character" w:styleId="938" w:customStyle="1">
    <w:name w:val="Header and Footer"/>
    <w:link w:val="937"/>
    <w:rPr>
      <w:rFonts w:ascii="XO Thames" w:hAnsi="XO Thames"/>
      <w:sz w:val="20"/>
    </w:rPr>
  </w:style>
  <w:style w:type="paragraph" w:styleId="939" w:customStyle="1">
    <w:name w:val="Основной шрифт абзаца1"/>
  </w:style>
  <w:style w:type="paragraph" w:styleId="940">
    <w:name w:val="toc 9"/>
    <w:next w:val="904"/>
    <w:link w:val="941"/>
    <w:uiPriority w:val="39"/>
    <w:pPr>
      <w:ind w:left="1600"/>
    </w:pPr>
    <w:rPr>
      <w:rFonts w:ascii="XO Thames" w:hAnsi="XO Thames"/>
      <w:sz w:val="28"/>
    </w:rPr>
  </w:style>
  <w:style w:type="character" w:styleId="941" w:customStyle="1">
    <w:name w:val="Оглавление 9 Знак"/>
    <w:link w:val="940"/>
    <w:rPr>
      <w:rFonts w:ascii="XO Thames" w:hAnsi="XO Thames"/>
      <w:sz w:val="28"/>
    </w:rPr>
  </w:style>
  <w:style w:type="paragraph" w:styleId="942">
    <w:name w:val="toc 8"/>
    <w:next w:val="904"/>
    <w:link w:val="943"/>
    <w:uiPriority w:val="39"/>
    <w:pPr>
      <w:ind w:left="1400"/>
    </w:pPr>
    <w:rPr>
      <w:rFonts w:ascii="XO Thames" w:hAnsi="XO Thames"/>
      <w:sz w:val="28"/>
    </w:rPr>
  </w:style>
  <w:style w:type="character" w:styleId="943" w:customStyle="1">
    <w:name w:val="Оглавление 8 Знак"/>
    <w:link w:val="942"/>
    <w:rPr>
      <w:rFonts w:ascii="XO Thames" w:hAnsi="XO Thames"/>
      <w:sz w:val="28"/>
    </w:rPr>
  </w:style>
  <w:style w:type="paragraph" w:styleId="944">
    <w:name w:val="toc 5"/>
    <w:next w:val="904"/>
    <w:link w:val="945"/>
    <w:uiPriority w:val="39"/>
    <w:pPr>
      <w:ind w:left="800"/>
    </w:pPr>
    <w:rPr>
      <w:rFonts w:ascii="XO Thames" w:hAnsi="XO Thames"/>
      <w:sz w:val="28"/>
    </w:rPr>
  </w:style>
  <w:style w:type="character" w:styleId="945" w:customStyle="1">
    <w:name w:val="Оглавление 5 Знак"/>
    <w:link w:val="944"/>
    <w:rPr>
      <w:rFonts w:ascii="XO Thames" w:hAnsi="XO Thames"/>
      <w:sz w:val="28"/>
    </w:rPr>
  </w:style>
  <w:style w:type="paragraph" w:styleId="946">
    <w:name w:val="Subtitle"/>
    <w:next w:val="904"/>
    <w:link w:val="94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47" w:customStyle="1">
    <w:name w:val="Подзаголовок Знак"/>
    <w:link w:val="946"/>
    <w:rPr>
      <w:rFonts w:ascii="XO Thames" w:hAnsi="XO Thames"/>
      <w:i/>
      <w:sz w:val="24"/>
    </w:rPr>
  </w:style>
  <w:style w:type="paragraph" w:styleId="948">
    <w:name w:val="Footer"/>
    <w:basedOn w:val="904"/>
    <w:link w:val="94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49" w:customStyle="1">
    <w:name w:val="Нижний колонтитул Знак"/>
    <w:basedOn w:val="913"/>
    <w:link w:val="948"/>
    <w:rPr>
      <w:rFonts w:ascii="Times New Roman" w:hAnsi="Times New Roman"/>
      <w:sz w:val="28"/>
    </w:rPr>
  </w:style>
  <w:style w:type="paragraph" w:styleId="950">
    <w:name w:val="Title"/>
    <w:next w:val="904"/>
    <w:link w:val="95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51" w:customStyle="1">
    <w:name w:val="Название Знак"/>
    <w:link w:val="950"/>
    <w:rPr>
      <w:rFonts w:ascii="XO Thames" w:hAnsi="XO Thames"/>
      <w:b/>
      <w:caps/>
      <w:sz w:val="40"/>
    </w:rPr>
  </w:style>
  <w:style w:type="paragraph" w:styleId="952">
    <w:name w:val="Balloon Text"/>
    <w:basedOn w:val="904"/>
    <w:link w:val="953"/>
    <w:pPr>
      <w:spacing w:after="0" w:line="240" w:lineRule="auto"/>
    </w:pPr>
    <w:rPr>
      <w:rFonts w:ascii="Segoe UI" w:hAnsi="Segoe UI"/>
      <w:sz w:val="18"/>
    </w:rPr>
  </w:style>
  <w:style w:type="character" w:styleId="953" w:customStyle="1">
    <w:name w:val="Текст выноски Знак"/>
    <w:basedOn w:val="913"/>
    <w:link w:val="952"/>
    <w:rPr>
      <w:rFonts w:ascii="Segoe UI" w:hAnsi="Segoe UI"/>
      <w:sz w:val="18"/>
    </w:rPr>
  </w:style>
  <w:style w:type="character" w:styleId="954" w:customStyle="1">
    <w:name w:val="Заголовок 4 Знак"/>
    <w:link w:val="908"/>
    <w:rPr>
      <w:rFonts w:ascii="XO Thames" w:hAnsi="XO Thames"/>
      <w:b/>
      <w:sz w:val="24"/>
    </w:rPr>
  </w:style>
  <w:style w:type="character" w:styleId="955" w:customStyle="1">
    <w:name w:val="Заголовок 2 Знак"/>
    <w:link w:val="906"/>
    <w:rPr>
      <w:rFonts w:ascii="XO Thames" w:hAnsi="XO Thames"/>
      <w:b/>
      <w:sz w:val="28"/>
    </w:rPr>
  </w:style>
  <w:style w:type="table" w:styleId="956">
    <w:name w:val="Table Grid"/>
    <w:basedOn w:val="91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7" w:customStyle="1">
    <w:name w:val="Сетка таблицы1"/>
    <w:basedOn w:val="91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8" w:customStyle="1">
    <w:name w:val="Сетка таблицы2"/>
    <w:basedOn w:val="91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60" w:customStyle="1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shchelkanovaav</cp:lastModifiedBy>
  <cp:revision>21</cp:revision>
  <dcterms:created xsi:type="dcterms:W3CDTF">2025-01-31T01:52:00Z</dcterms:created>
  <dcterms:modified xsi:type="dcterms:W3CDTF">2026-08-19T01:31:20Z</dcterms:modified>
</cp:coreProperties>
</file>