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3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0" y="0"/>
                    <wp:lineTo x="0" y="20887"/>
                    <wp:lineTo x="20965" y="20887"/>
                    <wp:lineTo x="20965" y="0"/>
                    <wp:lineTo x="0" y="0"/>
                  </wp:wrapPolygon>
                </wp:wrapTight>
                <wp:docPr id="1" name="Picture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47700" cy="8077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58240;o:allowoverlap:true;o:allowincell:true;mso-position-horizontal-relative:margin;mso-position-horizontal:center;mso-position-vertical-relative:text;margin-top:0.00pt;mso-position-vertical:absolute;width:51.00pt;height:63.60pt;mso-wrap-distance-left:9.00pt;mso-wrap-distance-top:0.00pt;mso-wrap-distance-right:9.00pt;mso-wrap-distance-bottom:0.00pt;" wrapcoords="0 0 0 96699 97060 96699 97060 0 0 0" stroked="false">
                <v:path textboxrect="0,0,0,0"/>
                <w10:wrap type="tight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П О С Т А Н О В Л Е Н И Е</w:t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ПРАВИТЕЛЬСТВА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234"/>
        </w:trPr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ind w:left="142" w:hanging="142"/>
              <w:spacing w:after="0" w:line="240" w:lineRule="auto"/>
              <w:rPr>
                <w:rFonts w:ascii="Times New Roman" w:hAnsi="Times New Roman"/>
                <w:sz w:val="24"/>
              </w:rPr>
            </w:pPr>
            <w:r/>
            <w:bookmarkStart w:id="0" w:name="REGNUMDATESTAMP"/>
            <w:r>
              <w:rPr>
                <w:rFonts w:ascii="Times New Roman" w:hAnsi="Times New Roman"/>
                <w:color w:val="ffffff"/>
                <w:sz w:val="24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z w:val="20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z w:val="24"/>
              </w:rPr>
              <w:t xml:space="preserve">]</w:t>
            </w:r>
            <w:bookmarkEnd w:id="0"/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right w:w="0" w:type="dxa"/>
            </w:tcMar>
            <w:tcW w:w="4253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О внесении изменений в государственную программу Камчатского края «Формирование современной городской среды в Камчатском крае», утвержденную постановлением Правительства Камчатского края </w:t>
      </w:r>
      <w:r>
        <w:rPr>
          <w:rFonts w:ascii="Times New Roman" w:hAnsi="Times New Roman"/>
          <w:b/>
          <w:sz w:val="28"/>
          <w:lang w:val="ru-RU"/>
        </w:rPr>
        <w:br/>
      </w:r>
      <w:r>
        <w:rPr>
          <w:rFonts w:ascii="Times New Roman" w:hAnsi="Times New Roman"/>
          <w:b/>
          <w:sz w:val="28"/>
          <w:lang w:val="ru-RU"/>
        </w:rPr>
        <w:t xml:space="preserve">от 13.03.2024 № 103-П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ПРАВИТЕЛЬСТВО ПОСТАНОВЛЯЕТ: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1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Внести в государственную программу Камчатского края «Формирование современной городской среды в Камчатском крае», </w:t>
      </w:r>
      <w:r>
        <w:rPr>
          <w:rFonts w:ascii="Times New Roman" w:hAnsi="Times New Roman"/>
          <w:sz w:val="28"/>
          <w:lang w:val="ru-RU"/>
        </w:rPr>
        <w:t xml:space="preserve">утвержденную постановлением Правительства Камчатского края от 13.03.2024 № 103-П</w:t>
      </w:r>
      <w:r>
        <w:rPr>
          <w:rFonts w:ascii="Times New Roman" w:hAnsi="Times New Roman"/>
          <w:sz w:val="28"/>
          <w:lang w:val="ru-RU"/>
        </w:rPr>
        <w:t xml:space="preserve">, изменения согласно приложению к настоящему постановлению.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1"/>
        <w:numPr>
          <w:ilvl w:val="0"/>
          <w:numId w:val="1"/>
        </w:numPr>
        <w:ind w:left="0" w:firstLine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Настоящее постановление вступает в силу после дня его официального опубликования.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W w:w="9673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8"/>
        <w:gridCol w:w="3544"/>
        <w:gridCol w:w="2551"/>
      </w:tblGrid>
      <w:tr>
        <w:tblPrEx/>
        <w:trPr>
          <w:trHeight w:val="2220"/>
        </w:trPr>
        <w:tc>
          <w:tcPr>
            <w:shd w:val="clear" w:color="auto" w:fill="auto"/>
            <w:tcMar>
              <w:left w:w="0" w:type="dxa"/>
              <w:right w:w="0" w:type="dxa"/>
            </w:tcMar>
            <w:tcW w:w="3578" w:type="dxa"/>
            <w:textDirection w:val="lrTb"/>
            <w:noWrap w:val="false"/>
          </w:tcPr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Председатель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Правительства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1" w:name="_GoBack"/>
            <w:r/>
            <w:bookmarkEnd w:id="1"/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Камчатского края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0" w:right="27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3544" w:type="dxa"/>
            <w:textDirection w:val="lrTb"/>
            <w:noWrap w:val="false"/>
          </w:tcPr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3" w:hanging="3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  <w:p>
            <w:pPr>
              <w:ind w:left="-113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z w:val="24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  <w:tc>
          <w:tcPr>
            <w:shd w:val="clear" w:color="auto" w:fill="auto"/>
            <w:tcMar>
              <w:left w:w="0" w:type="dxa"/>
              <w:right w:w="0" w:type="dxa"/>
            </w:tcMar>
            <w:tcW w:w="2551" w:type="dxa"/>
            <w:textDirection w:val="lrTb"/>
            <w:noWrap w:val="false"/>
          </w:tcPr>
          <w:p>
            <w:pPr>
              <w:ind w:right="135"/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  <w:lang w:val="ru-RU"/>
              </w:rPr>
              <w:t xml:space="preserve">Ю.С. Морозова</w:t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 w:clear="all"/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938"/>
        <w:tblW w:w="0" w:type="auto"/>
        <w:tblLayout w:type="fixed"/>
        <w:tblLook w:val="04A0" w:firstRow="1" w:lastRow="0" w:firstColumn="1" w:lastColumn="0" w:noHBand="0" w:noVBand="1"/>
      </w:tblPr>
      <w:tblGrid>
        <w:gridCol w:w="480"/>
        <w:gridCol w:w="480"/>
        <w:gridCol w:w="480"/>
        <w:gridCol w:w="3661"/>
        <w:gridCol w:w="480"/>
        <w:gridCol w:w="1869"/>
        <w:gridCol w:w="486"/>
        <w:gridCol w:w="170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постановлению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ind w:left="8079" w:hanging="8079"/>
              <w:widowControl w:val="off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Правительства Камчатского края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6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69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EGDATESTAMP]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6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№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ind w:left="8079" w:hanging="8079"/>
              <w:jc w:val="right"/>
              <w:spacing w:after="60"/>
              <w:rPr>
                <w:rFonts w:ascii="Times New Roman" w:hAnsi="Times New Roman"/>
                <w:color w:val="ffffff" w:themeColor="background1"/>
                <w:sz w:val="28"/>
              </w:rPr>
            </w:pPr>
            <w:r>
              <w:rPr>
                <w:rFonts w:ascii="Times New Roman" w:hAnsi="Times New Roman"/>
                <w:color w:val="ffffff" w:themeColor="background1"/>
                <w:sz w:val="28"/>
              </w:rPr>
              <w:t xml:space="preserve">[R</w:t>
            </w:r>
            <w:r>
              <w:rPr>
                <w:rFonts w:ascii="Times New Roman" w:hAnsi="Times New Roman"/>
                <w:color w:val="ffffff" w:themeColor="background1"/>
                <w:sz w:val="16"/>
              </w:rPr>
              <w:t xml:space="preserve">EGNUMSTAMP]</w:t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  <w:r>
              <w:rPr>
                <w:rFonts w:ascii="Times New Roman" w:hAnsi="Times New Roman"/>
                <w:color w:val="ffffff" w:themeColor="background1"/>
                <w:sz w:val="28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Изменения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в государственную программу Камчатского края «Формирование современной городской среды в Камчатском крае», утвержденную постановлением Правительства Камчатского края от 13.03.2024 № 103-П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(далее – Программа)</w:t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highlight w:val="none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  <w:r>
        <w:rPr>
          <w:rFonts w:ascii="Times New Roman" w:hAnsi="Times New Roman"/>
          <w:color w:val="000000" w:themeColor="text1"/>
          <w:sz w:val="28"/>
          <w:szCs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  <w:lang w:val="ru-RU"/>
        </w:rPr>
        <w:t xml:space="preserve">1.</w:t>
      </w:r>
      <w:r>
        <w:rPr>
          <w:rFonts w:ascii="Times New Roman" w:hAnsi="Times New Roman"/>
          <w:sz w:val="28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lang w:val="ru-RU"/>
        </w:rPr>
        <w:t xml:space="preserve">Первое предложение абзаца второго части 11 изложить</w:t>
      </w:r>
      <w:r>
        <w:rPr>
          <w:rFonts w:ascii="Times New Roman" w:hAnsi="Times New Roman"/>
          <w:sz w:val="28"/>
          <w:highlight w:val="white"/>
          <w:lang w:val="ru-RU"/>
        </w:rPr>
        <w:t xml:space="preserve"> в следующей редакции:</w:t>
      </w:r>
      <w:r>
        <w:rPr>
          <w:rFonts w:ascii="Times New Roman" w:hAnsi="Times New Roman"/>
          <w:sz w:val="28"/>
          <w:highlight w:val="white"/>
          <w:lang w:val="ru-RU"/>
        </w:rPr>
        <w:t xml:space="preserve"> </w:t>
      </w:r>
      <w:r>
        <w:rPr>
          <w:rFonts w:ascii="Times New Roman" w:hAnsi="Times New Roman"/>
          <w:sz w:val="28"/>
          <w:highlight w:val="white"/>
          <w:lang w:val="ru-RU"/>
        </w:rPr>
        <w:t xml:space="preserve">«С 2017 по 2025 год в Камчатском крае благоустроено 660 территорий, из них 345 дворовых и 315 общественных пространств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 xml:space="preserve">.».</w:t>
      </w:r>
      <w:r>
        <w:rPr>
          <w:rFonts w:ascii="Times New Roman" w:hAnsi="Times New Roman"/>
          <w:sz w:val="28"/>
          <w:highlight w:val="white"/>
        </w:rPr>
      </w:r>
      <w:r>
        <w:rPr>
          <w:rFonts w:ascii="Times New Roman" w:hAnsi="Times New Roman"/>
          <w:sz w:val="28"/>
          <w:highlight w:val="white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  <w:lang w:val="ru-RU"/>
        </w:rPr>
        <w:t xml:space="preserve">2.</w:t>
      </w:r>
      <w:r>
        <w:rPr>
          <w:rFonts w:ascii="Times New Roman" w:hAnsi="Times New Roman"/>
          <w:sz w:val="28"/>
          <w:highlight w:val="white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 xml:space="preserve">Часть 16 дополнить словами «(Камчатский край)». </w:t>
      </w: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  <w:lang w:val="ru-RU"/>
        </w:rPr>
        <w:t xml:space="preserve">3.</w:t>
      </w:r>
      <w:r>
        <w:rPr>
          <w:rFonts w:ascii="Times New Roman" w:hAnsi="Times New Roman"/>
          <w:sz w:val="28"/>
          <w:highlight w:val="white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 xml:space="preserve">Часть 22 д</w:t>
      </w:r>
      <w:r>
        <w:rPr>
          <w:rFonts w:ascii="Times New Roman" w:hAnsi="Times New Roman"/>
          <w:color w:val="000000"/>
          <w:sz w:val="28"/>
          <w:highlight w:val="white"/>
          <w:lang w:val="ru-RU"/>
        </w:rPr>
        <w:t xml:space="preserve">ополнить словами «(Камчатский край)».</w:t>
      </w:r>
      <w:r>
        <w:rPr>
          <w:rFonts w:ascii="Times New Roman" w:hAnsi="Times New Roman"/>
          <w:color w:val="000000"/>
          <w:sz w:val="28"/>
          <w:highlight w:val="white"/>
        </w:rPr>
      </w:r>
      <w:r>
        <w:rPr>
          <w:rFonts w:ascii="Times New Roman" w:hAnsi="Times New Roman"/>
          <w:color w:val="000000"/>
          <w:sz w:val="28"/>
          <w:highlight w:val="white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4. Дополнить частью 39</w:t>
      </w:r>
      <w:r>
        <w:rPr>
          <w:rFonts w:ascii="Times New Roman" w:hAnsi="Times New Roman"/>
          <w:sz w:val="28"/>
          <w:lang w:val="ru-RU"/>
        </w:rPr>
        <w:t xml:space="preserve"> следующего содержания: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«</w:t>
      </w:r>
      <w:r>
        <w:rPr>
          <w:rFonts w:ascii="Times New Roman" w:hAnsi="Times New Roman"/>
          <w:sz w:val="28"/>
          <w:lang w:val="ru-RU"/>
        </w:rPr>
        <w:t xml:space="preserve">39. </w:t>
      </w:r>
      <w:r>
        <w:rPr>
          <w:rFonts w:ascii="Times New Roman" w:hAnsi="Times New Roman"/>
          <w:sz w:val="28"/>
          <w:lang w:val="ru-RU"/>
        </w:rPr>
        <w:t xml:space="preserve">В целях количественной оценки объема софинансирования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и обоснования учета внебюджетных источников, предоставляемых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на реализацию проектов-победителей Всероссийского конкурса лучших проектов создания комфортно</w:t>
      </w:r>
      <w:r>
        <w:rPr>
          <w:rFonts w:ascii="Times New Roman" w:hAnsi="Times New Roman"/>
          <w:sz w:val="28"/>
          <w:lang w:val="ru-RU"/>
        </w:rPr>
        <w:t xml:space="preserve">й городской среды в приложении 10</w:t>
      </w:r>
      <w:r>
        <w:rPr>
          <w:rFonts w:ascii="Times New Roman" w:hAnsi="Times New Roman"/>
          <w:sz w:val="28"/>
          <w:lang w:val="ru-RU"/>
        </w:rPr>
        <w:t xml:space="preserve"> к настоящей Программе приводится Порядок определения орг</w:t>
      </w:r>
      <w:r>
        <w:rPr>
          <w:rFonts w:ascii="Times New Roman" w:hAnsi="Times New Roman"/>
          <w:sz w:val="28"/>
          <w:lang w:val="ru-RU"/>
        </w:rPr>
        <w:t xml:space="preserve">ан</w:t>
      </w:r>
      <w:r>
        <w:rPr>
          <w:rFonts w:ascii="Times New Roman" w:hAnsi="Times New Roman"/>
          <w:sz w:val="28"/>
          <w:lang w:val="ru-RU"/>
        </w:rPr>
        <w:t xml:space="preserve">ами местного самоуправления муниципальных образований Камчатского края эквивалента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в денежной форме имущественного и (или) трудового участия юридических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и (или) физических лиц в реализации проектов-победителей Всероссийского конкурса лучших проектов созд</w:t>
      </w:r>
      <w:r>
        <w:rPr>
          <w:rFonts w:ascii="Times New Roman" w:hAnsi="Times New Roman"/>
          <w:sz w:val="28"/>
          <w:lang w:val="ru-RU"/>
        </w:rPr>
        <w:t xml:space="preserve">ания комфортной городской среды».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5. В прил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ожении 1: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1) 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части 1 слова «современной</w:t>
      </w:r>
      <w:r>
        <w:rPr>
          <w:rFonts w:ascii="Times New Roman" w:hAnsi="Times New Roman"/>
          <w:color w:val="00b050"/>
          <w:sz w:val="24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городской среды в Камчатском крае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»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заменить словами «комфортной городской среды (Камчатский край)»;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2) в части 5 слова «Министерства строительства и жилищной политики Камчатского края» заменить словами «Министерства архитектуры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и градостроительства Камчатского края»;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3)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пункте 4 части 6 слова «не более 1,3» заменить словами «не более 1,4»;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4) пункт 7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в части 6 признать утратившим силу;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5) в абзаце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первом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части 7 слова «органом местного самоуправления» заменить словом «главой»;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6)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абзаце шестом части 7 слова «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установленным правилами, предусмотренными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fldChar w:fldCharType="begin"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instrText xml:space="preserve">HYPERLINK "https://login.consultant.ru/link/?req=doc&amp;base=LAW&amp;n=495710&amp;date=13.04.2026&amp;dst=103626&amp;field=134кодексРоссийскойФедерацииот 31.07.1998 N 145-ФЗ (ред. от 28.12.2025, с изм. от 31.03.2026) {КонсультантПлюс}" \o "Бюджетный"</w:instrTex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fldChar w:fldCharType="separate"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абзацем первым пункта 3 статьи 132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fldChar w:fldCharType="end"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Бюджетного кодекса Российской Федерации» заменить словами «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у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становленным пунктом 10 Правил формирования, предоставления и распределения субсидий из федерально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г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 бюджета бюджетам субъектов Российской Федерации, утвержденным Постановлением Правительства Российской Федерации от 30.09.2014 № 999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«О формировании, предоставлении и распределении субсидий из федерального бюджета бюджетам субъектов Российской Федерации»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.»;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7) часть 9 дополнить пунктами 4–6 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ледующего содержания: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«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4) условия об авансовых платежах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в размерах, не превышающих размеры, установленные постановлением Правительства Камчатского края от 12.1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2.2022 №</w: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begin"/>
      </w:r>
      <w:r>
        <w:rPr>
          <w:rFonts w:ascii="Times New Roman" w:hAnsi="Times New Roman"/>
          <w:color w:val="000000" w:themeColor="text1"/>
          <w:sz w:val="28"/>
          <w:lang w:val="ru-RU"/>
        </w:rPr>
        <w:instrText xml:space="preserve">HYPERLINK "</w:instrText>
      </w:r>
      <w:r>
        <w:rPr>
          <w:rFonts w:ascii="Times New Roman" w:hAnsi="Times New Roman"/>
          <w:color w:val="000000" w:themeColor="text1"/>
          <w:sz w:val="28"/>
          <w:lang w:val="ru-RU"/>
        </w:rPr>
        <w:instrText xml:space="preserve">https://login.consultant.ru/link/?req=doc&amp;base=RLAW296&amp;n=218961&amp;date=27.04.2026ОбутвержденииПоложенияомерахпообеспечениюисполнениякраевогобюджета{КонсультантПлюс}" \o "Постановление Правительства Камчатского края от 12.12.2022 N 665-П (ред. от 19.09.2025)"</w:instrTex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separate"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665-П</w: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end"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«Об утверждении Положения о мерах по обеспечению исполнения краевого бюджета» для главных распорядителей (расп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орядителей)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и получателей средств краевого бюджета (если иное не предусмотрено постановлениями Правительства Камчатского края), но не более лимитов бюджетных обязательств на соответствующий финансовый год, доведенных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до 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лучателя средств местного бюджета;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5) 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словия об обязательствах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муниципального образования предусматривать в контрактах (договорах, соглашениях), заключаемых в целях исполнения соглашения о пре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доставлении субсидии, источником финансового обеспечения (софинансирования) которых являются средства субсидии, обязанность подрядчика (исполнителя) возвратить в установленный контрактом (договором, соглашением) срок излишне уплаченные за выполнение работы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(оказание услуги) денежные средства в случае выявления в ходе проверки, проведенной в течение 3 лет с момента подписания документа, удостоверившего приемку, уполномоченными контролирующими органами фактов завышения объемов и (или) стоимости работ (услуг);</w:t>
      </w: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color w:val="000000" w:themeColor="text1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6) условия об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обязательствах муниципального образования предусматривать на основании </w: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begin"/>
      </w:r>
      <w:r>
        <w:rPr>
          <w:rFonts w:ascii="Times New Roman" w:hAnsi="Times New Roman"/>
          <w:color w:val="000000" w:themeColor="text1"/>
          <w:sz w:val="28"/>
          <w:lang w:val="ru-RU"/>
        </w:rPr>
        <w:instrText xml:space="preserve">HYPERLINK "https://login.consult</w:instrText>
      </w:r>
      <w:r>
        <w:rPr>
          <w:rFonts w:ascii="Times New Roman" w:hAnsi="Times New Roman"/>
          <w:color w:val="000000" w:themeColor="text1"/>
          <w:sz w:val="28"/>
          <w:lang w:val="ru-RU"/>
        </w:rPr>
        <w:instrText xml:space="preserve">ant.ru/link/?req=doc&amp;base=LAW&amp;n=508490&amp;date=27.04.2026&amp;dst=10521&amp;field=134кодексРоссийскойФедерации(частьпервая)от 30.11.1994 N 51-ФЗ (ред. от 31.07.2025, с изм. от 25.03.2026) (с изм. и доп., вступ. в силу с 01.08.2025) {КонсультантПлюс}" \o "Гражданский"</w:instrTex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separate"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татьи 313</w:t>
      </w:r>
      <w:r>
        <w:rPr>
          <w:rFonts w:ascii="Times New Roman" w:hAnsi="Times New Roman"/>
          <w:color w:val="000000" w:themeColor="text1"/>
          <w:sz w:val="28"/>
          <w:lang w:val="ru-RU"/>
        </w:rPr>
        <w:fldChar w:fldCharType="end"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Гражданского кодекса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Российской Федерации в контрактах (договорах, соглашениях), источником финансового обеспечения (софинансирования) которых являются средства субсидии, что в случае неисполнения или ненадлежащего исполнения поставщиком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(подрядчиком, исполнителем) по указанному контракту (договору, соглашению) своих обязательств заказчик начисляет на основании требования об уплате неустойки задолженность поставщика (подрядчика, исполнителя), осуществляет перечисление средств поставщику (п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одрядчику, исполнителю), подлежащих выплате в связи с приемкой поставленного товара (результатов выполненной работы, оказанной услуги), за вычетом неустойки и вправе перечислить сумму неустойки (без использования средств субсидии) в доход местного бюджета.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»;</w:t>
      </w:r>
      <w:r>
        <w:rPr>
          <w:rFonts w:ascii="Times New Roman" w:hAnsi="Times New Roman"/>
          <w:color w:val="000000" w:themeColor="text1"/>
        </w:rPr>
      </w:r>
      <w:r>
        <w:rPr>
          <w:rFonts w:ascii="Times New Roman" w:hAnsi="Times New Roman"/>
          <w:color w:val="000000" w:themeColor="text1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8) в части 10 слова «в приложении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к настоящему Порядку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» заменить словами «приложении 1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к настоящему Порядку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9)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пункт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8 части 12 </w:t>
      </w:r>
      <w:r>
        <w:rPr>
          <w:rFonts w:ascii="Times New Roman" w:hAnsi="Times New Roman"/>
          <w:color w:val="000000" w:themeColor="text1"/>
          <w:sz w:val="28"/>
          <w:highlight w:val="white"/>
          <w:lang w:val="ru-RU"/>
        </w:rPr>
        <w:t xml:space="preserve">изложить в следующей редакции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«8)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проведение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органами местного самоуправления муниципальных образований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отбора общественных территорий в форме: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а)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сероссийского онлайн голосования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по отбору общественных территорий, подлежащих благоустройству в рамках реализации муниципальных программ в год, следующий за годом проведения такого голосования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органами местного самоуправ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ления муниципальных образований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 численностью населения свыше 20 тыс. человек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и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населенных п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унктов, приоритетное развитие которых способствует достижению национальных целей и обеспечению национальной безопасности, в том числе за счет обеспечения доступности образования, медицинской помощи, услуг в сфере культуры и реализации иных потребностей для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жителей прилегающей территории – опорных населенных пунктов, участвующих в реализации мероприятий регионального проекта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«Формирование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мфортной городской среды (Камчатский край)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в порядке, установленном постановлением Правительства К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амчатского края от 20.03.2019 №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132-П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«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Об утверждении Порядка организации и проведения голосования по отбору общественных территорий муниципальных образований в Камчатском крае, подлежащих благоустройству в год, следующий за годом проведения такого голосования, в рамках реализации государствен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ной программы Камчатского края «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Формирование современной го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родской среды в Камчатском крае»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утвержденной постановлением Правительства Камчатского края </w:t>
        <w:br/>
        <w:t xml:space="preserve">от 13.03.2024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№ 103-П»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с учетом завершения мероприятий по благоустройству общественных территорий, включенных в муницип</w:t>
      </w:r>
      <w:r>
        <w:rPr>
          <w:rFonts w:ascii="Times New Roman" w:hAnsi="Times New Roman"/>
          <w:sz w:val="28"/>
          <w:lang w:val="ru-RU"/>
        </w:rPr>
        <w:t xml:space="preserve">альные программы в 2019 году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по результатам голосования по отбору общественных территорий, проведенного в 2018 году;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с уче</w:t>
      </w:r>
      <w:r>
        <w:rPr>
          <w:rFonts w:ascii="Times New Roman" w:hAnsi="Times New Roman"/>
          <w:sz w:val="28"/>
          <w:lang w:val="ru-RU"/>
        </w:rPr>
        <w:t xml:space="preserve">т</w:t>
      </w:r>
      <w:r>
        <w:rPr>
          <w:rFonts w:ascii="Times New Roman" w:hAnsi="Times New Roman"/>
          <w:sz w:val="28"/>
          <w:lang w:val="ru-RU"/>
        </w:rPr>
        <w:t xml:space="preserve">ом завершения мероприятий по благоустройству общественных территорий, включенных в муниципальные программы, отобранных </w:t>
      </w:r>
      <w:r>
        <w:rPr>
          <w:rFonts w:ascii="Times New Roman" w:hAnsi="Times New Roman"/>
          <w:sz w:val="28"/>
          <w:lang w:val="ru-RU"/>
        </w:rPr>
        <w:br/>
      </w:r>
      <w:r>
        <w:rPr>
          <w:rFonts w:ascii="Times New Roman" w:hAnsi="Times New Roman"/>
          <w:sz w:val="28"/>
          <w:lang w:val="ru-RU"/>
        </w:rPr>
        <w:t xml:space="preserve">по результатам голосования по отбору общественных территорий, проведенного в году, предшествующем году реализации указанных мероприятий;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б) </w:t>
      </w:r>
      <w:r>
        <w:rPr>
          <w:rFonts w:ascii="Times New Roman" w:hAnsi="Times New Roman"/>
          <w:sz w:val="28"/>
          <w:lang w:val="ru-RU"/>
        </w:rPr>
        <w:t xml:space="preserve">проведения голосования по отбору общественных территорий, п</w:t>
      </w:r>
      <w:r>
        <w:rPr>
          <w:rFonts w:ascii="Times New Roman" w:hAnsi="Times New Roman"/>
          <w:sz w:val="28"/>
          <w:lang w:val="ru-RU"/>
        </w:rPr>
        <w:t xml:space="preserve">одлежащих благоустройству в рамках реализации муниципальных программ органами местного самоуправления муниципальных образований – иных участников регионального проекта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«Формирование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мфортной городской среды (Камчатский край)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»</w:t>
      </w:r>
      <w:r>
        <w:rPr>
          <w:rFonts w:ascii="Times New Roman" w:hAnsi="Times New Roman"/>
          <w:sz w:val="28"/>
          <w:lang w:val="ru-RU"/>
        </w:rPr>
        <w:t xml:space="preserve">, в электронной форме в информационно-телекомму</w:t>
      </w:r>
      <w:r>
        <w:rPr>
          <w:rFonts w:ascii="Times New Roman" w:hAnsi="Times New Roman"/>
          <w:sz w:val="28"/>
          <w:lang w:val="ru-RU"/>
        </w:rPr>
        <w:t xml:space="preserve">никационной сети «Интернет», в том числе с использованием платформы по голосованию </w:t>
      </w:r>
      <w:r>
        <w:rPr>
          <w:rFonts w:ascii="Times New Roman" w:hAnsi="Times New Roman"/>
          <w:sz w:val="28"/>
          <w:lang w:val="ru-RU"/>
        </w:rPr>
        <w:t xml:space="preserve">за объекты благоуст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ройства, и размещение информации о перечне общественных территорий, подлежащих включению в муниципальные программы по итогам голосования по отбору обществ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нных территорий,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в информационно-телекоммуникационной сети «Интернет», в том числе на платформе по голосованию за объекты благоустройства, не позднее 20 календарных дней со дня окончания голосования по отбору общественных территорий в соответствующем году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10) пункт 15 части 12 дополнить словами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«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(Камчатский край)»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11)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часть 12 дополнить пунктом 16 с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ледующего содержания: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«16)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соблюдения размера уровня софинансирования расходного обязательства муниципального образования за счет средств местного бюджета, установленного в соглашении о предоставлении субсидии.»;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12) часть 13 после слов «краевого бюджета» дополнить словами «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(без учета средств федерального бюджета)»;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13) абзац четвертый части 14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дополнить словами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«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(Камчатский край)»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14)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дополнить частью 15</w:t>
      </w:r>
      <w:r>
        <w:rPr>
          <w:rFonts w:ascii="Times New Roman" w:hAnsi="Times New Roman"/>
          <w:color w:val="000000" w:themeColor="text1"/>
          <w:sz w:val="28"/>
          <w:vertAlign w:val="superscript"/>
          <w:lang w:val="ru-RU"/>
        </w:rPr>
        <w:t xml:space="preserve">1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следующего содержания: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«15</w:t>
      </w:r>
      <w:r>
        <w:rPr>
          <w:rFonts w:ascii="Times New Roman" w:hAnsi="Times New Roman"/>
          <w:color w:val="000000" w:themeColor="text1"/>
          <w:sz w:val="28"/>
          <w:vertAlign w:val="superscript"/>
          <w:lang w:val="ru-RU"/>
        </w:rPr>
        <w:t xml:space="preserve">1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.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В случае образования у органов местного самоуправления муниципальных образований остатков средств субсидии, в том числе средств экономии, сложившейся по результатам проведения конкурсных процедур, направленных на реализацию мероп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иятий по благоустройству общественных и дворовых территорий перерасп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ре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деление субсидии осуществляется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в соответствии с Порядком направления экономии, образовавшейся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по результатам заключения муниципальных контрактов на выполнение мероприятий регионального проекта «Формирование комфортной городской среды (Камчатский край)»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приведенном в Приложении 2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к настоящему Порядку.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15)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в угловом реквизите прилож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е</w:t>
      </w:r>
      <w:r>
        <w:rPr>
          <w:rFonts w:ascii="Times New Roman" w:hAnsi="Times New Roman"/>
          <w:color w:val="000000"/>
          <w:sz w:val="28"/>
          <w:lang w:val="ru-RU"/>
        </w:rPr>
        <w:t xml:space="preserve">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к </w:t>
      </w:r>
      <w:r>
        <w:rPr>
          <w:rFonts w:ascii="Times New Roman" w:hAnsi="Times New Roman"/>
          <w:color w:val="000000"/>
          <w:sz w:val="28"/>
          <w:lang w:val="ru-RU"/>
        </w:rPr>
        <w:t xml:space="preserve">По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рядку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предоставления </w:t>
      </w:r>
      <w:r>
        <w:rPr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и распределения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из краевого бюджета субсидий местным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бюджетам в целях софинансирования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реализации программ формирования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современной городской среды </w:t>
      </w:r>
      <w:r>
        <w:rPr>
          <w:rFonts w:ascii="Times New Roman" w:hAnsi="Times New Roman"/>
          <w:color w:val="000000" w:themeColor="text1"/>
          <w:sz w:val="28"/>
          <w:highlight w:val="white"/>
          <w:lang w:val="ru-RU"/>
        </w:rPr>
        <w:t xml:space="preserve">на </w:t>
      </w:r>
      <w:r>
        <w:rPr>
          <w:rFonts w:ascii="Times New Roman" w:hAnsi="Times New Roman"/>
          <w:color w:val="000000" w:themeColor="text1"/>
          <w:sz w:val="28"/>
          <w:highlight w:val="white"/>
          <w:lang w:val="ru-RU"/>
        </w:rPr>
        <w:t xml:space="preserve">б</w:t>
      </w:r>
      <w:r>
        <w:rPr>
          <w:rFonts w:ascii="Times New Roman" w:hAnsi="Times New Roman"/>
          <w:color w:val="000000" w:themeColor="text1"/>
          <w:sz w:val="28"/>
          <w:highlight w:val="white"/>
          <w:lang w:val="ru-RU"/>
        </w:rPr>
        <w:t xml:space="preserve">лаг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оустройство дворовых и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общественных территорий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слова «Приложение к Порядку» заменить словами «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Приложение 1 к Порядку»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16) в</w:t>
      </w:r>
      <w:r>
        <w:rPr>
          <w:rFonts w:ascii="Times New Roman" w:hAnsi="Times New Roman"/>
          <w:color w:val="000000"/>
          <w:sz w:val="28"/>
          <w:lang w:val="ru-RU"/>
        </w:rPr>
        <w:t xml:space="preserve"> таблице приложения</w:t>
      </w:r>
      <w:r>
        <w:rPr>
          <w:rFonts w:ascii="Times New Roman" w:hAnsi="Times New Roman"/>
          <w:color w:val="000000" w:themeColor="text1"/>
          <w:sz w:val="28"/>
          <w:lang w:val="ru-RU"/>
        </w:rPr>
        <w:t xml:space="preserve"> 1 к Порядку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предоставления и распределения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из краевого бюджета субсидий местным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бюджетам в целях софинансирования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реализации программ формирования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современной городской среды на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благоустройство дворовых 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общественных территорий: </w:t>
      </w:r>
      <w:r/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  <w:szCs w:val="28"/>
          <w:highlight w:val="none"/>
          <w:lang w:val="ru-RU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а) </w:t>
      </w:r>
      <w:r>
        <w:rPr>
          <w:rFonts w:ascii="Times New Roman" w:hAnsi="Times New Roman"/>
          <w:color w:val="000000"/>
          <w:sz w:val="28"/>
          <w:lang w:val="ru-RU"/>
        </w:rPr>
        <w:t xml:space="preserve">в графе 3 строки 3.9. слова «</w:t>
      </w:r>
      <w:r>
        <w:rPr>
          <w:rFonts w:ascii="Times New Roman" w:hAnsi="Times New Roman"/>
          <w:strike w:val="0"/>
          <w:color w:val="000000"/>
          <w:sz w:val="28"/>
          <w:lang w:val="ru-RU"/>
        </w:rPr>
        <w:t xml:space="preserve">ул. Пограничная, 31» заменить словами </w:t>
        <w:br/>
        <w:t xml:space="preserve">«</w:t>
      </w:r>
      <w:r>
        <w:rPr>
          <w:rFonts w:ascii="Times New Roman" w:hAnsi="Times New Roman"/>
          <w:sz w:val="28"/>
          <w:lang w:val="ru-RU"/>
        </w:rPr>
        <w:t xml:space="preserve">ул. Нагорная, 30»</w:t>
      </w:r>
      <w:r>
        <w:rPr>
          <w:rFonts w:ascii="Times New Roman" w:hAnsi="Times New Roman"/>
          <w:sz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  <w:highlight w:val="none"/>
          <w:lang w:val="ru-RU"/>
        </w:rPr>
      </w:r>
    </w:p>
    <w:p>
      <w:pPr>
        <w:pStyle w:val="941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б)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графе 4 строку 3.13. изложить в следующей редакции «</w:t>
      </w:r>
      <w:r>
        <w:rPr>
          <w:rFonts w:ascii="Times New Roman" w:hAnsi="Times New Roman"/>
          <w:strike w:val="0"/>
          <w:color w:val="000000"/>
          <w:sz w:val="28"/>
          <w:szCs w:val="28"/>
          <w:lang w:val="ru-RU"/>
        </w:rPr>
        <w:t xml:space="preserve">обустройство территории с установкой качелей по ул. Советская, д. 24-26</w:t>
      </w:r>
      <w:r>
        <w:rPr>
          <w:rFonts w:ascii="Times New Roman" w:hAnsi="Times New Roman"/>
          <w:sz w:val="28"/>
          <w:szCs w:val="28"/>
          <w:lang w:val="ru-RU"/>
        </w:rPr>
        <w:t xml:space="preserve">»;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lang w:val="ru-RU"/>
        </w:rPr>
      </w:pPr>
      <w:r>
        <w:rPr>
          <w:rFonts w:ascii="Times New Roman" w:hAnsi="Times New Roman"/>
          <w:sz w:val="28"/>
          <w:highlight w:val="none"/>
          <w:lang w:val="ru-RU"/>
        </w:rPr>
        <w:t xml:space="preserve">в)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графе 4 строку 3.14. изложить в следующей редакции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«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с. Николаевка,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обустройство территории с установкой качелей ул. Советская, д. 28-30»; </w:t>
      </w:r>
      <w:r>
        <w:rPr>
          <w:rFonts w:ascii="Times New Roman" w:hAnsi="Times New Roman"/>
          <w:sz w:val="28"/>
          <w:highlight w:val="none"/>
          <w:lang w:val="ru-RU"/>
        </w:rPr>
      </w:r>
      <w:r>
        <w:rPr>
          <w:lang w:val="ru-RU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г) в графе 4 строки 3.26. слова «</w:t>
      </w:r>
      <w:r>
        <w:rPr>
          <w:rFonts w:ascii="Times New Roman" w:hAnsi="Times New Roman"/>
          <w:sz w:val="28"/>
          <w:lang w:val="ru-RU"/>
        </w:rPr>
        <w:t xml:space="preserve">обустройство лестничного перехода от </w:t>
        <w:br/>
        <w:t xml:space="preserve">ул. Лазо до ул. Томская» заменить словами «</w:t>
      </w:r>
      <w:r>
        <w:rPr>
          <w:rStyle w:val="886"/>
          <w:rFonts w:ascii="Times New Roman" w:hAnsi="Times New Roman"/>
          <w:sz w:val="28"/>
          <w:lang w:val="ru-RU"/>
        </w:rPr>
        <w:t xml:space="preserve">устройство пешеходной зоны </w:t>
        <w:br/>
        <w:t xml:space="preserve">от лестничного перехода ул. Лазо</w:t>
      </w:r>
      <w:r>
        <w:rPr>
          <w:rFonts w:ascii="Times New Roman" w:hAnsi="Times New Roman"/>
          <w:sz w:val="28"/>
          <w:lang w:val="ru-RU"/>
        </w:rPr>
        <w:t xml:space="preserve">–</w:t>
      </w:r>
      <w:r>
        <w:rPr>
          <w:rStyle w:val="886"/>
          <w:rFonts w:ascii="Times New Roman" w:hAnsi="Times New Roman"/>
          <w:sz w:val="28"/>
          <w:lang w:val="ru-RU"/>
        </w:rPr>
        <w:t xml:space="preserve">ул. Томская до здания магазина по </w:t>
        <w:br/>
        <w:t xml:space="preserve">ул. Томская, 14»;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д) в графе 4 строки 3.27. слова </w:t>
      </w:r>
      <w:r>
        <w:rPr>
          <w:rFonts w:ascii="Times New Roman" w:hAnsi="Times New Roman"/>
          <w:sz w:val="28"/>
          <w:lang w:val="ru-RU"/>
        </w:rPr>
        <w:t xml:space="preserve">«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Style w:val="886"/>
          <w:rFonts w:ascii="Times New Roman" w:hAnsi="Times New Roman"/>
          <w:sz w:val="28"/>
          <w:lang w:val="ru-RU"/>
        </w:rPr>
        <w:t xml:space="preserve">бустройство входной группы на территории "Сосновый бор"» заменить словами «</w:t>
      </w:r>
      <w:r>
        <w:rPr>
          <w:rStyle w:val="886"/>
          <w:rFonts w:ascii="Times New Roman" w:hAnsi="Times New Roman"/>
          <w:sz w:val="28"/>
          <w:lang w:val="ru-RU"/>
        </w:rPr>
        <w:t xml:space="preserve">обустройство входной зоны парка «Сосновый бор»</w:t>
      </w:r>
      <w:r>
        <w:rPr>
          <w:rStyle w:val="886"/>
          <w:rFonts w:ascii="Times New Roman" w:hAnsi="Times New Roman"/>
          <w:sz w:val="28"/>
          <w:lang w:val="ru-RU"/>
        </w:rPr>
        <w:t xml:space="preserve">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Style w:val="886"/>
          <w:rFonts w:ascii="Times New Roman" w:hAnsi="Times New Roman"/>
          <w:sz w:val="28"/>
          <w:lang w:val="ru-RU"/>
        </w:rPr>
        <w:t xml:space="preserve">е) в графе 4 строки 3.28. слова </w:t>
      </w:r>
      <w:r>
        <w:rPr>
          <w:rStyle w:val="886"/>
          <w:rFonts w:ascii="Times New Roman" w:hAnsi="Times New Roman"/>
          <w:sz w:val="28"/>
          <w:lang w:val="ru-RU"/>
        </w:rPr>
        <w:t xml:space="preserve">«</w:t>
      </w:r>
      <w:r>
        <w:rPr>
          <w:rStyle w:val="886"/>
          <w:rFonts w:ascii="Times New Roman" w:hAnsi="Times New Roman"/>
          <w:sz w:val="28"/>
          <w:lang w:val="ru-RU"/>
        </w:rPr>
        <w:t xml:space="preserve">ремонт подпорной стенки на территории административного здания по ул. Победы, 8» заменить на «</w:t>
      </w:r>
      <w:r>
        <w:rPr>
          <w:rStyle w:val="886"/>
          <w:rFonts w:ascii="Times New Roman" w:hAnsi="Times New Roman"/>
          <w:sz w:val="28"/>
          <w:lang w:val="ru-RU"/>
        </w:rPr>
        <w:t xml:space="preserve">ремонт подпорной стены на территории административного здания № 8 по ул. Победы»;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17) </w:t>
      </w:r>
      <w:r>
        <w:rPr>
          <w:rFonts w:ascii="Times New Roman" w:hAnsi="Times New Roman"/>
          <w:color w:val="000000" w:themeColor="text1"/>
          <w:sz w:val="28"/>
          <w:highlight w:val="white"/>
          <w:lang w:val="ru-RU"/>
        </w:rPr>
        <w:t xml:space="preserve">дополнить приложением 2 в следующего содержания: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941"/>
        <w:jc w:val="right"/>
        <w:spacing w:line="240" w:lineRule="auto"/>
        <w:rPr>
          <w:sz w:val="28"/>
        </w:rPr>
        <w:outlineLvl w:val="2"/>
      </w:pPr>
      <w:r>
        <w:rPr>
          <w:sz w:val="28"/>
          <w:highlight w:val="white"/>
          <w:lang w:val="ru-RU"/>
        </w:rPr>
        <w:t xml:space="preserve">«</w:t>
      </w:r>
      <w:r>
        <w:rPr>
          <w:sz w:val="28"/>
          <w:lang w:val="ru-RU"/>
        </w:rPr>
        <w:t xml:space="preserve">Приложение</w:t>
      </w:r>
      <w:r>
        <w:rPr>
          <w:sz w:val="28"/>
          <w:lang w:val="ru-RU"/>
        </w:rPr>
        <w:t xml:space="preserve"> 2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к Порядку предоставления и распределения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из краевого бюджета субсидий местным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бюджетам в целях софинансирования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реализации программ формирования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современной городской среды на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благоустройство дворовых и</w:t>
      </w:r>
      <w:r>
        <w:rPr>
          <w:sz w:val="28"/>
        </w:rPr>
      </w:r>
      <w:r>
        <w:rPr>
          <w:sz w:val="28"/>
        </w:rPr>
      </w:r>
    </w:p>
    <w:p>
      <w:pPr>
        <w:pStyle w:val="941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общественных территорий</w:t>
      </w:r>
      <w:r>
        <w:rPr>
          <w:sz w:val="28"/>
        </w:rPr>
      </w:r>
      <w:r>
        <w:rPr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  <w:highlight w:val="cyan"/>
        </w:rPr>
        <w:outlineLvl w:val="1"/>
      </w:pPr>
      <w:r>
        <w:rPr>
          <w:sz w:val="28"/>
          <w:highlight w:val="cyan"/>
        </w:rPr>
      </w:r>
      <w:r>
        <w:rPr>
          <w:sz w:val="28"/>
          <w:highlight w:val="cyan"/>
        </w:rPr>
      </w:r>
      <w:r>
        <w:rPr>
          <w:sz w:val="28"/>
          <w:highlight w:val="cyan"/>
        </w:rPr>
      </w:r>
    </w:p>
    <w:p>
      <w:pPr>
        <w:ind w:left="0" w:right="0" w:firstLine="0"/>
        <w:jc w:val="center"/>
        <w:spacing w:after="0" w:line="240" w:lineRule="auto"/>
        <w:tabs>
          <w:tab w:val="left" w:pos="142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Порядок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right="0" w:firstLine="0"/>
        <w:jc w:val="center"/>
        <w:spacing w:after="0" w:line="240" w:lineRule="auto"/>
        <w:tabs>
          <w:tab w:val="left" w:pos="142" w:leader="none"/>
        </w:tabs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направления экономии, образовавшейся по результатам заключения муниципальных контрактов на выполнение мероприятий регионального проекта «Формирование комфортной городской среды (Камчатский край)»</w:t>
      </w:r>
      <w:r/>
    </w:p>
    <w:p>
      <w:pPr>
        <w:jc w:val="center"/>
        <w:spacing w:after="0" w:line="240" w:lineRule="auto"/>
        <w:tabs>
          <w:tab w:val="left" w:pos="142" w:leader="none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  <w:lang w:val="ru-RU"/>
        </w:rPr>
        <w:t xml:space="preserve">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Настоящий Порядок разработан в соответствии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со статьей 7 Федерального закона от 28.11.2018 № 457-ФЗ «О внесении изменений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Бюджетный кодекс Российской Федерации и отдельные законодательные акты Российской Федерации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постановлением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Правительства Росси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йской Федерации от 06.11.2024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1491 «Об утверждении общих требований к порядку направления экономии, образовавшейся по резуль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татам заключения муниципальных контрактов на закупку товаров, работ, услуг для обеспечения муниципальных нужд, источником обеспечения которой являются межбюджетные трансферты из бюджета субъекта Российской Федерации бюджету муниципального образования, на 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еа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лизацию мероприятий (результатов) муниципальных программ, обеспечивающих реализацию региональных проектов, направленных на достижение целей, показателей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реализацию мероприятий (результатов) федеральных проектов, входящих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состав национальных проектов»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(далее – Правила перераспределения № 1491) в целях определения требований направления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средств экономии, образовавшейся по результатам заключения муниципальных контрактов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на выполнение мероприятий регионального проекта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«Формирование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ко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мфортной городской среды (Камчатский край)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предоставляемой за счет средств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краевого бюджета, в том числе за счет средств федерального бюджета, поступившего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краевой бюджет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в целях софинансирования реализации муниципальных программ формирования современной городской среды на благоустройство дворовых и об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щественных территорий (далее – Экономия,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муниципальные программы), направленных на достижен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ие целей регионального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проекта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«Формирование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ко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мфортной городской среды (Камчатский край)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государственной программы Камчатского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Формирование современной городской среды в Камчатс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ком крае»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(далее – Программа)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2. Понятия, используемые для целей настоящего Порядка, применяются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соответствии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Правилами перераспределения № 1491.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3.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При наличии экономии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орган местного самоуправления муниципального образования в Камчатском крае предоставляет в Министерство архитектуры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градостроительства Камчатского края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(далее – Министерство)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предложение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 заключении дополнительного соглашения к ранее заключенным соглашениям о предоставлении субсидии, в целях использования средств экономии не реже одного раза в квартал.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4.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В случае направления экономии на финансовое обеспечение реализации мероприятия (результата) муниципальной программы, в рамках реализации которого образовалась экономия,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предложение должно содержать обязательное условие об увеличении предусмотренных соглашением значений результатов предоставления межбюджетного трансферта исходя из размера экономии.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5.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лучае направления экономии на финансовое обеспечение реализации мероприятия (результата) муниципальной программы, в рамках реализации которого не образовалась экономия (далее – иное мероприятие), предложение должно содержать следующие обязательные условия: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1) об увеличении предусмотренных соглашением значений результатов предоставления межбюджетного трансферта исходя из размера экономии;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об уменьшении объема бюд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ж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етных ассигнований на финансовое обеспечение софинансируемого из бюджета субъекта Российской Федерации расходного обязательства муниципального образования, возникающего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из муниципального контракта, по результатам заключения которого образовалась экономия;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3) об увеличении объема бюджетных ассигнований на финансовое обеспечение рас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ходного обязательства муниципального образования, принятого в целях реализации иного мероприятия, а также о соответствующих изменениях размеров межбюджетных трансфертов в размере экономии пропорционально уровню софинансирования, установленному соглашением.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6. Экономия может направляться на финансовое обеспечение реализации (результатов) мероприятий муниципальных программ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без увеличения значений результатов предоставления межбюдже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тного трансферта, предусмотренных соглашением, в случае, если размер экономии не превышает 5 процентов размера межбюджетного трансферта, являющегося источником софинансирования муниципального контракта, по результатам заключения которого возникла экономия,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 w:themeColor="text1"/>
          <w:spacing w:val="0"/>
          <w:sz w:val="28"/>
          <w:szCs w:val="28"/>
          <w:highlight w:val="white"/>
          <w:lang w:val="ru-RU"/>
        </w:rPr>
        <w:t xml:space="preserve">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при условии представления администрацией муниципального образования Министерству: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) информации о размере экономии и предложений с обоснованиями использования экономии – в целях использования экономии на финансовое обеспечение реализации мероприятий (результатов) муниципальной программы, в рамках реализации которых образовалась экономия;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в установленные соглашением сроки предложений, предусматривающих условия, указанные в пунктах 2 и 3 части 6 настоящего Порядка в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 w:themeColor="text1"/>
          <w:spacing w:val="0"/>
          <w:sz w:val="28"/>
          <w:szCs w:val="28"/>
          <w:highlight w:val="white"/>
          <w:lang w:val="ru-RU"/>
        </w:rPr>
        <w:t xml:space="preserve">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целях использования экономии на финансовое обеспечение реализации иных мероприятий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7. Дополнительные соглашения к соглашениям заключаются не позднее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15-го рабочего дня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со дня получения от администрации муниципального образования предложений.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8.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ри наличии предложения администрации муниципального образования Министерство не реже 1 раза в квартал осуществляет подготовку документов: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1) для внесения изменений в сводную бюджетную роспись бюджета Камчатского края и лимитов бюджетных обязательств по основаниям, устан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ленным бюджетным законодательством Российской Федерации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(в случае использования экономии на финансовое обеспечение реализации мероприятия, отличного от мероприятия (результата) муниципальной программы, в рамках реализации которого образовалась экономия);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изменений, обусловленных сложившейся экономией, в государственную программу Камчатского края и (или) ее структурный элемент в порядке,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установленном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 w:themeColor="text1"/>
          <w:spacing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 w:themeColor="text1"/>
          <w:spacing w:val="0"/>
          <w:sz w:val="28"/>
          <w:szCs w:val="28"/>
          <w:highlight w:val="white"/>
          <w:lang w:val="ru-RU"/>
        </w:rPr>
        <w:t xml:space="preserve">п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остановлении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Правительства Камчатского края от 16.11.2023 № 568-П</w:t>
      </w:r>
      <w:r>
        <w:rPr>
          <w:rFonts w:ascii="Times New Roman" w:hAnsi="Times New Roman" w:eastAsia="Times New Roman" w:cs="Times New Roman"/>
          <w:b w:val="0"/>
          <w:i w:val="0"/>
          <w:caps w:val="0"/>
          <w:color w:val="000000" w:themeColor="text1"/>
          <w:spacing w:val="0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9. Администрация муниципального образ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ования не реже 1 раза в квартал (при наличии предложений) обеспечивает формирование изменений, обусловленных сложившейся экономией в муниципальную программу и (или) ее структурный элемент, в порядке, установленном администрацией муниципального образования.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10. Экономия не учитывается при определении размера субсидий (иных межбюджетных трансфертов) в соответствии с методиками распределения субсидий (иных межбюджетных трансфертов) между муниципальными образованиями.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6. В приложении 2: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1) в части 6 слова «Субсидия» заменить словами «Иные межбюджетные трансферты»,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 «Министерства строительства и жилищной полити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ки Камчатского края» заменить словами «Министерства архитектуры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градостр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оительства Камчатского края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в части 7 слова «муниципальным образованием» заменить словами «главой муниципального образования, признанного», дополнить словами «в</w:t>
      </w:r>
      <w:r>
        <w:rPr>
          <w:rFonts w:ascii="Times New Roman" w:hAnsi="Times New Roman" w:eastAsia="Times New Roman" w:cs="Times New Roman"/>
          <w:color w:val="00b050"/>
          <w:sz w:val="28"/>
          <w:szCs w:val="28"/>
          <w:lang w:val="ru-RU"/>
        </w:rPr>
        <w:t xml:space="preserve">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форме электронного документа посредством государственной интегрированной информационной системы управления общественными финансами «Электронный бюджет», слова «Камчатского края» заменить словами «Российской Федерации».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7. В приложении 3: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1) часть 4 дополнить словами «(Камчатский край);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части 5 слова «Министерства строительства и жилищной политики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Камчатского края» заменить словами «Министерства архитектуры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градо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строительства Камчатского края»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3) в части 6 слова «Министерства строительства и жилищной политики Камчатского края (далее -  Министерство)» заменить словом «Министерства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4) в абзаце первом части 7 слова «органом местного самоуправления» заменить 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ловом «главой»;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5) в абзаце шестом части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7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установленным правилами, предусмотренными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"https://login.consultant.ru/link/?req=doc&amp;base=LAW&amp;n=495710&amp;date=13.04.2026&amp;dst=103626&amp;field=134кодексРоссийскойФедерацииот 31.07.1998 N 145-ФЗ (ред. от 28.12.2025, с изм. от 31.03.2026) {КонсультантПлюс}" \o "Бюджетный"</w:instrTex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абзацем первым пункта 3 статьи 132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Бюджетного кодекса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Российской Федерации» заменить словами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становленным пунктом 10 Правил формирования, предоставления и распределения субсидий из федерально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г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 бюджета бюджетам субъектов Российской Федерации, утвержденным постановлением Правительства Российской Федерации от 30.09.2014 № 999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«О формировании, предоставлении и распределении субсидий из федерального бюджета бюджетам субъектов Российской Федерации»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.»;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6)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часть 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дополнить пунктами 10–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10)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 01 января 2026 года обязательство муниципального образования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по финансовому обеспечению реализации проекта победителя конкурса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объеме, необходимом для реализации такого проекта, в том числе за счет внебюджетных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источников в размере, указанном во включенном в конкурсную заявку технико-экономическом и финансовом обосновании проекта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соот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ветствии с положениями конкурса;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11)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предоставление в адрес Министерства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отчетности о выполнении графи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а реализации проекта, включающей отчетность об осуществлении расходов средств, привлеченных за счет внебюджетных источников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на реализацию проекта, по форме, установленной Министерством строительства и жилищно-коммунального хозяйства Российской Федерации.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отчетность об осуществлении расходов средств, привлеченных за счет внебюджетных источников на реализацию проекта, включа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ся информация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 расходовании привлеченных средств за счет внебюджетных источников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денежной форме с указанием эквивалента в денежной форме имущественного и (или) трудового участия юридических и (или) физических лиц в реализации проекта, определяемого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Приложением 10 к настоящей Программе.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12) условия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об обязательствах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муниципального образования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предусмотрении в муниципальных контрактах авансовых платежах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размерах, не превышающих размеры, установленные постановлением Правительства Камчатского края от 12.1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2.2022 №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</w:instrTex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https://login.consultant.ru/link/?req=doc&amp;base=RLAW296&amp;n=218961&amp;date=27.04.2026ОбутвержденииПоложенияомерахпообеспечениюисполнениякраевогобюджета{КонсультантПлюс}" \o "Постановление Правительства Камчатского края от 12.12.2022 N 665-П (ред. от 19.09.2025)"</w:instrTex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665-П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«Об утверждении Положения о мерах по обеспечению исполнения краевого бюджета» для главных распорядителей (расп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орядителей) и получателей средств краевого бюджета (если иное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не предусмотрено постановлениями Правительства Камчатского края),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но не более лимитов бюджетных обязательств на соответствующий финансовый год, доведенных до по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лучателя средств местного бюджета;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13) 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словия об обязательствах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муниципального образования предусматривать в контрактах (договорах, соглашениях), заключаемых в целях исполнения соглашения о пре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доставлении субсидии, источником финансового обеспечения (софинансирования) которых являются средства субсидии, обязанность подрядчика (исполнителя) возвратить в установленный контрактом (договором, соглашением) срок излишне уплаченные за выполнение работы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(оказание услуги) денежные средства в случае выявления в ходе проверки, проведенной в течение 3 лет с момента подписания документа, удостоверившего приемку, уполномоченными контролирующими органами фактов завышения объемов и (или) стоимости работ (услуг);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14) условия 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обязательствах муниципального образования предусматривать на основании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"https://login.consult</w:instrTex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ant.ru/link/?req=doc&amp;base=LAW&amp;n=508490&amp;date=27.04.2026&amp;dst=10521&amp;field=134кодексРоссийскойФедерации(частьпервая)от 30.11.1994 N 51-ФЗ (ред. от 31.07.2025, с изм. от 25.03.2026) (с изм. и доп., вступ. в силу с 01.08.2025) {КонсультантПлюс}" \o "Гражданский"</w:instrTex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татьи 313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Гражданского кодекса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Российской Федерации в контрактах (договорах, соглашениях), источником финансового обеспечения (софинансирования) которых являются средства субсидии, что в случае неисполнения или ненадлежащего исполнения поставщиком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(подрядчиком, исполнителем) по указанному контракту (договору, соглашению) своих обязательств заказчик начисляет на основании требования об уплате неустойки задолженность поставщика (подрядчика, исполнителя), осуществляет перечисление средств поставщику (п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одрядчику, исполнителю), подлежащих выплате в связи с приемкой поставленного товара (результатов выполненной работы, оказанной услуги), за вычетом неустойки и вправе перечислить сумму неустойки (без использования средств субсидии) в доход местного бюджета;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15) условия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об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обязательствах муниципального образования при расходовании средств субсидии соблюдать размер уровня софинансирования расходного обязательства муниципального образования за счет средств местного бюджета.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7) часть 10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после слов «краевого бюджета» дополнить словами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(без учета средств федерального бюджета)», абзац два и три исключить.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8. В приложении 4: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1) в части 1 слова «С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оздание условий для решения вопросов местного з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начения в сфере благоустройства территорий» заменить словами «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Б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л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агоустройство общественных и дворовых территорий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cs="Times New Roman"/>
          <w:color w:val="000000"/>
          <w:sz w:val="28"/>
        </w:rPr>
      </w:r>
      <w:r>
        <w:rPr>
          <w:rFonts w:ascii="Times New Roman" w:hAnsi="Times New Roman" w:cs="Times New Roman"/>
          <w:color w:val="000000"/>
          <w:sz w:val="28"/>
        </w:rPr>
      </w:r>
    </w:p>
    <w:p>
      <w:pPr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2) в части 2 слова «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благоустройство дворовых территорий, а также на реализ</w:t>
      </w: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ацию мероприятий Плана по благоустройству общественных пространств» заменить словами «:</w:t>
      </w:r>
      <w:r>
        <w:rPr>
          <w:rFonts w:ascii="Times New Roman" w:hAnsi="Times New Roman" w:cs="Times New Roman"/>
          <w:color w:val="000000"/>
          <w:sz w:val="24"/>
        </w:rPr>
      </w:r>
      <w:r>
        <w:rPr>
          <w:rFonts w:ascii="Times New Roman" w:hAnsi="Times New Roman" w:cs="Times New Roman"/>
          <w:color w:val="000000"/>
          <w:sz w:val="24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b050"/>
          <w:sz w:val="24"/>
        </w:rPr>
      </w:pPr>
      <w:r>
        <w:rPr>
          <w:rStyle w:val="742"/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1) благоустройство дворовых территорий, а также на реализацию мероприяти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й Плана по благоустройству общественных пространств;</w:t>
      </w:r>
      <w:r>
        <w:rPr>
          <w:rFonts w:ascii="Times New Roman" w:hAnsi="Times New Roman" w:cs="Times New Roman"/>
          <w:color w:val="00b050"/>
          <w:sz w:val="24"/>
        </w:rPr>
      </w:r>
      <w:r>
        <w:rPr>
          <w:rFonts w:ascii="Times New Roman" w:hAnsi="Times New Roman" w:cs="Times New Roman"/>
          <w:color w:val="00b050"/>
          <w:sz w:val="24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b050"/>
          <w:sz w:val="24"/>
        </w:rPr>
      </w:pP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благоустройство территорий, прилегающих к объектам культуры.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;</w:t>
      </w:r>
      <w:r>
        <w:rPr>
          <w:rFonts w:ascii="Times New Roman" w:hAnsi="Times New Roman" w:cs="Times New Roman"/>
          <w:color w:val="00b050"/>
          <w:sz w:val="24"/>
        </w:rPr>
      </w:r>
      <w:r>
        <w:rPr>
          <w:rFonts w:ascii="Times New Roman" w:hAnsi="Times New Roman" w:cs="Times New Roman"/>
          <w:color w:val="00b050"/>
          <w:sz w:val="24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3) часть 3 изложить в следующей редакции: 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«3.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убсидии предоставляются в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п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ределах лимитов бюджетных обязательств, доведенных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установленном порядке до главных распорядителей бюджетных средств (далее - ГРБС),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как получателей средств краевого бюджета, на цели, установленные настоящим Порядком. ГРБС по мероприятиям, указанным в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пункте 1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части 2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настоящего Порядка является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Министерство архитектуры и градостроительства Камчатского края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,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по мероприятию, указанному в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пункте 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 части 2</w:t>
      </w:r>
      <w:r>
        <w:rPr>
          <w:rStyle w:val="742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настоящего Порядка Министерство культуры Камчатского края.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4) пункт 3 части 4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«3)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включение муниципального образования в утвержденный перечень мероприятий Плана»;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5) в абзаце первом части 5 слова «Министерством» заменить словами «главным распорядителем бюджетных средств», слова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«органом местного самоуправления» заменить словом «главой»;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6)</w:t>
      </w:r>
      <w:r>
        <w:rPr>
          <w:rFonts w:ascii="Times New Roman" w:hAnsi="Times New Roman" w:eastAsia="Times New Roman" w:cs="Times New Roman"/>
          <w:strike w:val="0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абзаце втором части 5 слова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государственной информационной системе Камчатского края «Модифицированная программа для ЭВМ «Управление мастер-данными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организации» заменить словами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форме электронного документа посредством государственной интегрированной информационной системы управления общественными финансами «Электр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онный бюджет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», слова «Камчатского края» заменить словами «Российской Федерации»;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7) в абзаце шестом части 5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установленным правилами, предусмотренными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"https://login.consultant.ru/link/?req=doc&amp;base=LAW&amp;n=495710&amp;date=13.04.2026&amp;dst=103626&amp;field=134кодексРоссийскойФедерацииот 31.07.1998 N 145-ФЗ (ред. от 28.12.2025, с изм. от 31.03.2026) {КонсультантПлюс}" \o "Бюджетный"</w:instrTex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абзацем первым пункта 3 статьи 132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Бюджетного кодекса Российской Федерации» заменить словами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у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становленным пунктом 10 Правил формирования, предоставления и распределения субсидий из федерально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г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 бюджета бюджетам субъектов Российской Федерации, утвержденным постановлением Правительства Российской Федерации от 30.09.2014 № 999 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«О формировании, предоставлении и распределении субсидий из федерального бюджета бюджетам субъектов Российской Федерации»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.»;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8) в части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6 слова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«Министерством» з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аменить словами «главными распорядителями бюджетных средств»;</w:t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9)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пункт 5 части 9 признать утратившим силу;</w:t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10) в части 10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lang w:val="ru-RU"/>
        </w:rPr>
        <w:t xml:space="preserve"> слова «Министерства» заменить словами «главных распорядителей бюджетных средств»;</w:t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highlight w:val="none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11) в абзаце четвертом части 10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после слов «краевого бюджета» дополнить словами «</w:t>
      </w:r>
      <w:r>
        <w:rPr>
          <w:rStyle w:val="886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(без учета средств федерального бюджета)»;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12) в части 14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 «Министерство осуществляет» заменить словами «Главные распорядители бюджетных средств осуществляют»;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13) в части 17 слова «Министерством» заменить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словами «главными распорядителями бюджетных средств»;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14)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часть 18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изложить в следующей редакции: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«18.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При использовании субсидий на реализацию мероприятий указанных в части 2 настоящего Порядка возникает обязательство органов местного самоуправления муниципальных образований при расходовании средств субсидии соблюдать размер уровня софинансирования расходн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ого обязательства муниципального образования за счет средств местного бюджета, установленный в соглашении о предоставлении субсидии.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Главные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распорядители бюджетных средств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оформляют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результаты проверок в порядке, установленном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"https://login.consultant.ru/link/?req=doc&amp;base=LAW&amp;n=516723&amp;date=13.04.2026&amp;dst=100155&amp;field=</w:instrTex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134Обутверждениифедеральногостандартавнутреннегогосударственного(муниципального)финансовогоконтроляПроведение проверок, ревизий и обследований и оформление их результатов{Консул" \o "Постановление Правительства РФ от 17.08.2020 N 1235 (ред. от 15.10.2025)"</w:instrTex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пунктами 48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-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begin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HYPERLINK "https://login.consultant.ru/link/?req=doc&amp;base=LAW&amp;n=516723&amp;date=13.04.2026&amp;dst=100190&amp;field=</w:instrTex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instrText xml:space="preserve">134Обутверждениифедеральногостандартавнутреннегогосударственного(муниципального)финансовогоконтроляПроведение проверок, ревизий и обследований и оформление их результатов{Консул" \o "Постановление Правительства РФ от 17.08.2020 N 1235 (ред. от 15.10.2025)"</w:instrTex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separate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59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fldChar w:fldCharType="end"/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Федерального стандарта внутреннего государственного (муниципального) финансового контроля «Проведение проверок, ревизий и обследований и оформление их результатов», утвержденного Постановлением Правительства Российской Федерации </w:t>
        <w:br/>
        <w:t xml:space="preserve">от 17.08.2020 № 1235.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9. В приложении 5: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ind w:left="0" w:right="0"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1) в части 3 слова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«Министерство строительства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жилищной политики Камчатского края» заменить словами «Министерство архитектуры и градо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строительства Камчатского края»;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2)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часть 4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дополнить абзацем шестым </w:t>
      </w:r>
      <w:r>
        <w:rPr>
          <w:rStyle w:val="741"/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ри использовании субсидий на реализацию мероприятий указанных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части 2 настоящего Порядка возникает обязательство органов местного самоуправления муниципальных образований при расходовании средств субсидии соблюдать размер уровня софинансирования расходн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ого обязательства муниципального образования за счет средств местного бюджета, установленный в соглашении о предоставлении субсидии.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after="0" w:line="240" w:lineRule="auto"/>
        <w:tabs>
          <w:tab w:val="left" w:pos="142" w:leader="none"/>
        </w:tabs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10. В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части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приложения 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слова «Министерство строительства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br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и жилищной политики Камчатского края» заменить словами «Министерство архитектуры и градо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строительства Камчатского края».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contextualSpacing w:val="0"/>
        <w:ind w:left="0" w:right="0" w:firstLine="709"/>
        <w:jc w:val="both"/>
        <w:spacing w:before="0" w:after="0" w:line="240" w:lineRule="auto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11.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Дополнить приложением 9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ru-RU"/>
        </w:rPr>
        <w:t xml:space="preserve">в следующего содержания:</w:t>
      </w:r>
      <w:r>
        <w:rPr>
          <w:rFonts w:ascii="Times New Roman" w:hAnsi="Times New Roman" w:cs="Times New Roman"/>
          <w:color w:val="000000" w:themeColor="text1"/>
          <w:sz w:val="28"/>
        </w:rPr>
      </w:r>
      <w:r>
        <w:rPr>
          <w:rFonts w:ascii="Times New Roman" w:hAnsi="Times New Roman" w:cs="Times New Roman"/>
          <w:color w:val="000000" w:themeColor="text1"/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</w:rPr>
        <w:outlineLvl w:val="1"/>
      </w:pPr>
      <w:r>
        <w:rPr>
          <w:sz w:val="28"/>
          <w:lang w:val="ru-RU"/>
        </w:rPr>
        <w:t xml:space="preserve">«Приложение 9</w:t>
      </w:r>
      <w:r>
        <w:rPr>
          <w:sz w:val="28"/>
        </w:rPr>
      </w:r>
      <w:r>
        <w:rPr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к государственной программе</w:t>
      </w:r>
      <w:r>
        <w:rPr>
          <w:sz w:val="28"/>
        </w:rPr>
      </w:r>
      <w:r>
        <w:rPr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Камчатского края «</w:t>
      </w:r>
      <w:r>
        <w:rPr>
          <w:sz w:val="28"/>
          <w:lang w:val="ru-RU"/>
        </w:rPr>
        <w:t xml:space="preserve">Формирование</w:t>
      </w:r>
      <w:r>
        <w:rPr>
          <w:sz w:val="28"/>
        </w:rPr>
      </w:r>
      <w:r>
        <w:rPr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современной городской среды</w:t>
      </w:r>
      <w:r>
        <w:rPr>
          <w:sz w:val="28"/>
        </w:rPr>
      </w:r>
      <w:r>
        <w:rPr>
          <w:sz w:val="28"/>
        </w:rPr>
      </w:r>
    </w:p>
    <w:p>
      <w:pPr>
        <w:pStyle w:val="941"/>
        <w:ind w:left="5387"/>
        <w:jc w:val="right"/>
        <w:spacing w:line="240" w:lineRule="auto"/>
        <w:rPr>
          <w:sz w:val="28"/>
        </w:rPr>
      </w:pPr>
      <w:r>
        <w:rPr>
          <w:sz w:val="28"/>
          <w:lang w:val="ru-RU"/>
        </w:rPr>
        <w:t xml:space="preserve">в Камчатском крае»</w:t>
      </w:r>
      <w:r>
        <w:rPr>
          <w:sz w:val="28"/>
        </w:rPr>
      </w:r>
      <w:r>
        <w:rPr>
          <w:sz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Порядок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0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определения орг</w:t>
      </w:r>
      <w:r>
        <w:rPr>
          <w:rFonts w:ascii="Times New Roman" w:hAnsi="Times New Roman"/>
          <w:sz w:val="28"/>
          <w:lang w:val="ru-RU"/>
        </w:rPr>
        <w:t xml:space="preserve">анами местного самоуправления муниципальных образований Камчатского края эквивалента в денежной форме имущественного и (или) трудового участия юридических и (или) физических лиц в реализации проектов-победителей Всероссийского конкурса лучших проектов созд</w:t>
      </w:r>
      <w:r>
        <w:rPr>
          <w:rFonts w:ascii="Times New Roman" w:hAnsi="Times New Roman"/>
          <w:sz w:val="28"/>
          <w:lang w:val="ru-RU"/>
        </w:rPr>
        <w:t xml:space="preserve">ания комфортной городской среды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firstLine="426"/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1"/>
        <w:numPr>
          <w:ilvl w:val="0"/>
          <w:numId w:val="14"/>
        </w:numPr>
        <w:jc w:val="center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Общие положения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1. Настоящий поряд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ок разработан в соответствии с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подпунктом «з» пункта 13 Правил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предоставления и распределения субсидий из федерального бюджета, в том числе источником финансового обеспечения которых являются бюджетные ассигнования ре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зервного фонда Правительства Российской Федерации, бюджетам субъектов Российской Федерации на создание комфортной городской среды в муниципальных образованиях – победителях Всероссийского конкурса лучших проектов создания комфортной городской среды, привед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нных в приложении № 22 к государственной программе Российской Федерации «Обеспечение доступным и комфортным жильем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коммунальными услугами граждан Российской Федерации», утвержденной постановлением Правительства Российской Федерации от 30.12.2017 № 1710,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устанавливает правила определения органами местного самоуправления эквивалента в денежной форме имущественного и (или) трудового участия ю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ридических и (или) физических лиц при реализации проектов-победителей Всероссийского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конкурса лучших проектов создания комфортной городской среды, на территории субъектов Российской Федерации, входящих в состав Дальневосточного федерального округа, предусмотренных муниципальными программами формирования комфортной городской среды (далее –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 конкурсные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проекты).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2. Денежный эквивалент участия определяется в целях количественной оценки софинансирования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онкурсных проектов, в том числе обоснованности учета внебюджетных источников.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3. Для целей настоящего порядка используются следующие понятия: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1) внебюджетное финансирование –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расходование средств различных источников и финансовое обеспечение затрат, поступающих на безвозмездной основе от юридических и физических лиц, связанных с реализацией проектов-победителей Всероссийского конкурса лучших проектов создания комфортной городск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ой среды, на территории субъектов Российской Федерации, входящих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состав Дальневосточного федерального округа, в том числе, в том числе посредством трудового участия и имущественного участия юридических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физических лиц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2) имущественное участие –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безвозмездная передача участником в пользу муниципального образования для целей реализации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проекта материальных ценностей (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строительных и отделочных материалов, оборудования, нестационарных торговых объектов, малых архитектурных форм, элементов благоустройства, посадочного материала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и иных ресурсов);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3)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трудовое участие физического лица –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безвозмездное выполнение физическим лицом работ (оказание услуг) в рамках реализации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конкурсных проектов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не связанных с работами, требующими наличия специального разрешения (лицензии) или особых квалификационных допусков, контроль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за которыми невозможен со стороны органа местного самоуправления;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4)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трудовое участие юридического лица –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безвозмездное выполнение работником (работниками) юридического лица работ (оказание услуг) в рамках реализации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конкурсных проектов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с ис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пользованием знаний, навыков,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профессионального инструмента и/или специализированной техники данного юри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дического лица. Не является трудовым участием юридического лица выполнение работ (оказанием услуг) по договорам гражданско-правового характера и не предполагает возникновения финансовых обязательств муниципального образования перед таким юридическим лицом;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5) оценочная комиссия –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постоянно действующая комиссия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создаваемая органом местного самоуправления муниципального образования победителя конкурсного проекта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для определения денежного эквивалента участия в целях применения настоящего Порядка.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4.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Муниципальные образования определяют источник и форму внебюджетного финансирования самостоятельно.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1"/>
        <w:ind w:left="0" w:right="0" w:firstLine="709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5.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Иные понятия, используемые в н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астоящем Порядке, применяются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соответствии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ab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с П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равила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ми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предоставления и распределения субсидий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из федерального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бюджета, в том числе источником финансового обеспечения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которых являются бюджетные ассигнования резервного фонда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Правительства Российской Ф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едерации, бюджетам субъектов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Российской Ф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едерации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на создание комфортной городской среды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муниципаль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ных образованиях – победителях 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сероссийского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конкурса лучших проектов создания комфортной городской среды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в соответствии с приложением № 22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 государственной программе Российской Федерации «Обеспечение доступным и комфортным жильем и коммунальными услугами граждан Российской Федерации», утвержденной постановлением Правительства Российской Федерации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от 30.12.2017 № 1710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jc w:val="center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2. Порядок определения денежного эквивалента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имущественного участия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1069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6.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Имущественное участие допускается при реализации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конкурсных проектов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в части добровольного предоставления заинтер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есованными лицами материальных ценностей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пользу муниципального образования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7. Формирование потре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бности материальных ценностей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определяется решениями органов местного самоуправления муниципальных образований самостоятельно, исходя из действующей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потребности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материальных ценностей необходимых для реализации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конкурсных проектов.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8. Факт имущественного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участия подтверждается актом приема-передачи материальных ценностей по форме, утверждаемой органом местного самоуправления. В акте должны быть указаны: наименование, количество, качественное состояние, идентификационные признаки передаваемого имущества.  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9. К акту приема-передачи прикладываются документы, подтверждающие происхождение имущества (при их наличии)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и право участника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на владение данным имуществом: товарные и кассовые чеки, накладные (в том числе товарно-транспортные), технические пас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порта, иные документы.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10. Денежный эквивалент имущественного участия определяется исходя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из его рыночной стоимости на дату передачи.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11. Для определения рыночной стоимости могут применяться следующие источники информации: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1) документы, указанные в пункте 9 настоящего Порядка, подтверждающие стоимость недавнего приобретения идентичного имущества;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2) не менее трех письменных коммерческих предложений (ценовых оферт)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от поставщиков, осуществляющих деятельность на территории Камчатского края, на поставку идентичного или при его отсутствии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однородного нового имущества;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3) информация о сопоставимых рыночных ценах, публикуемая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государственных и муниципальных информационных системах, официальных источниках, специализированных изданиях, каталогах и иных общедоступных источниках;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spacing w:after="0"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4) для уникального имущества – заключение независимого оценщика;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5) иные источники информации, установленные муниципальным правовым актом о реализации Порядка на территории муниципального образования Камчатского края.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12. Оценка имущественного участия проводится согласительной комиссией. Результаты оценки по каждому факту имущественного участия заносятся в ведомость оценки имущественного участия.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jc w:val="both"/>
        <w:spacing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jc w:val="center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3. Порядок определения денежного эквивалента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трудового участия юридического лица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13. Трудовое участие юридиче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ского лица допускается в видах работ, требующих специальных профессиональных знаний, навыков, использования специализированного оборудования или техники (например, электромонтажные работы, работы с применением автовышки, экскаватора, кабельной диагностики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т.п.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).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14. Факт, объем и содержание трудового участия юридического лица подтверждаются следующими документами: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1) акт выполненных работ (услуг), подписанный уполномоченным представителем юридического лица и ответственным представителем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ор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гана местного самоуправления. В акте должны быть детально описаны: виды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объемы выполненных профессиональных работ, использованное оборудование (техника), даты и продолжительность работ, фамилии, имена, отчества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должности задействованных специалистов;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2) копии документов, подтверждающих квалификацию задействованных специалистов (дипломы, сертификаты, удостоверения – при выполнении работ, требующих специального допуска);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3) локальная смета или расчет стоимости работ, предоставленная юридическим лицом для целей оценки, с расшифровкой составляющих (стоимость труда специалистов, амортизация (аренда) оборудования, накладные расходы).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15. Денежный эквивалент трудового участия юридического лица определяется согласительной комиссией на основе сравнительного (аналогового) метода путем анализа рыночной стоимости аналогичных работ (услуг), выполняемых на коммерческой основе.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16. Для определения рыночной стоимости работ могут применяться следующие источники информации: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1) не менее трех коммерческих предложений (оферт) от организаций, осуществляющих аналогичную деятельность на территории Российской Федерации;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2) действующие в Камчатском крае справочники базовых цен и сборники расценок на специализированные работы (при их наличии и применимости);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3) данные о средней рыночной стоимости единицы работы (например, стоимость машино-часа специальной техники, стоимость чел./часа труда специалиста определенной квалификации и т.п.).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17. При расчете денежного эквивалента трудового участия юридического лица не учитывается прибыль юридического лица, а также общехозяйственные и коммерческие расходы, не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связанные напрямую с выполнением конкретных работ по проекту. Оценке подлежат только прямые затраты на оплату труда задействованных специалистов (исходя из среднерыночных ставок)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экономически обоснованные затраты на использование оборудования (техники).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18. Результаты расчета денежного эквивалента трудового участия юридического лица заносятся в отдельную ведомость оценки трудового участия юридических лиц или в общую ведомость с выделением отдельного раздела.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К ведомости прилагаются все рассмотренные согласительной комиссией документы и обоснования.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19. Юридическое лицо, участвующее в проекте на условиях трудового участия, несет ответственность за качество и безопасность выполненных работ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соответствии с законодательством Российской Федерации.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jc w:val="both"/>
        <w:spacing w:line="240" w:lineRule="auto"/>
        <w:widowControl w:val="off"/>
        <w:tabs>
          <w:tab w:val="left" w:pos="426" w:leader="none"/>
          <w:tab w:val="left" w:pos="709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jc w:val="center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4. Порядок определения денежного эквивалента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трудового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участия физического лица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spacing w:line="240" w:lineRule="auto"/>
        <w:widowControl w:val="off"/>
        <w:tabs>
          <w:tab w:val="left" w:pos="426" w:leader="none"/>
          <w:tab w:val="left" w:pos="851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20.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Трудовое участие физических лиц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допускается в видах работ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(услуг), связанных с реализацией конкурсных проектов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не требующих наличия специальных профессиональных знаний, навыков,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разрешений (лицензий), квалификационных допусков и специализированной техники (оборудования),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за исключением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малых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технических сред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ств и специального снаряжения,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без которого выполнение трудового участия не представляется возможным.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21. Формирование участников, степень вовлеченности, о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пределение задач, сроки и иные параметры трудового участия определяется решениями органов местного самоуправления муниципальных образований самостоятельно, исходя из действующей потребности трудового участия физических лиц в реализацию конкурсных проектов.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22.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Факт и объем трудового участия физического лица подтверждаются записями в журнале учета трудового участия, форма которого утверждается муниципальным правовым актом о реализа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ции Порядка на территории муниципального образования Камчатского края В журнале фиксируются: фамилия, имя, отчество участника, дата, виды выполненных работ, количество отработанных часов, подпись ответственного представителя органа местного самоуправления.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23. Денежный эквивалент одного часа трудового участия определяется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размере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сложившейся средней рыночной стоимости часа аналогичных неквалифицированных (подсобных) работ в муниципальном образовании,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но не ниже минимальной часовой тарифной ставк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исчисленной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из минимального размера оплаты труда в соответствии с трудовым законодательством Российской Федерации. Для определения рыночной стоимости неквалифицированных (подсобных) работ применяются источники информации, указанные в пункте 3.4 Порядка.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24. Денежный эквивалент трудового участия физического лица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реализации проекта рассчитывается по формуле: 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jc w:val="center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Р=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Т×р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, где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 – денежный эквивалент трудового участия физического лица;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Т – количество часов, отработанных физическим лицом в целях реализации проекта;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993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 – денежный эквивалент одного часа трудового участия физического лица.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25. Результаты расчета денежного эквивалента трудового участия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по каждому участнику – физическому лицу заносятся в ведомость оценки трудового участия физического лица или в общую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ведомость с выделением отдельного раздела.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/>
        <w:jc w:val="center"/>
        <w:spacing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5. Заключительные положения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contextualSpacing/>
        <w:ind w:left="0" w:firstLine="709"/>
        <w:spacing w:line="240" w:lineRule="auto"/>
        <w:widowControl w:val="off"/>
        <w:tabs>
          <w:tab w:val="left" w:pos="426" w:leader="none"/>
          <w:tab w:val="left" w:pos="851" w:leader="none"/>
          <w:tab w:val="left" w:pos="1276" w:leader="none"/>
        </w:tabs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26. Орган местного самоуправления на основании ведомостей, указанных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в пунктах 12, 18, 25 Порядка, формирует сводный реестр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 имущественного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и трудового участия участников в реализации проекта и утверждает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его муниципальным правовым актом.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27. Утвержденный сводный реестр в течение пяти рабочих дней со дня утверждения подлежит обязательному размещению на официальном сайте органа местного самоуправления в информационно-телекоммуникационной сети «Интернет».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  <w:color w:val="000000" w:themeColor="text1"/>
          <w:sz w:val="28"/>
        </w:rPr>
      </w:pP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28. Орган местного самоуправления ежеквартально не позднее 15-го числа месяца, следующего за отчетным кварталом, представляет в Министерство архитектуры и г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р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адостроительства Камчатского края отчетность </w:t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br/>
      </w:r>
      <w:r>
        <w:rPr>
          <w:rStyle w:val="886"/>
          <w:rFonts w:ascii="Times New Roman" w:hAnsi="Times New Roman"/>
          <w:color w:val="000000" w:themeColor="text1"/>
          <w:sz w:val="28"/>
          <w:lang w:val="ru-RU"/>
        </w:rPr>
        <w:t xml:space="preserve">об осуществлении расходов средств, привлеченных за счет внебюджетных источников на реализацию проекта, по форме, установленной Министерством строительства и жилищно-коммунального хозяйства Российской Федерации.</w:t>
      </w:r>
      <w:r>
        <w:rPr>
          <w:rFonts w:ascii="Times New Roman" w:hAnsi="Times New Roman"/>
          <w:sz w:val="28"/>
          <w:lang w:val="ru-RU"/>
        </w:rPr>
        <w:t xml:space="preserve">».</w:t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p>
      <w:pPr>
        <w:pStyle w:val="742"/>
        <w:ind w:left="0" w:right="0" w:firstLine="567"/>
        <w:jc w:val="both"/>
        <w:spacing w:line="240" w:lineRule="auto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  <w:r>
        <w:rPr>
          <w:rFonts w:ascii="Times New Roman" w:hAnsi="Times New Roman"/>
          <w:color w:val="000000" w:themeColor="text1"/>
          <w:sz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851" w:bottom="1134" w:left="1418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XO Thames">
    <w:panose1 w:val="02000603000000000000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  <w:p>
    <w:pPr>
      <w:pStyle w:val="90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42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89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78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509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69" w:hanging="21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07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67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6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27" w:hanging="21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7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9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1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3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5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7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9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1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36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</w:lvl>
    <w:lvl w:ilvl="1">
      <w:start w:val="1"/>
      <w:numFmt w:val="russianLower"/>
      <w:isLgl w:val="false"/>
      <w:suff w:val="tab"/>
      <w:lvlText w:val="%2)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)"/>
      <w:lvlJc w:val="right"/>
      <w:pPr>
        <w:ind w:left="2160" w:hanging="360"/>
      </w:pPr>
    </w:lvl>
    <w:lvl w:ilvl="3">
      <w:start w:val="1"/>
      <w:numFmt w:val="decimal"/>
      <w:isLgl w:val="false"/>
      <w:suff w:val="tab"/>
      <w:lvlText w:val="%4)"/>
      <w:lvlJc w:val="left"/>
      <w:pPr>
        <w:ind w:left="2880" w:hanging="360"/>
      </w:pPr>
    </w:lvl>
    <w:lvl w:ilvl="4">
      <w:start w:val="1"/>
      <w:numFmt w:val="russianLower"/>
      <w:isLgl w:val="false"/>
      <w:suff w:val="tab"/>
      <w:lvlText w:val="%5)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)"/>
      <w:lvlJc w:val="righ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russianLow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87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64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647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007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367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67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727" w:hanging="216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spacing w:before="0" w:beforeAutospacing="0" w:after="160" w:afterAutospacing="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8">
    <w:name w:val="Heading 1 Char"/>
    <w:basedOn w:val="892"/>
    <w:link w:val="88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29">
    <w:name w:val="Heading 2 Char"/>
    <w:basedOn w:val="892"/>
    <w:link w:val="888"/>
    <w:uiPriority w:val="9"/>
    <w:rPr>
      <w:rFonts w:ascii="Liberation Sans" w:hAnsi="Liberation Sans" w:eastAsia="Liberation Sans" w:cs="Liberation Sans"/>
      <w:sz w:val="34"/>
    </w:rPr>
  </w:style>
  <w:style w:type="character" w:styleId="730">
    <w:name w:val="Heading 3 Char"/>
    <w:basedOn w:val="892"/>
    <w:link w:val="88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31">
    <w:name w:val="Heading 4 Char"/>
    <w:basedOn w:val="892"/>
    <w:link w:val="89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32">
    <w:name w:val="Heading 5 Char"/>
    <w:basedOn w:val="892"/>
    <w:link w:val="89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33">
    <w:name w:val="Heading 6"/>
    <w:basedOn w:val="886"/>
    <w:next w:val="886"/>
    <w:link w:val="73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34">
    <w:name w:val="Heading 6 Char"/>
    <w:basedOn w:val="892"/>
    <w:link w:val="73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35">
    <w:name w:val="Heading 7"/>
    <w:basedOn w:val="886"/>
    <w:next w:val="886"/>
    <w:link w:val="73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36">
    <w:name w:val="Heading 7 Char"/>
    <w:basedOn w:val="892"/>
    <w:link w:val="73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37">
    <w:name w:val="Heading 8"/>
    <w:basedOn w:val="886"/>
    <w:next w:val="886"/>
    <w:link w:val="73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8">
    <w:name w:val="Heading 8 Char"/>
    <w:basedOn w:val="892"/>
    <w:link w:val="73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9">
    <w:name w:val="Heading 9"/>
    <w:basedOn w:val="886"/>
    <w:next w:val="886"/>
    <w:link w:val="74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0">
    <w:name w:val="Heading 9 Char"/>
    <w:basedOn w:val="892"/>
    <w:link w:val="73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41">
    <w:name w:val="List Paragraph"/>
    <w:basedOn w:val="886"/>
    <w:uiPriority w:val="34"/>
    <w:qFormat/>
    <w:pPr>
      <w:contextualSpacing/>
      <w:ind w:left="720"/>
    </w:pPr>
  </w:style>
  <w:style w:type="paragraph" w:styleId="742">
    <w:name w:val="No Spacing"/>
    <w:uiPriority w:val="1"/>
    <w:qFormat/>
    <w:pPr>
      <w:spacing w:before="0" w:after="0" w:line="240" w:lineRule="auto"/>
    </w:pPr>
  </w:style>
  <w:style w:type="character" w:styleId="743">
    <w:name w:val="Title Char"/>
    <w:basedOn w:val="892"/>
    <w:link w:val="932"/>
    <w:uiPriority w:val="10"/>
    <w:rPr>
      <w:sz w:val="48"/>
      <w:szCs w:val="48"/>
    </w:rPr>
  </w:style>
  <w:style w:type="character" w:styleId="744">
    <w:name w:val="Subtitle Char"/>
    <w:basedOn w:val="892"/>
    <w:link w:val="928"/>
    <w:uiPriority w:val="11"/>
    <w:rPr>
      <w:sz w:val="24"/>
      <w:szCs w:val="24"/>
    </w:rPr>
  </w:style>
  <w:style w:type="paragraph" w:styleId="745">
    <w:name w:val="Quote"/>
    <w:basedOn w:val="886"/>
    <w:next w:val="886"/>
    <w:link w:val="746"/>
    <w:uiPriority w:val="29"/>
    <w:qFormat/>
    <w:pPr>
      <w:ind w:left="720" w:right="720"/>
    </w:pPr>
    <w:rPr>
      <w:i/>
    </w:rPr>
  </w:style>
  <w:style w:type="character" w:styleId="746">
    <w:name w:val="Quote Char"/>
    <w:link w:val="745"/>
    <w:uiPriority w:val="29"/>
    <w:rPr>
      <w:i/>
    </w:rPr>
  </w:style>
  <w:style w:type="paragraph" w:styleId="747">
    <w:name w:val="Intense Quote"/>
    <w:basedOn w:val="886"/>
    <w:next w:val="886"/>
    <w:link w:val="748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8">
    <w:name w:val="Intense Quote Char"/>
    <w:link w:val="747"/>
    <w:uiPriority w:val="30"/>
    <w:rPr>
      <w:i/>
    </w:rPr>
  </w:style>
  <w:style w:type="character" w:styleId="749">
    <w:name w:val="Header Char"/>
    <w:basedOn w:val="892"/>
    <w:link w:val="900"/>
    <w:uiPriority w:val="99"/>
  </w:style>
  <w:style w:type="character" w:styleId="750">
    <w:name w:val="Footer Char"/>
    <w:basedOn w:val="892"/>
    <w:link w:val="930"/>
    <w:uiPriority w:val="99"/>
  </w:style>
  <w:style w:type="paragraph" w:styleId="751">
    <w:name w:val="Caption"/>
    <w:basedOn w:val="886"/>
    <w:next w:val="886"/>
    <w:link w:val="7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52">
    <w:name w:val="Caption Char"/>
    <w:basedOn w:val="892"/>
    <w:link w:val="751"/>
    <w:uiPriority w:val="35"/>
    <w:rPr>
      <w:b/>
      <w:bCs/>
      <w:color w:val="4f81bd" w:themeColor="accent1"/>
      <w:sz w:val="18"/>
      <w:szCs w:val="18"/>
    </w:rPr>
  </w:style>
  <w:style w:type="table" w:styleId="753">
    <w:name w:val="Table Grid Light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5">
    <w:name w:val="Plain Table 2"/>
    <w:basedOn w:val="8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6">
    <w:name w:val="Plain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8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0">
    <w:name w:val="Grid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01">
    <w:name w:val="Grid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5 Dark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1">
    <w:name w:val="List Table 5 Dark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2">
    <w:name w:val="List Table 5 Dark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3">
    <w:name w:val="List Table 6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52">
    <w:name w:val="List Table 7 Colorful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56">
    <w:name w:val="List Table 7 Colorful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57">
    <w:name w:val="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9">
    <w:name w:val="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3">
    <w:name w:val="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66">
    <w:name w:val="Bordered &amp; Lined - Accent 2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70">
    <w:name w:val="Bordered &amp; Lined - Accent 6"/>
    <w:basedOn w:val="8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8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8">
    <w:name w:val="footnote text"/>
    <w:basedOn w:val="886"/>
    <w:link w:val="879"/>
    <w:uiPriority w:val="99"/>
    <w:semiHidden/>
    <w:unhideWhenUsed/>
    <w:pPr>
      <w:spacing w:after="40" w:line="240" w:lineRule="auto"/>
    </w:pPr>
    <w:rPr>
      <w:sz w:val="18"/>
    </w:rPr>
  </w:style>
  <w:style w:type="character" w:styleId="879">
    <w:name w:val="Footnote Text Char"/>
    <w:link w:val="878"/>
    <w:uiPriority w:val="99"/>
    <w:rPr>
      <w:sz w:val="18"/>
    </w:rPr>
  </w:style>
  <w:style w:type="character" w:styleId="880">
    <w:name w:val="footnote reference"/>
    <w:basedOn w:val="892"/>
    <w:uiPriority w:val="99"/>
    <w:unhideWhenUsed/>
    <w:rPr>
      <w:vertAlign w:val="superscript"/>
    </w:rPr>
  </w:style>
  <w:style w:type="paragraph" w:styleId="881">
    <w:name w:val="endnote text"/>
    <w:basedOn w:val="886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2"/>
    <w:uiPriority w:val="99"/>
    <w:semiHidden/>
    <w:unhideWhenUsed/>
    <w:rPr>
      <w:vertAlign w:val="superscript"/>
    </w:rPr>
  </w:style>
  <w:style w:type="paragraph" w:styleId="884">
    <w:name w:val="TOC Heading"/>
    <w:uiPriority w:val="39"/>
    <w:unhideWhenUsed/>
  </w:style>
  <w:style w:type="paragraph" w:styleId="885">
    <w:name w:val="table of figures"/>
    <w:basedOn w:val="886"/>
    <w:next w:val="886"/>
    <w:uiPriority w:val="99"/>
    <w:unhideWhenUsed/>
    <w:pPr>
      <w:spacing w:after="0" w:afterAutospacing="0"/>
    </w:pPr>
  </w:style>
  <w:style w:type="paragraph" w:styleId="886" w:default="1">
    <w:name w:val="Normal"/>
    <w:link w:val="895"/>
    <w:qFormat/>
  </w:style>
  <w:style w:type="paragraph" w:styleId="887">
    <w:name w:val="Heading 1"/>
    <w:next w:val="886"/>
    <w:link w:val="912"/>
    <w:uiPriority w:val="9"/>
    <w:qFormat/>
    <w:pPr>
      <w:jc w:val="both"/>
      <w:spacing w:before="120" w:after="120"/>
      <w:outlineLvl w:val="0"/>
    </w:pPr>
    <w:rPr>
      <w:rFonts w:ascii="XO Thames" w:hAnsi="XO Thames"/>
      <w:b/>
      <w:sz w:val="32"/>
    </w:rPr>
  </w:style>
  <w:style w:type="paragraph" w:styleId="888">
    <w:name w:val="Heading 2"/>
    <w:next w:val="886"/>
    <w:link w:val="937"/>
    <w:uiPriority w:val="9"/>
    <w:qFormat/>
    <w:pPr>
      <w:jc w:val="both"/>
      <w:spacing w:before="120" w:after="120"/>
      <w:outlineLvl w:val="1"/>
    </w:pPr>
    <w:rPr>
      <w:rFonts w:ascii="XO Thames" w:hAnsi="XO Thames"/>
      <w:b/>
      <w:sz w:val="28"/>
    </w:rPr>
  </w:style>
  <w:style w:type="paragraph" w:styleId="889">
    <w:name w:val="Heading 3"/>
    <w:next w:val="886"/>
    <w:link w:val="906"/>
    <w:uiPriority w:val="9"/>
    <w:qFormat/>
    <w:pPr>
      <w:jc w:val="both"/>
      <w:spacing w:before="120" w:after="120"/>
      <w:outlineLvl w:val="2"/>
    </w:pPr>
    <w:rPr>
      <w:rFonts w:ascii="XO Thames" w:hAnsi="XO Thames"/>
      <w:b/>
      <w:sz w:val="26"/>
    </w:rPr>
  </w:style>
  <w:style w:type="paragraph" w:styleId="890">
    <w:name w:val="Heading 4"/>
    <w:next w:val="886"/>
    <w:link w:val="936"/>
    <w:uiPriority w:val="9"/>
    <w:qFormat/>
    <w:pPr>
      <w:jc w:val="both"/>
      <w:spacing w:before="120" w:after="120"/>
      <w:outlineLvl w:val="3"/>
    </w:pPr>
    <w:rPr>
      <w:rFonts w:ascii="XO Thames" w:hAnsi="XO Thames"/>
      <w:b/>
      <w:sz w:val="24"/>
    </w:rPr>
  </w:style>
  <w:style w:type="paragraph" w:styleId="891">
    <w:name w:val="Heading 5"/>
    <w:next w:val="886"/>
    <w:link w:val="911"/>
    <w:uiPriority w:val="9"/>
    <w:qFormat/>
    <w:pPr>
      <w:jc w:val="both"/>
      <w:spacing w:before="120" w:after="120"/>
      <w:outlineLvl w:val="4"/>
    </w:pPr>
    <w:rPr>
      <w:rFonts w:ascii="XO Thames" w:hAnsi="XO Thames"/>
      <w:b/>
    </w:rPr>
  </w:style>
  <w:style w:type="character" w:styleId="892" w:default="1">
    <w:name w:val="Default Paragraph Font"/>
    <w:uiPriority w:val="1"/>
    <w:semiHidden/>
    <w:unhideWhenUsed/>
  </w:style>
  <w:style w:type="table" w:styleId="8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4" w:default="1">
    <w:name w:val="No List"/>
    <w:uiPriority w:val="99"/>
    <w:semiHidden/>
    <w:unhideWhenUsed/>
  </w:style>
  <w:style w:type="character" w:styleId="895" w:customStyle="1">
    <w:name w:val="Обычный1"/>
  </w:style>
  <w:style w:type="paragraph" w:styleId="896">
    <w:name w:val="toc 2"/>
    <w:next w:val="886"/>
    <w:link w:val="897"/>
    <w:uiPriority w:val="39"/>
    <w:pPr>
      <w:ind w:left="200"/>
    </w:pPr>
    <w:rPr>
      <w:rFonts w:ascii="XO Thames" w:hAnsi="XO Thames"/>
      <w:sz w:val="28"/>
    </w:rPr>
  </w:style>
  <w:style w:type="character" w:styleId="897" w:customStyle="1">
    <w:name w:val="Оглавление 2 Знак"/>
    <w:link w:val="896"/>
    <w:rPr>
      <w:rFonts w:ascii="XO Thames" w:hAnsi="XO Thames"/>
      <w:sz w:val="28"/>
    </w:rPr>
  </w:style>
  <w:style w:type="paragraph" w:styleId="898">
    <w:name w:val="toc 4"/>
    <w:next w:val="886"/>
    <w:link w:val="899"/>
    <w:uiPriority w:val="39"/>
    <w:pPr>
      <w:ind w:left="600"/>
    </w:pPr>
    <w:rPr>
      <w:rFonts w:ascii="XO Thames" w:hAnsi="XO Thames"/>
      <w:sz w:val="28"/>
    </w:rPr>
  </w:style>
  <w:style w:type="character" w:styleId="899" w:customStyle="1">
    <w:name w:val="Оглавление 4 Знак"/>
    <w:link w:val="898"/>
    <w:rPr>
      <w:rFonts w:ascii="XO Thames" w:hAnsi="XO Thames"/>
      <w:sz w:val="28"/>
    </w:rPr>
  </w:style>
  <w:style w:type="paragraph" w:styleId="900">
    <w:name w:val="Header"/>
    <w:basedOn w:val="886"/>
    <w:link w:val="901"/>
    <w:uiPriority w:val="99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01" w:customStyle="1">
    <w:name w:val="Верхний колонтитул Знак"/>
    <w:basedOn w:val="895"/>
    <w:link w:val="900"/>
    <w:uiPriority w:val="99"/>
  </w:style>
  <w:style w:type="paragraph" w:styleId="902">
    <w:name w:val="toc 6"/>
    <w:next w:val="886"/>
    <w:link w:val="903"/>
    <w:uiPriority w:val="39"/>
    <w:pPr>
      <w:ind w:left="1000"/>
    </w:pPr>
    <w:rPr>
      <w:rFonts w:ascii="XO Thames" w:hAnsi="XO Thames"/>
      <w:sz w:val="28"/>
    </w:rPr>
  </w:style>
  <w:style w:type="character" w:styleId="903" w:customStyle="1">
    <w:name w:val="Оглавление 6 Знак"/>
    <w:link w:val="902"/>
    <w:rPr>
      <w:rFonts w:ascii="XO Thames" w:hAnsi="XO Thames"/>
      <w:sz w:val="28"/>
    </w:rPr>
  </w:style>
  <w:style w:type="paragraph" w:styleId="904">
    <w:name w:val="toc 7"/>
    <w:next w:val="886"/>
    <w:link w:val="905"/>
    <w:uiPriority w:val="39"/>
    <w:pPr>
      <w:ind w:left="1200"/>
    </w:pPr>
    <w:rPr>
      <w:rFonts w:ascii="XO Thames" w:hAnsi="XO Thames"/>
      <w:sz w:val="28"/>
    </w:rPr>
  </w:style>
  <w:style w:type="character" w:styleId="905" w:customStyle="1">
    <w:name w:val="Оглавление 7 Знак"/>
    <w:link w:val="904"/>
    <w:rPr>
      <w:rFonts w:ascii="XO Thames" w:hAnsi="XO Thames"/>
      <w:sz w:val="28"/>
    </w:rPr>
  </w:style>
  <w:style w:type="character" w:styleId="906" w:customStyle="1">
    <w:name w:val="Заголовок 3 Знак"/>
    <w:link w:val="889"/>
    <w:rPr>
      <w:rFonts w:ascii="XO Thames" w:hAnsi="XO Thames"/>
      <w:b/>
      <w:sz w:val="26"/>
    </w:rPr>
  </w:style>
  <w:style w:type="paragraph" w:styleId="907">
    <w:name w:val="Plain Text"/>
    <w:basedOn w:val="886"/>
    <w:link w:val="908"/>
    <w:pPr>
      <w:spacing w:after="0" w:line="240" w:lineRule="auto"/>
    </w:pPr>
    <w:rPr>
      <w:rFonts w:ascii="Calibri" w:hAnsi="Calibri"/>
    </w:rPr>
  </w:style>
  <w:style w:type="character" w:styleId="908" w:customStyle="1">
    <w:name w:val="Текст Знак"/>
    <w:basedOn w:val="895"/>
    <w:link w:val="907"/>
    <w:rPr>
      <w:rFonts w:ascii="Calibri" w:hAnsi="Calibri"/>
    </w:rPr>
  </w:style>
  <w:style w:type="paragraph" w:styleId="909">
    <w:name w:val="toc 3"/>
    <w:next w:val="886"/>
    <w:link w:val="910"/>
    <w:uiPriority w:val="39"/>
    <w:pPr>
      <w:ind w:left="400"/>
    </w:pPr>
    <w:rPr>
      <w:rFonts w:ascii="XO Thames" w:hAnsi="XO Thames"/>
      <w:sz w:val="28"/>
    </w:rPr>
  </w:style>
  <w:style w:type="character" w:styleId="910" w:customStyle="1">
    <w:name w:val="Оглавление 3 Знак"/>
    <w:link w:val="909"/>
    <w:rPr>
      <w:rFonts w:ascii="XO Thames" w:hAnsi="XO Thames"/>
      <w:sz w:val="28"/>
    </w:rPr>
  </w:style>
  <w:style w:type="character" w:styleId="911" w:customStyle="1">
    <w:name w:val="Заголовок 5 Знак"/>
    <w:link w:val="891"/>
    <w:rPr>
      <w:rFonts w:ascii="XO Thames" w:hAnsi="XO Thames"/>
      <w:b/>
      <w:sz w:val="22"/>
    </w:rPr>
  </w:style>
  <w:style w:type="character" w:styleId="912" w:customStyle="1">
    <w:name w:val="Заголовок 1 Знак"/>
    <w:link w:val="887"/>
    <w:rPr>
      <w:rFonts w:ascii="XO Thames" w:hAnsi="XO Thames"/>
      <w:b/>
      <w:sz w:val="32"/>
    </w:rPr>
  </w:style>
  <w:style w:type="paragraph" w:styleId="913" w:customStyle="1">
    <w:name w:val="Гиперссылка1"/>
    <w:basedOn w:val="921"/>
    <w:link w:val="914"/>
    <w:rPr>
      <w:color w:val="0563c1" w:themeColor="hyperlink"/>
      <w:u w:val="single"/>
    </w:rPr>
  </w:style>
  <w:style w:type="character" w:styleId="914">
    <w:name w:val="Hyperlink"/>
    <w:basedOn w:val="892"/>
    <w:link w:val="913"/>
    <w:rPr>
      <w:color w:val="0563c1" w:themeColor="hyperlink"/>
      <w:u w:val="single"/>
    </w:rPr>
  </w:style>
  <w:style w:type="paragraph" w:styleId="915" w:customStyle="1">
    <w:name w:val="Footnote"/>
    <w:link w:val="916"/>
    <w:pPr>
      <w:ind w:firstLine="851"/>
      <w:jc w:val="both"/>
    </w:pPr>
    <w:rPr>
      <w:rFonts w:ascii="XO Thames" w:hAnsi="XO Thames"/>
    </w:rPr>
  </w:style>
  <w:style w:type="character" w:styleId="916" w:customStyle="1">
    <w:name w:val="Footnote"/>
    <w:link w:val="915"/>
    <w:rPr>
      <w:rFonts w:ascii="XO Thames" w:hAnsi="XO Thames"/>
      <w:sz w:val="22"/>
    </w:rPr>
  </w:style>
  <w:style w:type="paragraph" w:styleId="917">
    <w:name w:val="toc 1"/>
    <w:next w:val="886"/>
    <w:link w:val="918"/>
    <w:uiPriority w:val="39"/>
    <w:rPr>
      <w:rFonts w:ascii="XO Thames" w:hAnsi="XO Thames"/>
      <w:b/>
      <w:sz w:val="28"/>
    </w:rPr>
  </w:style>
  <w:style w:type="character" w:styleId="918" w:customStyle="1">
    <w:name w:val="Оглавление 1 Знак"/>
    <w:link w:val="917"/>
    <w:rPr>
      <w:rFonts w:ascii="XO Thames" w:hAnsi="XO Thames"/>
      <w:b/>
      <w:sz w:val="28"/>
    </w:rPr>
  </w:style>
  <w:style w:type="paragraph" w:styleId="919" w:customStyle="1">
    <w:name w:val="Header and Footer"/>
    <w:link w:val="920"/>
    <w:pPr>
      <w:jc w:val="both"/>
      <w:spacing w:line="240" w:lineRule="auto"/>
    </w:pPr>
    <w:rPr>
      <w:rFonts w:ascii="XO Thames" w:hAnsi="XO Thames"/>
      <w:sz w:val="20"/>
    </w:rPr>
  </w:style>
  <w:style w:type="character" w:styleId="920" w:customStyle="1">
    <w:name w:val="Header and Footer"/>
    <w:link w:val="919"/>
    <w:rPr>
      <w:rFonts w:ascii="XO Thames" w:hAnsi="XO Thames"/>
      <w:sz w:val="20"/>
    </w:rPr>
  </w:style>
  <w:style w:type="paragraph" w:styleId="921" w:customStyle="1">
    <w:name w:val="Основной шрифт абзаца1"/>
  </w:style>
  <w:style w:type="paragraph" w:styleId="922">
    <w:name w:val="toc 9"/>
    <w:next w:val="886"/>
    <w:link w:val="923"/>
    <w:uiPriority w:val="39"/>
    <w:pPr>
      <w:ind w:left="1600"/>
    </w:pPr>
    <w:rPr>
      <w:rFonts w:ascii="XO Thames" w:hAnsi="XO Thames"/>
      <w:sz w:val="28"/>
    </w:rPr>
  </w:style>
  <w:style w:type="character" w:styleId="923" w:customStyle="1">
    <w:name w:val="Оглавление 9 Знак"/>
    <w:link w:val="922"/>
    <w:rPr>
      <w:rFonts w:ascii="XO Thames" w:hAnsi="XO Thames"/>
      <w:sz w:val="28"/>
    </w:rPr>
  </w:style>
  <w:style w:type="paragraph" w:styleId="924">
    <w:name w:val="toc 8"/>
    <w:next w:val="886"/>
    <w:link w:val="925"/>
    <w:uiPriority w:val="39"/>
    <w:pPr>
      <w:ind w:left="1400"/>
    </w:pPr>
    <w:rPr>
      <w:rFonts w:ascii="XO Thames" w:hAnsi="XO Thames"/>
      <w:sz w:val="28"/>
    </w:rPr>
  </w:style>
  <w:style w:type="character" w:styleId="925" w:customStyle="1">
    <w:name w:val="Оглавление 8 Знак"/>
    <w:link w:val="924"/>
    <w:rPr>
      <w:rFonts w:ascii="XO Thames" w:hAnsi="XO Thames"/>
      <w:sz w:val="28"/>
    </w:rPr>
  </w:style>
  <w:style w:type="paragraph" w:styleId="926">
    <w:name w:val="toc 5"/>
    <w:next w:val="886"/>
    <w:link w:val="927"/>
    <w:uiPriority w:val="39"/>
    <w:pPr>
      <w:ind w:left="800"/>
    </w:pPr>
    <w:rPr>
      <w:rFonts w:ascii="XO Thames" w:hAnsi="XO Thames"/>
      <w:sz w:val="28"/>
    </w:rPr>
  </w:style>
  <w:style w:type="character" w:styleId="927" w:customStyle="1">
    <w:name w:val="Оглавление 5 Знак"/>
    <w:link w:val="926"/>
    <w:rPr>
      <w:rFonts w:ascii="XO Thames" w:hAnsi="XO Thames"/>
      <w:sz w:val="28"/>
    </w:rPr>
  </w:style>
  <w:style w:type="paragraph" w:styleId="928">
    <w:name w:val="Subtitle"/>
    <w:next w:val="886"/>
    <w:link w:val="929"/>
    <w:uiPriority w:val="11"/>
    <w:qFormat/>
    <w:pPr>
      <w:jc w:val="both"/>
    </w:pPr>
    <w:rPr>
      <w:rFonts w:ascii="XO Thames" w:hAnsi="XO Thames"/>
      <w:i/>
      <w:sz w:val="24"/>
    </w:rPr>
  </w:style>
  <w:style w:type="character" w:styleId="929" w:customStyle="1">
    <w:name w:val="Подзаголовок Знак"/>
    <w:link w:val="928"/>
    <w:rPr>
      <w:rFonts w:ascii="XO Thames" w:hAnsi="XO Thames"/>
      <w:i/>
      <w:sz w:val="24"/>
    </w:rPr>
  </w:style>
  <w:style w:type="paragraph" w:styleId="930">
    <w:name w:val="Footer"/>
    <w:basedOn w:val="886"/>
    <w:link w:val="931"/>
    <w:pPr>
      <w:spacing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931" w:customStyle="1">
    <w:name w:val="Нижний колонтитул Знак"/>
    <w:basedOn w:val="895"/>
    <w:link w:val="930"/>
    <w:rPr>
      <w:rFonts w:ascii="Times New Roman" w:hAnsi="Times New Roman"/>
      <w:sz w:val="28"/>
    </w:rPr>
  </w:style>
  <w:style w:type="paragraph" w:styleId="932">
    <w:name w:val="Title"/>
    <w:next w:val="886"/>
    <w:link w:val="933"/>
    <w:uiPriority w:val="10"/>
    <w:qFormat/>
    <w:pPr>
      <w:jc w:val="center"/>
      <w:spacing w:before="567" w:after="567"/>
    </w:pPr>
    <w:rPr>
      <w:rFonts w:ascii="XO Thames" w:hAnsi="XO Thames"/>
      <w:b/>
      <w:caps/>
      <w:sz w:val="40"/>
    </w:rPr>
  </w:style>
  <w:style w:type="character" w:styleId="933" w:customStyle="1">
    <w:name w:val="Название Знак"/>
    <w:link w:val="932"/>
    <w:rPr>
      <w:rFonts w:ascii="XO Thames" w:hAnsi="XO Thames"/>
      <w:b/>
      <w:caps/>
      <w:sz w:val="40"/>
    </w:rPr>
  </w:style>
  <w:style w:type="paragraph" w:styleId="934">
    <w:name w:val="Balloon Text"/>
    <w:basedOn w:val="886"/>
    <w:link w:val="935"/>
    <w:pPr>
      <w:spacing w:after="0" w:line="240" w:lineRule="auto"/>
    </w:pPr>
    <w:rPr>
      <w:rFonts w:ascii="Segoe UI" w:hAnsi="Segoe UI"/>
      <w:sz w:val="18"/>
    </w:rPr>
  </w:style>
  <w:style w:type="character" w:styleId="935" w:customStyle="1">
    <w:name w:val="Текст выноски Знак"/>
    <w:basedOn w:val="895"/>
    <w:link w:val="934"/>
    <w:rPr>
      <w:rFonts w:ascii="Segoe UI" w:hAnsi="Segoe UI"/>
      <w:sz w:val="18"/>
    </w:rPr>
  </w:style>
  <w:style w:type="character" w:styleId="936" w:customStyle="1">
    <w:name w:val="Заголовок 4 Знак"/>
    <w:link w:val="890"/>
    <w:rPr>
      <w:rFonts w:ascii="XO Thames" w:hAnsi="XO Thames"/>
      <w:b/>
      <w:sz w:val="24"/>
    </w:rPr>
  </w:style>
  <w:style w:type="character" w:styleId="937" w:customStyle="1">
    <w:name w:val="Заголовок 2 Знак"/>
    <w:link w:val="888"/>
    <w:rPr>
      <w:rFonts w:ascii="XO Thames" w:hAnsi="XO Thames"/>
      <w:b/>
      <w:sz w:val="28"/>
    </w:rPr>
  </w:style>
  <w:style w:type="table" w:styleId="938">
    <w:name w:val="Table Grid"/>
    <w:basedOn w:val="893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39" w:customStyle="1">
    <w:name w:val="Сетка таблицы1"/>
    <w:basedOn w:val="893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40" w:customStyle="1">
    <w:name w:val="Сетка таблицы2"/>
    <w:basedOn w:val="893"/>
    <w:pPr>
      <w:spacing w:after="0" w:line="240" w:lineRule="auto"/>
    </w:pPr>
    <w:rPr>
      <w:rFonts w:ascii="Times New Roman" w:hAnsi="Times New Roman"/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41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 Дмитрий Игоревич</dc:creator>
  <cp:lastModifiedBy>kuznetsovaoy</cp:lastModifiedBy>
  <cp:revision>19</cp:revision>
  <dcterms:created xsi:type="dcterms:W3CDTF">2025-01-31T01:52:00Z</dcterms:created>
  <dcterms:modified xsi:type="dcterms:W3CDTF">2026-08-07T00:47:15Z</dcterms:modified>
</cp:coreProperties>
</file>