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C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D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E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F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10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1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1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14000000">
      <w:pPr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4"/>
        </w:trPr>
        <w:tc>
          <w:tcPr>
            <w:tcW w:type="dxa" w:w="4253"/>
            <w:tcBorders>
              <w:top w:sz="4" w:val="nil"/>
              <w:left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15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Borders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1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1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внесении изменений в </w:t>
      </w:r>
      <w:r>
        <w:rPr>
          <w:rFonts w:ascii="Times New Roman" w:hAnsi="Times New Roman"/>
          <w:b w:val="1"/>
          <w:sz w:val="28"/>
        </w:rPr>
        <w:t>постановление Правительства Камчатского края от 23.04.2018 № 168-П «О государственной программе Камчатского края «Оказание содействия добровольному переселению в Камчатский край соотечественников, проживающих за рубежом</w:t>
      </w:r>
      <w:r>
        <w:rPr>
          <w:rFonts w:ascii="Times New Roman" w:hAnsi="Times New Roman"/>
          <w:b w:val="1"/>
          <w:sz w:val="28"/>
        </w:rPr>
        <w:t>»</w:t>
      </w:r>
    </w:p>
    <w:p w14:paraId="1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Внести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постановление Правительства Камчатского края от 23.04.2018 № 168-П «О государственной программе Камчатского края </w:t>
      </w:r>
      <w:r>
        <w:rPr>
          <w:rFonts w:ascii="Times New Roman" w:hAnsi="Times New Roman"/>
          <w:sz w:val="28"/>
        </w:rPr>
        <w:t>«Оказание содействия добровольному переселению в Камчатский край соотечестве</w:t>
      </w:r>
      <w:r>
        <w:rPr>
          <w:rFonts w:ascii="Times New Roman" w:hAnsi="Times New Roman"/>
          <w:sz w:val="28"/>
        </w:rPr>
        <w:t>нников, проживающих за рубежом»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изменения согласно приложению к настоящему постановлению.</w:t>
      </w:r>
    </w:p>
    <w:p w14:paraId="1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вступает в силу после дня его официального опубликования.</w:t>
      </w:r>
    </w:p>
    <w:p w14:paraId="2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Ind w:type="dxa" w:w="-34"/>
        <w:tblLayout w:type="fixed"/>
        <w:tblCellMar>
          <w:left w:type="dxa" w:w="0"/>
          <w:right w:type="dxa" w:w="0"/>
        </w:tblCellMar>
      </w:tblPr>
      <w:tblGrid>
        <w:gridCol w:w="3578"/>
        <w:gridCol w:w="3544"/>
        <w:gridCol w:w="2551"/>
      </w:tblGrid>
      <w:tr>
        <w:trPr>
          <w:trHeight w:hRule="atLeast" w:val="2220"/>
        </w:trPr>
        <w:tc>
          <w:tcPr>
            <w:tcW w:type="dxa" w:w="3578"/>
            <w:shd w:fill="auto" w:val="clear"/>
            <w:tcMar>
              <w:left w:type="dxa" w:w="0"/>
              <w:right w:type="dxa" w:w="0"/>
            </w:tcMar>
          </w:tcPr>
          <w:p w14:paraId="23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24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25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  <w:p w14:paraId="26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  <w:tc>
          <w:tcPr>
            <w:tcW w:type="dxa" w:w="3544"/>
            <w:shd w:fill="auto" w:val="clear"/>
            <w:tcMar>
              <w:left w:type="dxa" w:w="0"/>
              <w:right w:type="dxa" w:w="0"/>
            </w:tcMar>
          </w:tcPr>
          <w:p w14:paraId="27000000">
            <w:pPr>
              <w:spacing w:after="0" w:line="240" w:lineRule="auto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8000000">
            <w:pPr>
              <w:spacing w:after="0" w:line="240" w:lineRule="auto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9000000">
            <w:pPr>
              <w:spacing w:after="0" w:line="240" w:lineRule="auto"/>
              <w:ind w:firstLine="0" w:left="-1130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type="dxa" w:w="2551"/>
            <w:shd w:fill="auto" w:val="clear"/>
            <w:tcMar>
              <w:left w:type="dxa" w:w="0"/>
              <w:right w:type="dxa" w:w="0"/>
            </w:tcMar>
          </w:tcPr>
          <w:p w14:paraId="2A000000">
            <w:pPr>
              <w:spacing w:after="0" w:line="240" w:lineRule="auto"/>
              <w:ind w:right="135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B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Ю.С. Морозова</w:t>
            </w:r>
          </w:p>
        </w:tc>
      </w:tr>
    </w:tbl>
    <w:p w14:paraId="2D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Style_5"/>
        <w:tblW w:type="auto" w:w="0"/>
        <w:tblLayout w:type="fixed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E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F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0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1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2000000">
            <w:pPr>
              <w:widowControl w:val="0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к постановлению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3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4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5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6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7000000">
            <w:pPr>
              <w:widowControl w:val="0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Правительства Камчатского края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8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9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A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B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C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D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E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F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40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Изменения </w:t>
      </w:r>
    </w:p>
    <w:p w14:paraId="4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постановление Правительства Камчатского края от 23.04.2018 № 168-П </w:t>
      </w:r>
    </w:p>
    <w:p w14:paraId="44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 государственной программе Камчатского края «Оказание содействия добровольному переселению в Камчатский край соотечественников, проживающих за рубежом»</w:t>
      </w:r>
    </w:p>
    <w:p w14:paraId="4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4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 приложении:</w:t>
      </w:r>
    </w:p>
    <w:p w14:paraId="4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 в разделе «Паспорт программы» </w:t>
      </w:r>
      <w:r>
        <w:rPr>
          <w:rFonts w:ascii="Times New Roman" w:hAnsi="Times New Roman"/>
          <w:sz w:val="28"/>
        </w:rPr>
        <w:t>государственной программ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Камчатского края «Оказание содействия добровольному переселению в Камчатский край соотечественников, проживающих за рубежом»</w:t>
      </w:r>
      <w:r>
        <w:rPr>
          <w:rFonts w:ascii="Times New Roman" w:hAnsi="Times New Roman"/>
          <w:sz w:val="28"/>
        </w:rPr>
        <w:t xml:space="preserve"> (далее – Программа):</w:t>
      </w:r>
    </w:p>
    <w:p w14:paraId="4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</w:t>
      </w:r>
      <w:r>
        <w:rPr>
          <w:rFonts w:ascii="Times New Roman" w:hAnsi="Times New Roman"/>
          <w:sz w:val="28"/>
        </w:rPr>
        <w:t> н</w:t>
      </w:r>
      <w:r>
        <w:rPr>
          <w:rFonts w:ascii="Times New Roman" w:hAnsi="Times New Roman"/>
          <w:sz w:val="28"/>
        </w:rPr>
        <w:t>аименование раздела изложить в следующей редакции: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«1. Паспорт программы»;</w:t>
      </w:r>
    </w:p>
    <w:p w14:paraId="49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пункт 1 позиции «Ожидаемые конечные результаты реализации Программы» изложить в следующей редакции:</w:t>
      </w:r>
    </w:p>
    <w:tbl>
      <w:tblPr>
        <w:tblStyle w:val="Style_4"/>
        <w:tblW w:type="auto" w:w="0"/>
        <w:tblInd w:type="dxa" w:w="-5"/>
        <w:tblLayout w:type="fixed"/>
        <w:tblCellMar>
          <w:top w:type="dxa" w:w="0"/>
          <w:left w:type="dxa" w:w="62"/>
          <w:bottom w:type="dxa" w:w="0"/>
          <w:right w:type="dxa" w:w="62"/>
        </w:tblCellMar>
      </w:tblPr>
      <w:tblGrid>
        <w:gridCol w:w="9781"/>
      </w:tblGrid>
      <w:tr>
        <w:trPr>
          <w:trHeight w:hRule="atLeast" w:val="5916"/>
        </w:trPr>
        <w:tc>
          <w:tcPr>
            <w:tcW w:type="dxa" w:w="9781"/>
            <w:shd w:fill="auto" w:val="clear"/>
            <w:tcMar>
              <w:top w:type="dxa" w:w="0"/>
              <w:left w:type="dxa" w:w="62"/>
              <w:bottom w:type="dxa" w:w="0"/>
              <w:right w:type="dxa" w:w="62"/>
            </w:tcMar>
          </w:tcPr>
          <w:p w14:paraId="4A000000">
            <w:pPr>
              <w:spacing w:after="0" w:line="240" w:lineRule="auto"/>
              <w:ind w:firstLine="709" w:left="0"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1) численность участников Государственной программы и членов их семей, переселившихся в Камчатский край поставленных на учет в УМВД России по Камчатскому краю, составит не менее 2 650 соотечественников, из них 1 325 участников Государственной программы и 1 325 членов их семей, в том числе с разбивкой по годам:</w:t>
            </w:r>
          </w:p>
          <w:p w14:paraId="4B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 – 150 участников и 150 членов семей;</w:t>
            </w:r>
          </w:p>
          <w:p w14:paraId="4C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 – 150 участников и 150 членов семей;</w:t>
            </w:r>
          </w:p>
          <w:p w14:paraId="4D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150 участников и 150 членов семей;</w:t>
            </w:r>
          </w:p>
          <w:p w14:paraId="4E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150 участников и 150 членов семей;</w:t>
            </w:r>
          </w:p>
          <w:p w14:paraId="4F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150 участников и 150 членов семей;</w:t>
            </w:r>
          </w:p>
          <w:p w14:paraId="50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150 участников и 150 членов семей;</w:t>
            </w:r>
          </w:p>
          <w:p w14:paraId="51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150 участников и 150 членов семей;</w:t>
            </w:r>
          </w:p>
          <w:p w14:paraId="52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75 участников и 75 членов семей;</w:t>
            </w:r>
          </w:p>
          <w:p w14:paraId="53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40 участников и 40 членов семей;</w:t>
            </w:r>
          </w:p>
          <w:p w14:paraId="54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– 40 участников и 40 членов семей;</w:t>
            </w:r>
          </w:p>
          <w:p w14:paraId="55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 – 40 участников и 40 членов семей;</w:t>
            </w:r>
          </w:p>
          <w:p w14:paraId="56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2029 год – 40 участников и 40 членов семей;</w:t>
            </w:r>
          </w:p>
          <w:p w14:paraId="5700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год – 40</w:t>
            </w:r>
            <w:r>
              <w:rPr>
                <w:rFonts w:ascii="Times New Roman" w:hAnsi="Times New Roman"/>
                <w:sz w:val="28"/>
              </w:rPr>
              <w:t xml:space="preserve"> участников и 40 членов семей;»;</w:t>
            </w:r>
          </w:p>
        </w:tc>
      </w:tr>
    </w:tbl>
    <w:p w14:paraId="58000000">
      <w:pPr>
        <w:spacing w:after="0" w:line="240" w:lineRule="auto"/>
        <w:ind w:firstLine="709" w:left="0" w:righ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в наименовании раздела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«Общая характеристика сферы реализации Программы» Программы цифру «1» заменить цифрой «2»;</w:t>
      </w:r>
    </w:p>
    <w:p w14:paraId="59000000">
      <w:pPr>
        <w:spacing w:after="0" w:line="240" w:lineRule="auto"/>
        <w:ind w:firstLine="709" w:left="0" w:righ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в наименовании раздела 2 «Цели, задачи, сроки (этапы) и показатели (индикаторы) достижения целей и решения задач Программы» Программы цифру «2» заменить цифрой «3»;</w:t>
      </w:r>
    </w:p>
    <w:p w14:paraId="5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в разделе 3 «Основные мероприятия по реализации Программы» Программы:</w:t>
      </w:r>
    </w:p>
    <w:p w14:paraId="5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</w:t>
      </w:r>
      <w:r>
        <w:rPr>
          <w:rFonts w:ascii="Times New Roman" w:hAnsi="Times New Roman"/>
          <w:sz w:val="28"/>
        </w:rPr>
        <w:t xml:space="preserve"> наименовании раздела цифру «3» заменить цифрой «4»;</w:t>
      </w:r>
    </w:p>
    <w:p w14:paraId="5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</w:t>
      </w:r>
      <w:r>
        <w:rPr>
          <w:rFonts w:ascii="Times New Roman" w:hAnsi="Times New Roman"/>
          <w:sz w:val="28"/>
        </w:rPr>
        <w:t>ункт</w:t>
      </w:r>
      <w:r>
        <w:rPr>
          <w:rFonts w:ascii="Times New Roman" w:hAnsi="Times New Roman"/>
          <w:sz w:val="28"/>
        </w:rPr>
        <w:t xml:space="preserve"> 23 дополнить абзацем </w:t>
      </w:r>
      <w:r>
        <w:rPr>
          <w:rFonts w:ascii="Times New Roman" w:hAnsi="Times New Roman"/>
          <w:sz w:val="28"/>
        </w:rPr>
        <w:t>следующего содержания:</w:t>
      </w:r>
    </w:p>
    <w:p w14:paraId="5D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«Мероприятия, указанные в данном разделе, распространяются также на участников Государственной программы и членов их семей из числа репатриантов.»;</w:t>
      </w:r>
    </w:p>
    <w:p w14:paraId="5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 в наименовании раздела 4 «Объемы финансовых ресурсов на реализацию Программы» Программы цифру «4» заменить цифрой «5».</w:t>
      </w:r>
    </w:p>
    <w:p w14:paraId="5F000000">
      <w:pPr>
        <w:spacing w:after="0" w:line="240" w:lineRule="auto"/>
        <w:ind w:firstLine="709" w:left="0" w:righ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 в наименовании раздела 5 «Оценка планируемой эффективности и риски реализации Программы» Программы цифру «5» заменить цифрой «6»;</w:t>
      </w:r>
    </w:p>
    <w:p w14:paraId="60000000">
      <w:pPr>
        <w:spacing w:after="0" w:line="240" w:lineRule="auto"/>
        <w:ind w:firstLine="709" w:left="0"/>
        <w:jc w:val="both"/>
        <w:rPr>
          <w:sz w:val="28"/>
        </w:rPr>
      </w:pPr>
      <w:r>
        <w:rPr>
          <w:rFonts w:ascii="Times New Roman" w:hAnsi="Times New Roman"/>
          <w:sz w:val="28"/>
        </w:rPr>
        <w:t>7) п</w:t>
      </w:r>
      <w:r>
        <w:rPr>
          <w:rFonts w:ascii="Times New Roman" w:hAnsi="Times New Roman"/>
          <w:sz w:val="28"/>
        </w:rPr>
        <w:t>риложение 1 к Программе изложить в следующей редакции:</w:t>
      </w:r>
    </w:p>
    <w:p w14:paraId="61000000">
      <w:pPr>
        <w:spacing w:after="0" w:line="240" w:lineRule="auto"/>
        <w:ind w:firstLine="709" w:left="0" w:right="-142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            «Приложение 1 </w:t>
      </w:r>
    </w:p>
    <w:p w14:paraId="62000000">
      <w:pPr>
        <w:spacing w:line="240" w:lineRule="auto"/>
        <w:ind w:firstLine="0" w:left="5529" w:right="-142"/>
        <w:jc w:val="both"/>
        <w:rPr>
          <w:sz w:val="28"/>
        </w:rPr>
      </w:pPr>
      <w:r>
        <w:rPr>
          <w:rFonts w:ascii="Times New Roman" w:hAnsi="Times New Roman"/>
          <w:sz w:val="28"/>
        </w:rPr>
        <w:t>к государственной программе Камчатского края «Оказание содействия добровольному переселению в Камчатский край соотечественников, проживающих за рубежом»</w:t>
      </w:r>
    </w:p>
    <w:p w14:paraId="6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A000000">
      <w:pPr>
        <w:sectPr>
          <w:headerReference r:id="rId3" w:type="default"/>
          <w:pgSz w:h="16838" w:orient="portrait" w:w="11906"/>
          <w:pgMar w:bottom="1134" w:footer="709" w:gutter="0" w:header="709" w:left="1418" w:right="851" w:top="1134"/>
          <w:titlePg/>
        </w:sectPr>
      </w:pPr>
    </w:p>
    <w:p w14:paraId="7B000000">
      <w:pPr>
        <w:spacing w:after="0" w:line="240" w:lineRule="auto"/>
        <w:ind w:right="-142"/>
        <w:jc w:val="center"/>
        <w:rPr>
          <w:rFonts w:ascii="Times New Roman" w:hAnsi="Times New Roman"/>
          <w:sz w:val="28"/>
        </w:rPr>
      </w:pPr>
    </w:p>
    <w:p w14:paraId="7C000000">
      <w:pPr>
        <w:spacing w:after="0" w:line="240" w:lineRule="auto"/>
        <w:ind w:right="-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Целевые показатели (индикаторы) </w:t>
      </w:r>
    </w:p>
    <w:p w14:paraId="7D000000">
      <w:pPr>
        <w:spacing w:after="0" w:line="240" w:lineRule="auto"/>
        <w:ind w:firstLine="709" w:left="0" w:right="-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реализации государственной программы Камчатского края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«Оказание содействия добровольному переселению в Камчатский край </w:t>
      </w:r>
    </w:p>
    <w:p w14:paraId="7E000000">
      <w:pPr>
        <w:spacing w:after="0" w:line="240" w:lineRule="auto"/>
        <w:ind w:firstLine="709" w:left="0" w:right="-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соотечественников, проживающих за рубежом» </w:t>
      </w:r>
    </w:p>
    <w:tbl>
      <w:tblPr>
        <w:tblStyle w:val="Style_4"/>
        <w:tblW w:type="auto" w:w="0"/>
        <w:tblInd w:type="dxa" w:w="-28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7"/>
        <w:gridCol w:w="2419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11"/>
        <w:gridCol w:w="709"/>
        <w:gridCol w:w="850"/>
        <w:gridCol w:w="709"/>
        <w:gridCol w:w="709"/>
        <w:gridCol w:w="711"/>
        <w:gridCol w:w="567"/>
      </w:tblGrid>
      <w:tr>
        <w:trPr>
          <w:trHeight w:hRule="atLeast" w:val="168"/>
        </w:trPr>
        <w:tc>
          <w:tcPr>
            <w:tcW w:type="dxa" w:w="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</w:p>
          <w:p w14:paraId="80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type="dxa" w:w="24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spacing w:after="0"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Цели, задачи реализации Программы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показатели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 изм.</w:t>
            </w:r>
          </w:p>
        </w:tc>
        <w:tc>
          <w:tcPr>
            <w:tcW w:type="dxa" w:w="7798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Отчетный период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(текущий показатель предыдущих лет)</w:t>
            </w:r>
          </w:p>
        </w:tc>
        <w:tc>
          <w:tcPr>
            <w:tcW w:type="dxa" w:w="368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Плановый период </w:t>
            </w:r>
            <w:r>
              <w:rPr>
                <w:rFonts w:ascii="Times New Roman" w:hAnsi="Times New Roman"/>
                <w:sz w:val="20"/>
              </w:rPr>
              <w:t>(плановый показатель)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0"/>
              <w:spacing w:after="0"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</w:t>
            </w:r>
          </w:p>
          <w:p w14:paraId="86000000">
            <w:pPr>
              <w:widowControl w:val="0"/>
              <w:spacing w:after="0"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вое значе</w:t>
            </w:r>
          </w:p>
          <w:p w14:paraId="87000000">
            <w:pPr>
              <w:widowControl w:val="0"/>
              <w:spacing w:after="0"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ние</w:t>
            </w:r>
          </w:p>
        </w:tc>
      </w:tr>
      <w:tr>
        <w:tc>
          <w:tcPr>
            <w:tcW w:type="dxa" w:w="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4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2015 </w:t>
            </w:r>
          </w:p>
          <w:p w14:paraId="89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2016 </w:t>
            </w:r>
          </w:p>
          <w:p w14:paraId="8B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2017 </w:t>
            </w:r>
          </w:p>
          <w:p w14:paraId="8D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2018 </w:t>
            </w:r>
          </w:p>
          <w:p w14:paraId="8F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2019 </w:t>
            </w:r>
          </w:p>
          <w:p w14:paraId="91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2020 </w:t>
            </w:r>
          </w:p>
          <w:p w14:paraId="93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2021 </w:t>
            </w:r>
          </w:p>
          <w:p w14:paraId="95000000">
            <w:pPr>
              <w:widowControl w:val="0"/>
              <w:spacing w:line="240" w:lineRule="auto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spacing w:line="240" w:lineRule="auto"/>
              <w:ind w:firstLine="0" w:left="-79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  <w:p w14:paraId="97000000">
            <w:pPr>
              <w:widowControl w:val="0"/>
              <w:spacing w:line="240" w:lineRule="auto"/>
              <w:ind w:firstLine="0" w:left="-79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  <w:p w14:paraId="9900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</w:p>
          <w:p w14:paraId="9B00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  <w:p w14:paraId="9D00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 год</w:t>
            </w:r>
          </w:p>
        </w:tc>
        <w:tc>
          <w:tcPr>
            <w:tcW w:type="dxa" w:w="7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 год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A3000000">
      <w:pPr>
        <w:rPr>
          <w:rFonts w:ascii="Times New Roman" w:hAnsi="Times New Roman"/>
          <w:sz w:val="2"/>
        </w:rPr>
      </w:pPr>
    </w:p>
    <w:tbl>
      <w:tblPr>
        <w:tblStyle w:val="Style_4"/>
        <w:tblW w:type="auto" w:w="0"/>
        <w:tblInd w:type="dxa" w:w="-28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7"/>
        <w:gridCol w:w="2419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  <w:gridCol w:w="567"/>
      </w:tblGrid>
      <w:tr>
        <w:tc>
          <w:tcPr>
            <w:tcW w:type="dxa" w:w="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spacing w:after="0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spacing w:after="0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spacing w:after="0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spacing w:after="0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spacing w:after="0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spacing w:after="0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spacing w:after="0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spacing w:after="0"/>
              <w:ind w:firstLine="0" w:left="-108" w:right="-13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spacing w:after="0"/>
              <w:ind w:firstLine="0" w:left="-79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</w:tr>
      <w:tr>
        <w:trPr>
          <w:trHeight w:hRule="atLeast" w:val="479"/>
        </w:trPr>
        <w:tc>
          <w:tcPr>
            <w:tcW w:type="dxa" w:w="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type="dxa" w:w="15035"/>
            <w:gridSpan w:val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spacing w:after="0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Цель 1. Обеспечение реализации в Камчатском крае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 июня 2006 № 637 (далее – Государственная программа)</w:t>
            </w:r>
          </w:p>
        </w:tc>
      </w:tr>
      <w:tr>
        <w:trPr>
          <w:trHeight w:hRule="atLeast" w:val="1934"/>
        </w:trPr>
        <w:tc>
          <w:tcPr>
            <w:tcW w:type="dxa" w:w="41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type="dxa" w:w="241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Численность участников Государственной программы и членов их семей, переселившихся в Камчатский край и поставленных на учет в УМВД России по Камчатскому краю</w:t>
            </w:r>
          </w:p>
        </w:tc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чел.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490</w:t>
            </w:r>
          </w:p>
        </w:tc>
        <w:tc>
          <w:tcPr>
            <w:tcW w:type="dxa" w:w="70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334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289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468</w:t>
            </w:r>
          </w:p>
        </w:tc>
        <w:tc>
          <w:tcPr>
            <w:tcW w:type="dxa" w:w="70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334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440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415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287</w:t>
            </w:r>
          </w:p>
        </w:tc>
        <w:tc>
          <w:tcPr>
            <w:tcW w:type="dxa" w:w="70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196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 менее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2 650</w:t>
            </w:r>
          </w:p>
        </w:tc>
      </w:tr>
      <w:tr>
        <w:trPr>
          <w:trHeight w:hRule="atLeast" w:val="315"/>
        </w:trPr>
        <w:tc>
          <w:tcPr>
            <w:tcW w:type="dxa" w:w="417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type="dxa" w:w="15035"/>
            <w:gridSpan w:val="1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Задача 1.1. Закрепление переселившихся участников Государственной программы и членов их семей на территории Камчатского края и обеспечение их социально-культурной адаптации в российское сообщество</w:t>
            </w:r>
          </w:p>
        </w:tc>
      </w:tr>
      <w:tr>
        <w:trPr>
          <w:trHeight w:hRule="atLeast" w:val="1184"/>
        </w:trPr>
        <w:tc>
          <w:tcPr>
            <w:tcW w:type="dxa" w:w="417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type="dxa" w:w="241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участников Государственной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>HYPERLINK "consultantplus://offline/ref=994E993D508EFEA433CC7A64D156CF89B1BC1F78998DECE2F512D1D352687D055EB834hCQEF" \o "consultantplus://offline/ref=994E993D508EFEA433CC7A64D156CF89B1BC1F78998DECE2F512D1D352687D055EB834hCQEF"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t>программы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 и членов их семей, которым выделены жилые помещения для временного размещения на срок не более 6 месяцев либо компенсированы расходы за коммерческий наем жилья за период, не </w:t>
            </w:r>
            <w:r>
              <w:rPr>
                <w:rFonts w:ascii="Times New Roman" w:hAnsi="Times New Roman"/>
                <w:sz w:val="20"/>
              </w:rPr>
              <w:t xml:space="preserve">превышающий 6 месяцев, в общей численности участников Государственной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>HYPERLINK "consultantplus://offline/ref=994E993D508EFEA433CC7A64D156CF89B1BC1F78998DECE2F512D1D352687D055EB834hCQEF" \o "consultantplus://offline/ref=994E993D508EFEA433CC7A64D156CF89B1BC1F78998DECE2F512D1D352687D055EB834hCQEF"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t>программы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переселившихся в Камчатский край и поставленных на учет в УМВД России по Камчатскому краю</w:t>
            </w:r>
          </w:p>
        </w:tc>
        <w:tc>
          <w:tcPr>
            <w:tcW w:type="dxa" w:w="567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25,0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32,6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43,6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28,4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30,2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25,3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30,7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34,2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менее</w:t>
            </w:r>
          </w:p>
          <w:p w14:paraId="E4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25,0</w:t>
            </w:r>
          </w:p>
        </w:tc>
      </w:tr>
      <w:tr>
        <w:trPr>
          <w:trHeight w:hRule="atLeast" w:val="948"/>
        </w:trPr>
        <w:tc>
          <w:tcPr>
            <w:tcW w:type="dxa" w:w="41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type="dxa" w:w="241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spacing w:after="0"/>
              <w:ind/>
              <w:contextualSpacing w:val="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участников Государственной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>HYPERLINK "consultantplus://offline/ref=994E993D508EFEA433CC7A64D156CF89B1BC1F78998DECE2F512D1D352687D055EB834hCQEF" \o "consultantplus://offline/ref=994E993D508EFEA433CC7A64D156CF89B1BC1F78998DECE2F512D1D352687D055EB834hCQEF"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t>программы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 и членов их семей, постоянно жилищно-обустроенных, в общей численности участников Государственной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>HYPERLINK "consultantplus://offline/ref=994E993D508EFEA433CC7A64D156CF89B1BC1F78998DECE2F512D1D352687D055EB834hCQEF" \o "consultantplus://offline/ref=994E993D508EFEA433CC7A64D156CF89B1BC1F78998DECE2F512D1D352687D055EB834hCQEF"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t>программы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 и членов их семей, переселившихся в Камчатский край и поставленных на учет в УМВД России по Камчатскому краю</w:t>
            </w:r>
          </w:p>
        </w:tc>
        <w:tc>
          <w:tcPr>
            <w:tcW w:type="dxa" w:w="56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2,1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7,6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7,5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22,2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5,7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5,8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8,0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3,1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14,4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  <w:tc>
          <w:tcPr>
            <w:tcW w:type="dxa" w:w="85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  <w:tc>
          <w:tcPr>
            <w:tcW w:type="dxa" w:w="56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менее</w:t>
            </w:r>
          </w:p>
          <w:p w14:paraId="F9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</w:tr>
      <w:tr>
        <w:trPr>
          <w:trHeight w:hRule="atLeast" w:val="248"/>
        </w:trPr>
        <w:tc>
          <w:tcPr>
            <w:tcW w:type="dxa" w:w="417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type="dxa" w:w="15035"/>
            <w:gridSpan w:val="19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spacing w:after="0"/>
              <w:ind/>
              <w:contextualSpacing w:val="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Цель 2. Обеспечение социально-экономического развития Камчатского края</w:t>
            </w:r>
          </w:p>
        </w:tc>
      </w:tr>
      <w:tr>
        <w:trPr>
          <w:trHeight w:hRule="atLeast" w:val="719"/>
        </w:trPr>
        <w:tc>
          <w:tcPr>
            <w:tcW w:type="dxa" w:w="4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type="dxa" w:w="2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/>
              <w:ind/>
              <w:contextualSpacing w:val="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участников Государственной программы и членов их семей трудоспособного возраста в общей численности участников Государственной программы и членов их семей, переселившихся в Камчатский край и </w:t>
            </w:r>
            <w:r>
              <w:rPr>
                <w:rFonts w:ascii="Times New Roman" w:hAnsi="Times New Roman"/>
                <w:sz w:val="20"/>
              </w:rPr>
              <w:t>поставленных на учет в УМВД России по Камчатскому краю</w:t>
            </w:r>
          </w:p>
        </w:tc>
        <w:tc>
          <w:tcPr>
            <w:tcW w:type="dxa" w:w="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66,0</w:t>
            </w:r>
          </w:p>
        </w:tc>
        <w:tc>
          <w:tcPr>
            <w:tcW w:type="dxa" w:w="7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82,0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76,7</w:t>
            </w:r>
          </w:p>
        </w:tc>
        <w:tc>
          <w:tcPr>
            <w:tcW w:type="dxa" w:w="7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83,2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73,6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spacing w:after="0"/>
              <w:ind w:hanging="284" w:left="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66,0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60,3</w:t>
            </w:r>
          </w:p>
        </w:tc>
        <w:tc>
          <w:tcPr>
            <w:tcW w:type="dxa" w:w="7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60,6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70,0</w:t>
            </w:r>
          </w:p>
        </w:tc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70,0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70,0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70,0</w:t>
            </w: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70,0</w:t>
            </w:r>
          </w:p>
        </w:tc>
        <w:tc>
          <w:tcPr>
            <w:tcW w:type="dxa" w:w="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менее 70,0</w:t>
            </w:r>
          </w:p>
        </w:tc>
      </w:tr>
      <w:tr>
        <w:trPr>
          <w:trHeight w:hRule="atLeast" w:val="492"/>
        </w:trPr>
        <w:tc>
          <w:tcPr>
            <w:tcW w:type="dxa" w:w="417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type="dxa" w:w="15035"/>
            <w:gridSpan w:val="1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spacing w:after="0"/>
              <w:ind/>
              <w:contextualSpacing w:val="1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Задача 2.1. Сокращение дефицита трудовых ресурсов</w:t>
            </w:r>
          </w:p>
        </w:tc>
      </w:tr>
      <w:tr>
        <w:trPr>
          <w:trHeight w:hRule="atLeast" w:val="2198"/>
        </w:trPr>
        <w:tc>
          <w:tcPr>
            <w:tcW w:type="dxa" w:w="41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type="dxa" w:w="241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spacing w:after="0"/>
              <w:ind/>
              <w:contextualSpacing w:val="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занятых участников Государственной программы и членов их семей, в том числе работающих по найму, осуществляющих предпринимательскую деятельность в качестве индивидуальных предпринимателей и глав крестьянских (фермерских) хозяйств, в общей численности трудоспособных соотечественников, переселившихся в Камчатский край в рамках Государственной программы и поставленных на учет в УМВД России по Камчатскому краю</w:t>
            </w:r>
          </w:p>
        </w:tc>
        <w:tc>
          <w:tcPr>
            <w:tcW w:type="dxa" w:w="56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77,0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85,9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81,9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85,6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73,2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70,1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73,4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79,4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</w:t>
            </w:r>
          </w:p>
        </w:tc>
        <w:tc>
          <w:tcPr>
            <w:tcW w:type="dxa" w:w="85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</w:t>
            </w:r>
          </w:p>
        </w:tc>
        <w:tc>
          <w:tcPr>
            <w:tcW w:type="dxa" w:w="56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менее 73,0</w:t>
            </w:r>
          </w:p>
        </w:tc>
      </w:tr>
      <w:tr>
        <w:trPr>
          <w:trHeight w:hRule="atLeast" w:val="368"/>
        </w:trPr>
        <w:tc>
          <w:tcPr>
            <w:tcW w:type="dxa" w:w="417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spacing w:after="0"/>
              <w:ind w:hanging="567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     110.</w:t>
            </w:r>
          </w:p>
        </w:tc>
        <w:tc>
          <w:tcPr>
            <w:tcW w:type="dxa" w:w="15035"/>
            <w:gridSpan w:val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spacing w:after="0"/>
              <w:ind/>
              <w:contextualSpacing w:val="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Задача 2.2. Развитие малого и среднего бизнеса</w:t>
            </w:r>
          </w:p>
        </w:tc>
      </w:tr>
      <w:tr>
        <w:trPr>
          <w:trHeight w:hRule="atLeast" w:val="197"/>
        </w:trPr>
        <w:tc>
          <w:tcPr>
            <w:tcW w:type="dxa" w:w="417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spacing w:after="0"/>
              <w:ind w:hanging="567" w:left="42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11.         11.</w:t>
            </w:r>
          </w:p>
        </w:tc>
        <w:tc>
          <w:tcPr>
            <w:tcW w:type="dxa" w:w="2419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spacing w:after="0"/>
              <w:ind/>
              <w:contextualSpacing w:val="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участников Государственной программы и членов их семей, осуществляющих предпринимательскую деятельность в качестве индивидуальных </w:t>
            </w:r>
            <w:r>
              <w:rPr>
                <w:rFonts w:ascii="Times New Roman" w:hAnsi="Times New Roman"/>
                <w:sz w:val="20"/>
              </w:rPr>
              <w:t>предпринимателей и глав крестьянских (фермерских) хозяйств, в общей численности участников Государственной программы и членов их семей, трудоустроенных в Камчатском крае</w:t>
            </w:r>
          </w:p>
        </w:tc>
        <w:tc>
          <w:tcPr>
            <w:tcW w:type="dxa" w:w="567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9,5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7,3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3,9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5,4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9,5</w:t>
            </w:r>
          </w:p>
        </w:tc>
        <w:tc>
          <w:tcPr>
            <w:tcW w:type="dxa" w:w="850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9,5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9,5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9,5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9,5</w:t>
            </w:r>
          </w:p>
        </w:tc>
        <w:tc>
          <w:tcPr>
            <w:tcW w:type="dxa" w:w="567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менее 9,5%</w:t>
            </w:r>
          </w:p>
        </w:tc>
      </w:tr>
      <w:tr>
        <w:trPr>
          <w:trHeight w:hRule="atLeast" w:val="379"/>
        </w:trPr>
        <w:tc>
          <w:tcPr>
            <w:tcW w:type="dxa" w:w="417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spacing w:after="0"/>
              <w:ind w:hanging="708" w:left="42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12.</w:t>
            </w:r>
          </w:p>
        </w:tc>
        <w:tc>
          <w:tcPr>
            <w:tcW w:type="dxa" w:w="15035"/>
            <w:gridSpan w:val="19"/>
            <w:tcBorders>
              <w:top w:color="000000" w:sz="6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spacing w:after="0"/>
              <w:ind/>
              <w:contextualSpacing w:val="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Задача 2.3. Увеличение числа квалифицированных специалистов</w:t>
            </w:r>
          </w:p>
        </w:tc>
      </w:tr>
      <w:tr>
        <w:trPr>
          <w:trHeight w:hRule="atLeast" w:val="2198"/>
        </w:trPr>
        <w:tc>
          <w:tcPr>
            <w:tcW w:type="dxa" w:w="41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spacing w:after="0"/>
              <w:ind w:hanging="142" w:left="-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13.</w:t>
            </w:r>
          </w:p>
        </w:tc>
        <w:tc>
          <w:tcPr>
            <w:tcW w:type="dxa" w:w="241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spacing w:after="0"/>
              <w:ind/>
              <w:contextualSpacing w:val="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участников Государственной программы и членов их семей, получивших финансовую поддержку за прохождение процедуры признания образования и (или) квалификации, признания ученых степеней, ученых званий, полученных в иностранном государстве, сертификации, а также получение дополнительного профессионального образования в общей численности участников Государственной программы и членов их семей, трудоустроенных в Камчатском крае</w:t>
            </w:r>
          </w:p>
        </w:tc>
        <w:tc>
          <w:tcPr>
            <w:tcW w:type="dxa" w:w="56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3,7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2,4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4,4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2,1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6,3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5,5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4,3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type="dxa" w:w="85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type="dxa" w:w="56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менее 2,5</w:t>
            </w:r>
          </w:p>
        </w:tc>
      </w:tr>
      <w:tr>
        <w:trPr>
          <w:trHeight w:hRule="atLeast" w:val="384"/>
        </w:trPr>
        <w:tc>
          <w:tcPr>
            <w:tcW w:type="dxa" w:w="417"/>
            <w:tcBorders>
              <w:top w:sz="4" w:val="nil"/>
              <w:left w:color="000000" w:sz="4" w:val="single"/>
              <w:bottom w:color="767171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spacing w:after="0"/>
              <w:ind w:hanging="566" w:left="28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14.</w:t>
            </w:r>
          </w:p>
        </w:tc>
        <w:tc>
          <w:tcPr>
            <w:tcW w:type="dxa" w:w="15035"/>
            <w:gridSpan w:val="19"/>
            <w:tcBorders>
              <w:top w:color="000000" w:sz="4" w:val="single"/>
              <w:left w:color="000000" w:sz="4" w:val="single"/>
              <w:bottom w:color="767171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spacing w:after="0"/>
              <w:ind/>
              <w:contextualSpacing w:val="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Цель 3. Улучшение демографической ситуации Камчатского края</w:t>
            </w:r>
          </w:p>
        </w:tc>
      </w:tr>
      <w:tr>
        <w:trPr>
          <w:trHeight w:hRule="atLeast" w:val="2198"/>
        </w:trPr>
        <w:tc>
          <w:tcPr>
            <w:tcW w:type="dxa" w:w="417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spacing w:after="0"/>
              <w:ind w:hanging="566" w:left="28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15.</w:t>
            </w:r>
          </w:p>
        </w:tc>
        <w:tc>
          <w:tcPr>
            <w:tcW w:type="dxa" w:w="2419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spacing w:after="0"/>
              <w:ind/>
              <w:contextualSpacing w:val="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участников Государственной программы и членов их семей, выехавших на постоянное место жительства из Камчатского края ранее 3 лет со дня постановки на учет в УМВД России по Камчатскому краю в качестве участника Государственной программы и (или) члена его семьи, в общей численности участников Государственной программы и членов их семей, переселившихся в Камчатский край и поставленных на учет в УМВД России по Камчатскому краю</w:t>
            </w:r>
          </w:p>
        </w:tc>
        <w:tc>
          <w:tcPr>
            <w:tcW w:type="dxa" w:w="567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type="dxa" w:w="709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4,3</w:t>
            </w:r>
          </w:p>
        </w:tc>
        <w:tc>
          <w:tcPr>
            <w:tcW w:type="dxa" w:w="708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2,9</w:t>
            </w:r>
          </w:p>
        </w:tc>
        <w:tc>
          <w:tcPr>
            <w:tcW w:type="dxa" w:w="709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3,0</w:t>
            </w:r>
          </w:p>
        </w:tc>
        <w:tc>
          <w:tcPr>
            <w:tcW w:type="dxa" w:w="709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5,2</w:t>
            </w:r>
          </w:p>
        </w:tc>
        <w:tc>
          <w:tcPr>
            <w:tcW w:type="dxa" w:w="709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2,8</w:t>
            </w:r>
          </w:p>
        </w:tc>
        <w:tc>
          <w:tcPr>
            <w:tcW w:type="dxa" w:w="708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5,7</w:t>
            </w:r>
          </w:p>
        </w:tc>
        <w:tc>
          <w:tcPr>
            <w:tcW w:type="dxa" w:w="709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5,5</w:t>
            </w:r>
          </w:p>
        </w:tc>
        <w:tc>
          <w:tcPr>
            <w:tcW w:type="dxa" w:w="709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2,4</w:t>
            </w:r>
          </w:p>
        </w:tc>
        <w:tc>
          <w:tcPr>
            <w:tcW w:type="dxa" w:w="709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4,7</w:t>
            </w:r>
          </w:p>
        </w:tc>
        <w:tc>
          <w:tcPr>
            <w:tcW w:type="dxa" w:w="708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3,2</w:t>
            </w:r>
          </w:p>
        </w:tc>
        <w:tc>
          <w:tcPr>
            <w:tcW w:type="dxa" w:w="709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4,9</w:t>
            </w:r>
          </w:p>
        </w:tc>
        <w:tc>
          <w:tcPr>
            <w:tcW w:type="dxa" w:w="709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</w:t>
            </w:r>
          </w:p>
        </w:tc>
        <w:tc>
          <w:tcPr>
            <w:tcW w:type="dxa" w:w="850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</w:t>
            </w:r>
          </w:p>
        </w:tc>
        <w:tc>
          <w:tcPr>
            <w:tcW w:type="dxa" w:w="709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</w:t>
            </w:r>
          </w:p>
        </w:tc>
        <w:tc>
          <w:tcPr>
            <w:tcW w:type="dxa" w:w="709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</w:t>
            </w:r>
          </w:p>
        </w:tc>
        <w:tc>
          <w:tcPr>
            <w:tcW w:type="dxa" w:w="709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</w:t>
            </w:r>
          </w:p>
        </w:tc>
        <w:tc>
          <w:tcPr>
            <w:tcW w:type="dxa" w:w="567"/>
            <w:tcBorders>
              <w:top w:color="767171" w:sz="6" w:val="single"/>
              <w:left w:color="767171" w:sz="6" w:val="single"/>
              <w:bottom w:color="767171" w:sz="6" w:val="single"/>
              <w:right w:color="767171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более 6,0</w:t>
            </w:r>
          </w:p>
        </w:tc>
      </w:tr>
      <w:tr>
        <w:trPr>
          <w:trHeight w:hRule="atLeast" w:val="358"/>
        </w:trPr>
        <w:tc>
          <w:tcPr>
            <w:tcW w:type="dxa" w:w="417"/>
            <w:tcBorders>
              <w:top w:color="767171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spacing w:after="0"/>
              <w:ind w:hanging="566" w:left="28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16.</w:t>
            </w:r>
          </w:p>
        </w:tc>
        <w:tc>
          <w:tcPr>
            <w:tcW w:type="dxa" w:w="15035"/>
            <w:gridSpan w:val="19"/>
            <w:tcBorders>
              <w:top w:color="767171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spacing w:after="0"/>
              <w:ind/>
              <w:contextualSpacing w:val="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Задача 3.1. Увеличение миграционного притока населения</w:t>
            </w:r>
          </w:p>
        </w:tc>
      </w:tr>
      <w:tr>
        <w:trPr>
          <w:trHeight w:hRule="atLeast" w:val="2198"/>
        </w:trPr>
        <w:tc>
          <w:tcPr>
            <w:tcW w:type="dxa" w:w="41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spacing w:after="0"/>
              <w:ind w:hanging="425" w:left="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17.</w:t>
            </w:r>
          </w:p>
        </w:tc>
        <w:tc>
          <w:tcPr>
            <w:tcW w:type="dxa" w:w="241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spacing w:after="0"/>
              <w:ind/>
              <w:jc w:val="both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Доля участников Государственной программы и членов их семей, переселившихся в Камчатский край и поставленных на учет в УМВД России по Камчатскому краю, в миграционном приросте Камчатского края</w:t>
            </w:r>
          </w:p>
        </w:tc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3,7</w:t>
            </w:r>
          </w:p>
        </w:tc>
        <w:tc>
          <w:tcPr>
            <w:tcW w:type="dxa" w:w="70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3,0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2,6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1,7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3,3</w:t>
            </w:r>
          </w:p>
        </w:tc>
        <w:tc>
          <w:tcPr>
            <w:tcW w:type="dxa" w:w="70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2,9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3,2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2,8</w:t>
            </w:r>
          </w:p>
        </w:tc>
        <w:tc>
          <w:tcPr>
            <w:tcW w:type="dxa" w:w="70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2,6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type="dxa" w:w="7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менее 2,5</w:t>
            </w:r>
          </w:p>
        </w:tc>
      </w:tr>
      <w:tr>
        <w:trPr>
          <w:trHeight w:hRule="atLeast" w:val="415"/>
        </w:trPr>
        <w:tc>
          <w:tcPr>
            <w:tcW w:type="dxa" w:w="417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spacing w:after="0"/>
              <w:ind w:hanging="425" w:left="14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18.</w:t>
            </w:r>
          </w:p>
        </w:tc>
        <w:tc>
          <w:tcPr>
            <w:tcW w:type="dxa" w:w="15035"/>
            <w:gridSpan w:val="1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spacing w:after="0"/>
              <w:ind/>
              <w:contextualSpacing w:val="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Задача 3.2. Увеличение численности молодежи, в том числе получающей образование в профессиональных образовательных организациях и образовательных организациях высшего образования</w:t>
            </w:r>
          </w:p>
        </w:tc>
      </w:tr>
      <w:tr>
        <w:trPr>
          <w:trHeight w:hRule="atLeast" w:val="759"/>
        </w:trPr>
        <w:tc>
          <w:tcPr>
            <w:tcW w:type="dxa" w:w="41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spacing w:after="0"/>
              <w:ind w:hanging="566" w:left="28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19.</w:t>
            </w:r>
          </w:p>
        </w:tc>
        <w:tc>
          <w:tcPr>
            <w:tcW w:type="dxa" w:w="241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spacing w:after="0"/>
              <w:ind/>
              <w:contextualSpacing w:val="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участников Государственной программы и членов их семей, получающих образование в профессиональных образовательных организациях и образовательных организациях высшего образования, в общей численности участников Государственной программы и членов их семей в возрастной категории до 25 лет</w:t>
            </w:r>
          </w:p>
        </w:tc>
        <w:tc>
          <w:tcPr>
            <w:tcW w:type="dxa" w:w="56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15,0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30,5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33,3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25,0</w:t>
            </w:r>
          </w:p>
        </w:tc>
        <w:tc>
          <w:tcPr>
            <w:tcW w:type="dxa" w:w="70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43,8</w:t>
            </w:r>
          </w:p>
        </w:tc>
        <w:tc>
          <w:tcPr>
            <w:tcW w:type="dxa" w:w="70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38,5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33,3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29,4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spacing w:after="0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spacing w:after="0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менее 30,0</w:t>
            </w:r>
          </w:p>
        </w:tc>
      </w:tr>
    </w:tbl>
    <w:p w14:paraId="94010000">
      <w:p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»; </w:t>
      </w:r>
    </w:p>
    <w:p w14:paraId="95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96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97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98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99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9A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9B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9C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9D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9E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9F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A0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A1010000">
      <w:pPr>
        <w:sectPr>
          <w:headerReference r:id="rId4" w:type="default"/>
          <w:headerReference r:id="rId1" w:type="first"/>
          <w:type w:val="nextPage"/>
          <w:pgSz w:h="11908" w:orient="landscape" w:w="16848"/>
          <w:pgMar w:bottom="1134" w:footer="709" w:gutter="0" w:header="709" w:left="1417" w:right="850" w:top="1134"/>
          <w:pgNumType w:fmt="decimal"/>
          <w:titlePg/>
        </w:sectPr>
      </w:pPr>
    </w:p>
    <w:p w14:paraId="A2010000">
      <w:pPr>
        <w:spacing w:after="0" w:line="240" w:lineRule="auto"/>
        <w:ind w:firstLine="709" w:left="0" w:righ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г</w:t>
      </w:r>
      <w:r>
        <w:rPr>
          <w:rFonts w:ascii="Times New Roman" w:hAnsi="Times New Roman"/>
          <w:sz w:val="28"/>
        </w:rPr>
        <w:t>рафу «Основные мероприятия»</w:t>
      </w:r>
      <w:r>
        <w:rPr>
          <w:rFonts w:ascii="Times New Roman" w:hAnsi="Times New Roman"/>
          <w:sz w:val="28"/>
        </w:rPr>
        <w:t xml:space="preserve"> приложения 2 к Программе</w:t>
      </w:r>
      <w:r>
        <w:rPr>
          <w:rFonts w:ascii="Times New Roman" w:hAnsi="Times New Roman"/>
          <w:sz w:val="28"/>
        </w:rPr>
        <w:t xml:space="preserve"> изложить в следующей редакции: </w:t>
      </w:r>
    </w:p>
    <w:p w14:paraId="A3010000">
      <w:pPr>
        <w:spacing w:after="0" w:line="240" w:lineRule="auto"/>
        <w:ind w:righ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</w:p>
    <w:tbl>
      <w:tblPr>
        <w:tblStyle w:val="Style_4"/>
        <w:tblW w:type="auto" w:w="0"/>
        <w:tblInd w:type="dxa" w:w="27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812"/>
      </w:tblGrid>
      <w:tr>
        <w:trPr>
          <w:trHeight w:hRule="atLeast" w:val="322"/>
        </w:trPr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Основные мероприятия</w:t>
            </w:r>
          </w:p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(структурные элементы)</w:t>
            </w:r>
          </w:p>
        </w:tc>
      </w:tr>
      <w:tr>
        <w:trPr>
          <w:trHeight w:hRule="atLeast" w:val="322"/>
        </w:trPr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rPr>
          <w:trHeight w:hRule="atLeast" w:val="637"/>
        </w:trPr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Основное мероприятие 1:</w:t>
            </w:r>
          </w:p>
          <w:p w14:paraId="A8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color="000000"/>
              </w:rPr>
              <w:t xml:space="preserve">Создание условий для соотечественников, </w:t>
            </w:r>
            <w:r>
              <w:rPr>
                <w:rFonts w:ascii="Times New Roman" w:hAnsi="Times New Roman"/>
                <w:sz w:val="28"/>
                <w:u w:color="000000"/>
              </w:rPr>
              <w:t>способствующих их переселению в Камчатский край</w:t>
            </w:r>
          </w:p>
        </w:tc>
      </w:tr>
      <w:tr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Основное мероприятие 2:</w:t>
            </w:r>
          </w:p>
          <w:p w14:paraId="AA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color="000000"/>
              </w:rPr>
              <w:t>Содействие обеспечению потребности экономики Камчатского края в квалифицированных кадрах</w:t>
            </w:r>
          </w:p>
        </w:tc>
      </w:tr>
    </w:tbl>
    <w:p w14:paraId="AB010000">
      <w:pPr>
        <w:spacing w:after="0" w:line="240" w:lineRule="auto"/>
        <w:ind w:firstLine="0" w:left="5664" w:right="-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».</w:t>
      </w:r>
    </w:p>
    <w:p w14:paraId="AC010000">
      <w:pPr>
        <w:spacing w:after="0" w:line="240" w:lineRule="auto"/>
        <w:ind w:firstLine="709" w:left="0" w:righ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9) в подпункте «д» пункта 7 части 11 </w:t>
      </w:r>
      <w:r>
        <w:rPr>
          <w:rFonts w:ascii="Times New Roman" w:hAnsi="Times New Roman"/>
          <w:sz w:val="28"/>
        </w:rPr>
        <w:t>приложения 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>Программе слово «двух» заменить словом «трех», цифру «20» заменить цифрой «23».</w:t>
      </w:r>
    </w:p>
    <w:p w14:paraId="AD010000">
      <w:pPr>
        <w:spacing w:line="240" w:lineRule="auto"/>
        <w:ind w:firstLine="709" w:left="0" w:righ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</w:t>
      </w:r>
    </w:p>
    <w:p w14:paraId="AE010000">
      <w:pPr>
        <w:widowControl w:val="0"/>
        <w:spacing w:after="0" w:line="240" w:lineRule="auto"/>
        <w:ind w:firstLine="0" w:left="4678"/>
        <w:jc w:val="both"/>
        <w:rPr>
          <w:rFonts w:ascii="Times New Roman" w:hAnsi="Times New Roman"/>
          <w:sz w:val="28"/>
        </w:rPr>
      </w:pPr>
    </w:p>
    <w:p w14:paraId="AF010000">
      <w:pPr>
        <w:widowControl w:val="0"/>
        <w:spacing w:after="0" w:line="240" w:lineRule="auto"/>
        <w:ind w:firstLine="0" w:left="4678"/>
        <w:jc w:val="both"/>
        <w:rPr>
          <w:rFonts w:ascii="Times New Roman" w:hAnsi="Times New Roman"/>
          <w:sz w:val="28"/>
        </w:rPr>
      </w:pPr>
    </w:p>
    <w:p w14:paraId="B0010000">
      <w:pPr>
        <w:widowControl w:val="0"/>
        <w:spacing w:after="0" w:line="240" w:lineRule="auto"/>
        <w:ind w:firstLine="0" w:left="4678"/>
        <w:jc w:val="both"/>
        <w:rPr>
          <w:rFonts w:ascii="Times New Roman" w:hAnsi="Times New Roman"/>
          <w:sz w:val="28"/>
        </w:rPr>
      </w:pPr>
    </w:p>
    <w:p w14:paraId="B1010000">
      <w:pPr>
        <w:widowControl w:val="0"/>
        <w:spacing w:after="0" w:line="240" w:lineRule="auto"/>
        <w:ind w:firstLine="0" w:left="4678"/>
        <w:jc w:val="both"/>
        <w:rPr>
          <w:rFonts w:ascii="Times New Roman" w:hAnsi="Times New Roman"/>
          <w:sz w:val="28"/>
        </w:rPr>
      </w:pPr>
    </w:p>
    <w:p w14:paraId="B2010000">
      <w:pPr>
        <w:widowControl w:val="0"/>
        <w:spacing w:after="0" w:line="240" w:lineRule="auto"/>
        <w:ind w:firstLine="0" w:left="4678"/>
        <w:jc w:val="both"/>
        <w:rPr>
          <w:rFonts w:ascii="Times New Roman" w:hAnsi="Times New Roman"/>
          <w:sz w:val="28"/>
        </w:rPr>
      </w:pPr>
    </w:p>
    <w:sectPr>
      <w:headerReference r:id="rId2" w:type="default"/>
      <w:headerReference r:id="rId5" w:type="first"/>
      <w:type w:val="nextPage"/>
      <w:pgSz w:h="16848" w:orient="portrait" w:w="11908"/>
      <w:pgMar w:bottom="1134" w:footer="709" w:gutter="0" w:header="709" w:left="1417" w:right="850" w:top="1134"/>
      <w:pgNumType w:fmt="decimal" w:start="1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column">
                <wp:posOffset>4548117</wp:posOffset>
              </wp:positionH>
              <wp:positionV relativeFrom="page">
                <wp:posOffset>450215</wp:posOffset>
              </wp:positionV>
              <wp:extent cx="162245" cy="380625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62245" cy="380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3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  <w:ind/>
      <w:jc w:val="center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3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1"/>
      <w:ind/>
      <w:jc w:val="center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3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8000000">
    <w:pPr>
      <w:pStyle w:val="Style_1"/>
      <w:ind/>
      <w:jc w:val="center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column">
                <wp:posOffset>2957829</wp:posOffset>
              </wp:positionH>
              <wp:positionV relativeFrom="page">
                <wp:posOffset>466723</wp:posOffset>
              </wp:positionV>
              <wp:extent cx="233050" cy="380625"/>
              <wp:wrapSquare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33050" cy="380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000000">
                          <w:pPr>
                            <w:pStyle w:val="Style_2"/>
                            <w:ind/>
                            <w:jc w:val="center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</w:pPr>
                        </w:p>
                      </w:txbxContent>
                    </wps:txbx>
                    <wps:bodyPr anchor="ctr" anchorCtr="true" bIns="45720" lIns="91440" rIns="91440" tIns="45720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column">
                <wp:posOffset>2947352</wp:posOffset>
              </wp:positionH>
              <wp:positionV relativeFrom="page">
                <wp:posOffset>450215</wp:posOffset>
              </wp:positionV>
              <wp:extent cx="246380" cy="417937"/>
              <wp:wrapSquare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46380" cy="41793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000000">
                          <w:pPr>
                            <w:pStyle w:val="Style_2"/>
                            <w:ind/>
                            <w:jc w:val="center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6" w:type="paragraph">
    <w:name w:val="toc 2"/>
    <w:next w:val="Style_2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Balloon Text"/>
    <w:basedOn w:val="Style_2"/>
    <w:link w:val="Style_7_ch"/>
    <w:pPr>
      <w:spacing w:after="0" w:line="240" w:lineRule="auto"/>
      <w:ind/>
    </w:pPr>
    <w:rPr>
      <w:rFonts w:ascii="Segoe UI" w:hAnsi="Segoe UI"/>
      <w:sz w:val="18"/>
    </w:rPr>
  </w:style>
  <w:style w:styleId="Style_7_ch" w:type="character">
    <w:name w:val="Balloon Text"/>
    <w:basedOn w:val="Style_2_ch"/>
    <w:link w:val="Style_7"/>
    <w:rPr>
      <w:rFonts w:ascii="Segoe UI" w:hAnsi="Segoe UI"/>
      <w:sz w:val="18"/>
    </w:rPr>
  </w:style>
  <w:style w:styleId="Style_8" w:type="paragraph">
    <w:name w:val="toc 4"/>
    <w:next w:val="Style_2"/>
    <w:link w:val="Style_8_ch"/>
    <w:uiPriority w:val="39"/>
    <w:pPr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3" w:type="paragraph">
    <w:name w:val="header"/>
    <w:basedOn w:val="Style_2"/>
    <w:link w:val="Style_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header"/>
    <w:basedOn w:val="Style_2_ch"/>
    <w:link w:val="Style_3"/>
  </w:style>
  <w:style w:styleId="Style_9" w:type="paragraph">
    <w:name w:val="toc 6"/>
    <w:next w:val="Style_2"/>
    <w:link w:val="Style_9_ch"/>
    <w:uiPriority w:val="39"/>
    <w:pPr>
      <w:ind w:firstLine="0"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2"/>
    <w:link w:val="Style_10_ch"/>
    <w:uiPriority w:val="39"/>
    <w:pPr>
      <w:ind w:firstLine="0"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</w:rPr>
  </w:style>
  <w:style w:styleId="Style_11_ch" w:type="character">
    <w:name w:val="Endnote"/>
    <w:link w:val="Style_11"/>
    <w:rPr>
      <w:rFonts w:ascii="XO Thames" w:hAnsi="XO Thames"/>
    </w:rPr>
  </w:style>
  <w:style w:styleId="Style_12" w:type="paragraph">
    <w:name w:val="heading 3"/>
    <w:next w:val="Style_2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footer"/>
    <w:basedOn w:val="Style_2"/>
    <w:link w:val="Style_13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13_ch" w:type="character">
    <w:name w:val="footer"/>
    <w:basedOn w:val="Style_2_ch"/>
    <w:link w:val="Style_13"/>
    <w:rPr>
      <w:rFonts w:ascii="Times New Roman" w:hAnsi="Times New Roman"/>
      <w:sz w:val="28"/>
    </w:rPr>
  </w:style>
  <w:style w:styleId="Style_14" w:type="paragraph">
    <w:name w:val="Обычный1"/>
    <w:link w:val="Style_14_ch"/>
  </w:style>
  <w:style w:styleId="Style_14_ch" w:type="character">
    <w:name w:val="Обычный1"/>
    <w:link w:val="Style_14"/>
  </w:style>
  <w:style w:styleId="Style_15" w:type="paragraph">
    <w:name w:val="Гиперссылка1"/>
    <w:basedOn w:val="Style_16"/>
    <w:link w:val="Style_15_ch"/>
    <w:rPr>
      <w:color w:themeColor="hyperlink" w:val="0563C1"/>
      <w:u w:val="single"/>
    </w:rPr>
  </w:style>
  <w:style w:styleId="Style_15_ch" w:type="character">
    <w:name w:val="Гиперссылка1"/>
    <w:basedOn w:val="Style_16_ch"/>
    <w:link w:val="Style_15"/>
    <w:rPr>
      <w:color w:themeColor="hyperlink" w:val="0563C1"/>
      <w:u w:val="single"/>
    </w:rPr>
  </w:style>
  <w:style w:styleId="Style_17" w:type="paragraph">
    <w:name w:val="Гиперссылка2"/>
    <w:link w:val="Style_17_ch"/>
    <w:rPr>
      <w:color w:val="0000FF"/>
      <w:u w:val="single"/>
    </w:rPr>
  </w:style>
  <w:style w:styleId="Style_17_ch" w:type="character">
    <w:name w:val="Гиперссылка2"/>
    <w:link w:val="Style_17"/>
    <w:rPr>
      <w:color w:val="0000FF"/>
      <w:u w:val="single"/>
    </w:rPr>
  </w:style>
  <w:style w:styleId="Style_16" w:type="paragraph">
    <w:name w:val="Основной шрифт абзаца1"/>
    <w:link w:val="Style_16_ch"/>
  </w:style>
  <w:style w:styleId="Style_16_ch" w:type="character">
    <w:name w:val="Основной шрифт абзаца1"/>
    <w:link w:val="Style_16"/>
  </w:style>
  <w:style w:styleId="Style_18" w:type="paragraph">
    <w:name w:val="toc 3"/>
    <w:next w:val="Style_2"/>
    <w:link w:val="Style_18_ch"/>
    <w:uiPriority w:val="39"/>
    <w:pPr>
      <w:ind w:firstLine="0" w:left="400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Основной шрифт абзаца2"/>
    <w:link w:val="Style_19_ch"/>
  </w:style>
  <w:style w:styleId="Style_19_ch" w:type="character">
    <w:name w:val="Основной шрифт абзаца2"/>
    <w:link w:val="Style_19"/>
  </w:style>
  <w:style w:styleId="Style_20" w:type="paragraph">
    <w:name w:val="heading 5"/>
    <w:next w:val="Style_2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0_ch" w:type="character">
    <w:name w:val="heading 5"/>
    <w:link w:val="Style_20"/>
    <w:rPr>
      <w:rFonts w:ascii="XO Thames" w:hAnsi="XO Thames"/>
      <w:b w:val="1"/>
    </w:rPr>
  </w:style>
  <w:style w:styleId="Style_21" w:type="paragraph">
    <w:name w:val="heading 1"/>
    <w:next w:val="Style_2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24" w:type="paragraph">
    <w:name w:val="toc 1"/>
    <w:next w:val="Style_2"/>
    <w:link w:val="Style_24_ch"/>
    <w:uiPriority w:val="39"/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0"/>
    </w:rPr>
  </w:style>
  <w:style w:styleId="Style_1_ch" w:type="character">
    <w:name w:val="Header and Footer"/>
    <w:link w:val="Style_1"/>
    <w:rPr>
      <w:rFonts w:ascii="XO Thames" w:hAnsi="XO Thames"/>
      <w:sz w:val="20"/>
    </w:rPr>
  </w:style>
  <w:style w:styleId="Style_25" w:type="paragraph">
    <w:name w:val="List Paragraph"/>
    <w:basedOn w:val="Style_2"/>
    <w:link w:val="Style_25_ch"/>
    <w:pPr>
      <w:ind w:firstLine="0" w:left="720"/>
      <w:contextualSpacing w:val="1"/>
    </w:pPr>
  </w:style>
  <w:style w:styleId="Style_25_ch" w:type="character">
    <w:name w:val="List Paragraph"/>
    <w:basedOn w:val="Style_2_ch"/>
    <w:link w:val="Style_25"/>
  </w:style>
  <w:style w:styleId="Style_26" w:type="paragraph">
    <w:name w:val="toc 9"/>
    <w:next w:val="Style_2"/>
    <w:link w:val="Style_26_ch"/>
    <w:uiPriority w:val="39"/>
    <w:pPr>
      <w:ind w:firstLine="0" w:left="1600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2"/>
    <w:link w:val="Style_27_ch"/>
    <w:uiPriority w:val="39"/>
    <w:pPr>
      <w:ind w:firstLine="0"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Plain Text"/>
    <w:basedOn w:val="Style_2"/>
    <w:link w:val="Style_28_ch"/>
    <w:pPr>
      <w:spacing w:after="0" w:line="240" w:lineRule="auto"/>
      <w:ind/>
    </w:pPr>
    <w:rPr>
      <w:rFonts w:ascii="Calibri" w:hAnsi="Calibri"/>
    </w:rPr>
  </w:style>
  <w:style w:styleId="Style_28_ch" w:type="character">
    <w:name w:val="Plain Text"/>
    <w:basedOn w:val="Style_2_ch"/>
    <w:link w:val="Style_28"/>
    <w:rPr>
      <w:rFonts w:ascii="Calibri" w:hAnsi="Calibri"/>
    </w:rPr>
  </w:style>
  <w:style w:styleId="Style_29" w:type="paragraph">
    <w:name w:val="toc 5"/>
    <w:next w:val="Style_2"/>
    <w:link w:val="Style_29_ch"/>
    <w:uiPriority w:val="39"/>
    <w:pPr>
      <w:ind w:firstLine="0" w:left="800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31" w:type="paragraph">
    <w:name w:val="Subtitle"/>
    <w:next w:val="Style_2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Обычный1"/>
    <w:link w:val="Style_32_ch"/>
  </w:style>
  <w:style w:styleId="Style_32_ch" w:type="character">
    <w:name w:val="Обычный1"/>
    <w:link w:val="Style_32"/>
  </w:style>
  <w:style w:styleId="Style_33" w:type="paragraph">
    <w:name w:val="Title"/>
    <w:next w:val="Style_2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2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next w:val="Style_2"/>
    <w:link w:val="Style_3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styleId="Style_36" w:type="table">
    <w:name w:val="Сетка таблицы2"/>
    <w:basedOn w:val="Style_4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" w:type="table">
    <w:name w:val="Table Grid"/>
    <w:basedOn w:val="Style_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Сетка таблицы1"/>
    <w:basedOn w:val="Style_4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media/1.jpeg" Type="http://schemas.openxmlformats.org/officeDocument/2006/relationships/image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header4.xml" Type="http://schemas.openxmlformats.org/officeDocument/2006/relationships/head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2026-08-10T23:53:05Z</dcterms:modified>
</cp:coreProperties>
</file>