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579" w:rsidRDefault="00796179">
      <w:pPr>
        <w:pStyle w:val="afe"/>
        <w:jc w:val="center"/>
        <w:rPr>
          <w:rFonts w:ascii="Times New Roman" w:hAnsi="Times New Roman"/>
          <w:sz w:val="28"/>
        </w:rPr>
      </w:pPr>
      <w:bookmarkStart w:id="0" w:name="undefined"/>
      <w:bookmarkEnd w:id="0"/>
      <w:r>
        <w:rPr>
          <w:rFonts w:ascii="Times New Roman" w:hAnsi="Times New Roman"/>
          <w:sz w:val="28"/>
        </w:rPr>
        <w:t>Пояснительная записка</w:t>
      </w:r>
    </w:p>
    <w:p w:rsidR="005A1579" w:rsidRDefault="00796179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/>
          <w:sz w:val="28"/>
        </w:rPr>
        <w:t>к проекту постановления Правительства Камчатского края «</w:t>
      </w:r>
      <w:r>
        <w:rPr>
          <w:rStyle w:val="11"/>
          <w:rFonts w:ascii="Times New Roman" w:hAnsi="Times New Roman"/>
          <w:sz w:val="28"/>
          <w:szCs w:val="28"/>
          <w:highlight w:val="white"/>
        </w:rPr>
        <w:t xml:space="preserve">О </w:t>
      </w:r>
      <w:r>
        <w:rPr>
          <w:rStyle w:val="11"/>
          <w:rFonts w:ascii="Times New Roman" w:hAnsi="Times New Roman"/>
          <w:b/>
          <w:sz w:val="28"/>
          <w:szCs w:val="28"/>
          <w:highlight w:val="white"/>
        </w:rPr>
        <w:t>г</w:t>
      </w:r>
      <w:r>
        <w:rPr>
          <w:rStyle w:val="11"/>
          <w:rFonts w:ascii="Times New Roman" w:hAnsi="Times New Roman"/>
          <w:sz w:val="28"/>
          <w:szCs w:val="28"/>
          <w:highlight w:val="white"/>
        </w:rPr>
        <w:t xml:space="preserve">осударственной информационной системе Камчатского края в сфере управления государственными финансами </w:t>
      </w:r>
    </w:p>
    <w:p w:rsidR="005A1579" w:rsidRDefault="00796179">
      <w:pPr>
        <w:pStyle w:val="afe"/>
        <w:jc w:val="center"/>
      </w:pPr>
      <w:r>
        <w:rPr>
          <w:rStyle w:val="11"/>
          <w:rFonts w:ascii="Times New Roman" w:hAnsi="Times New Roman"/>
          <w:sz w:val="28"/>
          <w:szCs w:val="28"/>
          <w:highlight w:val="white"/>
        </w:rPr>
        <w:t>«</w:t>
      </w:r>
      <w:proofErr w:type="spellStart"/>
      <w:r>
        <w:rPr>
          <w:rStyle w:val="11"/>
          <w:rFonts w:ascii="Times New Roman" w:hAnsi="Times New Roman"/>
          <w:sz w:val="28"/>
          <w:szCs w:val="28"/>
          <w:highlight w:val="white"/>
        </w:rPr>
        <w:t>Свод.Отчетность</w:t>
      </w:r>
      <w:proofErr w:type="spellEnd"/>
      <w:r>
        <w:rPr>
          <w:rStyle w:val="11"/>
          <w:rFonts w:ascii="Times New Roman" w:hAnsi="Times New Roman"/>
          <w:sz w:val="28"/>
          <w:szCs w:val="28"/>
          <w:highlight w:val="white"/>
        </w:rPr>
        <w:t>»</w:t>
      </w:r>
    </w:p>
    <w:p w:rsidR="005A1579" w:rsidRDefault="005A1579">
      <w:pPr>
        <w:pStyle w:val="afe"/>
        <w:jc w:val="center"/>
      </w:pPr>
    </w:p>
    <w:p w:rsidR="005A1579" w:rsidRDefault="00796179">
      <w:pPr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</w:rPr>
        <w:t xml:space="preserve">Настоящий проект постановления Камчатского края разработан в соответствии с </w:t>
      </w:r>
      <w:r>
        <w:rPr>
          <w:rFonts w:ascii="Times New Roman" w:eastAsia="Times New Roman" w:hAnsi="Times New Roman" w:cs="Times New Roman"/>
          <w:sz w:val="28"/>
          <w:szCs w:val="28"/>
        </w:rPr>
        <w:t>Бюджетным кодексом Российской Федерации, инструкцией о порядке составления и представления годовой, квартальной и месячной отчетности об исполнении бюджетов бюджетной системы Росси</w:t>
      </w:r>
      <w:r>
        <w:rPr>
          <w:rFonts w:ascii="Times New Roman" w:eastAsia="Times New Roman" w:hAnsi="Times New Roman" w:cs="Times New Roman"/>
          <w:sz w:val="28"/>
          <w:szCs w:val="28"/>
        </w:rPr>
        <w:t>йской Федерации, утвержденной Приказом Минфина РФ от 28 декабря 2010г. № 191н, инструкцией о порядке составления, представления годовой, квартальной бухгалтерской отчетности государственных (муниципальных) бюджетных и автономных учреждений, утвержденной пр</w:t>
      </w:r>
      <w:r>
        <w:rPr>
          <w:rFonts w:ascii="Times New Roman" w:eastAsia="Times New Roman" w:hAnsi="Times New Roman" w:cs="Times New Roman"/>
          <w:sz w:val="28"/>
          <w:szCs w:val="28"/>
        </w:rPr>
        <w:t>иказом Минфина РФ от 25 марта 2011г. № 33н, Приказом Минфина России от 03.03.2020 № 34н «Об утверждении Порядка, форм и сроков представления реестра расходных обязательств субъекта Российской Федерации, свода реестров расходных обязательств муниципальных о</w:t>
      </w:r>
      <w:r>
        <w:rPr>
          <w:rFonts w:ascii="Times New Roman" w:eastAsia="Times New Roman" w:hAnsi="Times New Roman" w:cs="Times New Roman"/>
          <w:sz w:val="28"/>
          <w:szCs w:val="28"/>
        </w:rPr>
        <w:t>бразований, входящих в состав субъекта Российской Федерации», Приказом Министерства финансов Российской Федерации от 28 декабря 2017 г. № 259н «Об утверждении форм отчетов о расходах и численности работников федеральных государственных органов, государстве</w:t>
      </w:r>
      <w:r>
        <w:rPr>
          <w:rFonts w:ascii="Times New Roman" w:eastAsia="Times New Roman" w:hAnsi="Times New Roman" w:cs="Times New Roman"/>
          <w:sz w:val="28"/>
          <w:szCs w:val="28"/>
        </w:rPr>
        <w:t>нных органов субъектов российской федерации, органов местного самоуправления»</w:t>
      </w:r>
    </w:p>
    <w:p w:rsidR="005A1579" w:rsidRDefault="0079617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</w:rPr>
        <w:t>Создание государственной информационной системы Камчатского края в сфере управления государственными финансами «</w:t>
      </w:r>
      <w:proofErr w:type="spellStart"/>
      <w:r>
        <w:rPr>
          <w:rFonts w:ascii="Times New Roman" w:hAnsi="Times New Roman"/>
          <w:sz w:val="28"/>
        </w:rPr>
        <w:t>Свод.Отчетность</w:t>
      </w:r>
      <w:proofErr w:type="spellEnd"/>
      <w:r>
        <w:rPr>
          <w:rFonts w:ascii="Times New Roman" w:hAnsi="Times New Roman"/>
          <w:sz w:val="28"/>
        </w:rPr>
        <w:t>»</w:t>
      </w:r>
      <w:r w:rsidR="0024125B">
        <w:rPr>
          <w:rFonts w:ascii="Times New Roman" w:hAnsi="Times New Roman"/>
          <w:sz w:val="28"/>
        </w:rPr>
        <w:t xml:space="preserve"> </w:t>
      </w:r>
      <w:r w:rsidR="0024125B">
        <w:rPr>
          <w:rFonts w:ascii="Times New Roman" w:eastAsia="Times New Roman" w:hAnsi="Times New Roman" w:cs="Times New Roman"/>
          <w:sz w:val="28"/>
          <w:szCs w:val="28"/>
        </w:rPr>
        <w:t xml:space="preserve">(далее – </w:t>
      </w:r>
      <w:proofErr w:type="gramStart"/>
      <w:r w:rsidR="0024125B">
        <w:rPr>
          <w:rFonts w:ascii="Times New Roman" w:eastAsia="Times New Roman" w:hAnsi="Times New Roman" w:cs="Times New Roman"/>
          <w:sz w:val="28"/>
          <w:szCs w:val="28"/>
        </w:rPr>
        <w:t xml:space="preserve">Система) </w:t>
      </w:r>
      <w:bookmarkStart w:id="1" w:name="_GoBack"/>
      <w:bookmarkEnd w:id="1"/>
      <w:r>
        <w:rPr>
          <w:rFonts w:ascii="Times New Roman" w:hAnsi="Times New Roman"/>
          <w:sz w:val="28"/>
        </w:rPr>
        <w:t xml:space="preserve"> позволит</w:t>
      </w:r>
      <w:proofErr w:type="gramEnd"/>
      <w:r>
        <w:rPr>
          <w:rFonts w:ascii="Times New Roman" w:hAnsi="Times New Roman"/>
          <w:sz w:val="28"/>
        </w:rPr>
        <w:t xml:space="preserve"> в дальнейшем:</w:t>
      </w:r>
    </w:p>
    <w:p w:rsidR="005A1579" w:rsidRDefault="00796179">
      <w:pPr>
        <w:pStyle w:val="aff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обеспечить непрерывность 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корректность процессов формирования и представления в адрес федеральных органов 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власти</w:t>
      </w:r>
      <w:proofErr w:type="gramEnd"/>
      <w:r>
        <w:rPr>
          <w:rFonts w:ascii="Times New Roman" w:hAnsi="Times New Roman"/>
          <w:color w:val="000000" w:themeColor="text1"/>
          <w:sz w:val="28"/>
          <w:szCs w:val="28"/>
        </w:rPr>
        <w:t xml:space="preserve"> консолидированной бюджетной (бухгалтерской) отчетности Камчатского края, с учетом требований законодательства Российской Федерации;</w:t>
      </w:r>
    </w:p>
    <w:p w:rsidR="005A1579" w:rsidRDefault="00796179">
      <w:pPr>
        <w:pStyle w:val="aff"/>
        <w:numPr>
          <w:ilvl w:val="0"/>
          <w:numId w:val="1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автоматизировать формирование, прием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а, обработку, консолидации и хранения отчетности об исполнении консолидированного бюджета Камчатского края, мониторинга бюджетов муниципальных образований Камчатского края, составления бюджетной, сводной бухгалтерской и иной отчетности в рамках бюджетного </w:t>
      </w:r>
      <w:r>
        <w:rPr>
          <w:rFonts w:ascii="Times New Roman" w:hAnsi="Times New Roman"/>
          <w:color w:val="000000" w:themeColor="text1"/>
          <w:sz w:val="28"/>
          <w:szCs w:val="28"/>
        </w:rPr>
        <w:t>процесса в Камчатском крае;</w:t>
      </w:r>
    </w:p>
    <w:p w:rsidR="005A1579" w:rsidRDefault="00796179">
      <w:pPr>
        <w:pStyle w:val="aff"/>
        <w:numPr>
          <w:ilvl w:val="0"/>
          <w:numId w:val="1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обеспечить формирование месячной, квартальной и годовой отчётности на уровне главных распорядителей бюджетных средств, распорядителей, подведомственных организаций, а также муниципальных образований Камчатского края, в соответст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вии с утвержденной иерархией организаций-участников бюджетного процесса; </w:t>
      </w:r>
    </w:p>
    <w:p w:rsidR="005A1579" w:rsidRDefault="00796179">
      <w:pPr>
        <w:pStyle w:val="aff"/>
        <w:numPr>
          <w:ilvl w:val="0"/>
          <w:numId w:val="1"/>
        </w:numPr>
        <w:spacing w:after="0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lastRenderedPageBreak/>
        <w:t>реализовать внесение изменений в иерархию организаций-участников бюджетного процесса, а также добавление новых участников;</w:t>
      </w:r>
    </w:p>
    <w:p w:rsidR="005A1579" w:rsidRDefault="00796179">
      <w:pPr>
        <w:pStyle w:val="aff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формировать в электронном виде отчетные формы в соответстви</w:t>
      </w:r>
      <w:r>
        <w:rPr>
          <w:rFonts w:ascii="Times New Roman" w:hAnsi="Times New Roman"/>
          <w:color w:val="000000" w:themeColor="text1"/>
          <w:sz w:val="28"/>
          <w:szCs w:val="28"/>
        </w:rPr>
        <w:t>и с требованиями Министерства финансов Российской Федерации и Федерального казначейства.</w:t>
      </w:r>
    </w:p>
    <w:p w:rsidR="005A1579" w:rsidRDefault="0024125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Внедрение Системы</w:t>
      </w:r>
      <w:r w:rsidR="00796179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осуществляется взамен используемого в настоящее время программно</w:t>
      </w:r>
      <w:r w:rsidR="00796179">
        <w:rPr>
          <w:rFonts w:ascii="Times New Roman" w:eastAsia="Times New Roman" w:hAnsi="Times New Roman" w:cs="Times New Roman"/>
          <w:sz w:val="28"/>
          <w:szCs w:val="28"/>
        </w:rPr>
        <w:t>го комплекса «СКИФ-БП», сопровождение которого прекращается по решению правообладателя в 2026 году.</w:t>
      </w:r>
    </w:p>
    <w:p w:rsidR="005A1579" w:rsidRDefault="007961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Реализация проекта по внедрению Системы на отечественной платформе 1С отвечает основным требованиям к информационным системам в сфере государственного упра</w:t>
      </w:r>
      <w:r>
        <w:rPr>
          <w:rFonts w:ascii="Times New Roman" w:eastAsia="Times New Roman" w:hAnsi="Times New Roman" w:cs="Times New Roman"/>
          <w:sz w:val="28"/>
          <w:szCs w:val="28"/>
        </w:rPr>
        <w:t>вления и обеспечит экономический эффект за счёт повышения эффективности управления государственными финансами и оптимизации бюджетных расходов на региональном уровне.</w:t>
      </w:r>
    </w:p>
    <w:p w:rsidR="005A1579" w:rsidRDefault="007961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реализации настоящего постановления Правительства Камчатского края дополнительные сре</w:t>
      </w:r>
      <w:r>
        <w:rPr>
          <w:rFonts w:ascii="Times New Roman" w:eastAsia="Times New Roman" w:hAnsi="Times New Roman" w:cs="Times New Roman"/>
          <w:sz w:val="28"/>
          <w:szCs w:val="28"/>
        </w:rPr>
        <w:t>дства краевого бюджета не потребуются.</w:t>
      </w:r>
    </w:p>
    <w:p w:rsidR="005A1579" w:rsidRDefault="007961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Проект постановления Правительства Камчатского края не подлежит оценке регулирующего воздействия в соответствии с постановлением Правительства Камчатского края от 28.09.2022 № 510-П «Об утверждении Порядка проведения </w:t>
      </w:r>
      <w:r>
        <w:rPr>
          <w:rFonts w:ascii="Times New Roman" w:eastAsia="Times New Roman" w:hAnsi="Times New Roman" w:cs="Times New Roman"/>
          <w:sz w:val="28"/>
          <w:szCs w:val="28"/>
        </w:rPr>
        <w:t>процедуры оценки регулирующего воздействия проектов нормативных правовых актов Камчатского края и порядка проведения экспертизы нормативных правовых актов Камчатского края».</w:t>
      </w:r>
    </w:p>
    <w:p w:rsidR="005A1579" w:rsidRDefault="00796179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соответствии с постановлением Правительства Камчатского края от 21.07.2022 № 386</w:t>
      </w:r>
      <w:r>
        <w:rPr>
          <w:rFonts w:ascii="Times New Roman" w:eastAsia="Times New Roman" w:hAnsi="Times New Roman" w:cs="Times New Roman"/>
          <w:sz w:val="28"/>
          <w:szCs w:val="28"/>
        </w:rPr>
        <w:t>-П «Об утверждении Положения о порядке проведения антикоррупционной экспертизы изданных исполнительными органами Камчатского края нормативных правовых актов Камчатского края и их проектов» проект постановления Правительства Камчатского края размещён на Еди</w:t>
      </w:r>
      <w:r>
        <w:rPr>
          <w:rFonts w:ascii="Times New Roman" w:eastAsia="Times New Roman" w:hAnsi="Times New Roman" w:cs="Times New Roman"/>
          <w:sz w:val="28"/>
          <w:szCs w:val="28"/>
        </w:rPr>
        <w:t>ном портале проведения независимой антикоррупционной экспертизы и общественного обсуждения проектов нормативных правовых актов Камчатского края (</w:t>
      </w:r>
      <w:r>
        <w:rPr>
          <w:rFonts w:ascii="Times New Roman" w:eastAsia="Times New Roman" w:hAnsi="Times New Roman" w:cs="Times New Roman"/>
          <w:sz w:val="28"/>
          <w:szCs w:val="28"/>
        </w:rPr>
        <w:t>https</w:t>
      </w:r>
      <w:r>
        <w:rPr>
          <w:rFonts w:ascii="Times New Roman" w:eastAsia="Times New Roman" w:hAnsi="Times New Roman" w:cs="Times New Roman"/>
          <w:sz w:val="28"/>
          <w:szCs w:val="28"/>
        </w:rPr>
        <w:t>://</w:t>
      </w:r>
      <w:r>
        <w:rPr>
          <w:rFonts w:ascii="Times New Roman" w:eastAsia="Times New Roman" w:hAnsi="Times New Roman" w:cs="Times New Roman"/>
          <w:sz w:val="28"/>
          <w:szCs w:val="28"/>
        </w:rPr>
        <w:t>npaproject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kamgov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ru</w:t>
      </w:r>
      <w:r>
        <w:rPr>
          <w:rFonts w:ascii="Times New Roman" w:eastAsia="Times New Roman" w:hAnsi="Times New Roman" w:cs="Times New Roman"/>
          <w:sz w:val="28"/>
          <w:szCs w:val="28"/>
        </w:rPr>
        <w:t>).</w:t>
      </w:r>
    </w:p>
    <w:sectPr w:rsidR="005A1579">
      <w:pgSz w:w="11906" w:h="16838"/>
      <w:pgMar w:top="1134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ans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Devanagari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83DE8"/>
    <w:multiLevelType w:val="multilevel"/>
    <w:tmpl w:val="5C7A243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4DD3110"/>
    <w:multiLevelType w:val="multilevel"/>
    <w:tmpl w:val="CB1A1B4A"/>
    <w:lvl w:ilvl="0">
      <w:start w:val="1"/>
      <w:numFmt w:val="decimal"/>
      <w:isLgl/>
      <w:lvlText w:val="%1)"/>
      <w:lvlJc w:val="left"/>
      <w:pPr>
        <w:tabs>
          <w:tab w:val="num" w:pos="0"/>
        </w:tabs>
        <w:ind w:left="709" w:hanging="360"/>
      </w:pPr>
    </w:lvl>
    <w:lvl w:ilvl="1">
      <w:start w:val="1"/>
      <w:numFmt w:val="lowerLetter"/>
      <w:isLgl/>
      <w:lvlText w:val="%2."/>
      <w:lvlJc w:val="left"/>
      <w:pPr>
        <w:tabs>
          <w:tab w:val="num" w:pos="0"/>
        </w:tabs>
        <w:ind w:left="1429" w:hanging="360"/>
      </w:pPr>
    </w:lvl>
    <w:lvl w:ilvl="2">
      <w:start w:val="1"/>
      <w:numFmt w:val="lowerRoman"/>
      <w:isLgl/>
      <w:lvlText w:val="%3."/>
      <w:lvlJc w:val="right"/>
      <w:pPr>
        <w:tabs>
          <w:tab w:val="num" w:pos="0"/>
        </w:tabs>
        <w:ind w:left="2149" w:hanging="180"/>
      </w:pPr>
    </w:lvl>
    <w:lvl w:ilvl="3">
      <w:start w:val="1"/>
      <w:numFmt w:val="decimal"/>
      <w:isLgl/>
      <w:lvlText w:val="%4."/>
      <w:lvlJc w:val="left"/>
      <w:pPr>
        <w:tabs>
          <w:tab w:val="num" w:pos="0"/>
        </w:tabs>
        <w:ind w:left="2869" w:hanging="360"/>
      </w:pPr>
    </w:lvl>
    <w:lvl w:ilvl="4">
      <w:start w:val="1"/>
      <w:numFmt w:val="lowerLetter"/>
      <w:isLgl/>
      <w:lvlText w:val="%5."/>
      <w:lvlJc w:val="left"/>
      <w:pPr>
        <w:tabs>
          <w:tab w:val="num" w:pos="0"/>
        </w:tabs>
        <w:ind w:left="3589" w:hanging="360"/>
      </w:pPr>
    </w:lvl>
    <w:lvl w:ilvl="5">
      <w:start w:val="1"/>
      <w:numFmt w:val="lowerRoman"/>
      <w:isLgl/>
      <w:lvlText w:val="%6."/>
      <w:lvlJc w:val="right"/>
      <w:pPr>
        <w:tabs>
          <w:tab w:val="num" w:pos="0"/>
        </w:tabs>
        <w:ind w:left="4309" w:hanging="180"/>
      </w:pPr>
    </w:lvl>
    <w:lvl w:ilvl="6">
      <w:start w:val="1"/>
      <w:numFmt w:val="decimal"/>
      <w:isLgl/>
      <w:lvlText w:val="%7."/>
      <w:lvlJc w:val="left"/>
      <w:pPr>
        <w:tabs>
          <w:tab w:val="num" w:pos="0"/>
        </w:tabs>
        <w:ind w:left="5029" w:hanging="360"/>
      </w:pPr>
    </w:lvl>
    <w:lvl w:ilvl="7">
      <w:start w:val="1"/>
      <w:numFmt w:val="lowerLetter"/>
      <w:isLgl/>
      <w:lvlText w:val="%8."/>
      <w:lvlJc w:val="left"/>
      <w:pPr>
        <w:tabs>
          <w:tab w:val="num" w:pos="0"/>
        </w:tabs>
        <w:ind w:left="5749" w:hanging="360"/>
      </w:pPr>
    </w:lvl>
    <w:lvl w:ilvl="8">
      <w:start w:val="1"/>
      <w:numFmt w:val="lowerRoman"/>
      <w:isLgl/>
      <w:lvlText w:val="%9."/>
      <w:lvlJc w:val="right"/>
      <w:pPr>
        <w:tabs>
          <w:tab w:val="num" w:pos="0"/>
        </w:tabs>
        <w:ind w:left="646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579"/>
    <w:rsid w:val="0024125B"/>
    <w:rsid w:val="005A1579"/>
    <w:rsid w:val="0079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3759B9"/>
  <w15:docId w15:val="{7AB83A64-C346-411A-90F9-576B3F284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Liberation Sans" w:eastAsia="Liberation Sans" w:hAnsi="Liberation Sans" w:cs="Liberation Sans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Pr>
      <w:rFonts w:ascii="Liberation Sans" w:eastAsia="Liberation Sans" w:hAnsi="Liberation Sans" w:cs="Liberation Sans"/>
      <w:sz w:val="40"/>
      <w:szCs w:val="40"/>
    </w:rPr>
  </w:style>
  <w:style w:type="character" w:customStyle="1" w:styleId="20">
    <w:name w:val="Заголовок 2 Знак"/>
    <w:link w:val="2"/>
    <w:uiPriority w:val="9"/>
    <w:qFormat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qFormat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link w:val="4"/>
    <w:uiPriority w:val="9"/>
    <w:qFormat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qFormat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qFormat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qFormat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qFormat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qFormat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a3">
    <w:name w:val="Заголовок Знак"/>
    <w:link w:val="a4"/>
    <w:uiPriority w:val="10"/>
    <w:qFormat/>
    <w:rPr>
      <w:sz w:val="48"/>
      <w:szCs w:val="48"/>
    </w:rPr>
  </w:style>
  <w:style w:type="character" w:customStyle="1" w:styleId="a5">
    <w:name w:val="Подзаголовок Знак"/>
    <w:link w:val="a6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7">
    <w:name w:val="Выделенная цитата Знак"/>
    <w:link w:val="a8"/>
    <w:uiPriority w:val="30"/>
    <w:qFormat/>
    <w:rPr>
      <w:i/>
    </w:rPr>
  </w:style>
  <w:style w:type="character" w:customStyle="1" w:styleId="a9">
    <w:name w:val="Верхний колонтитул Знак"/>
    <w:link w:val="aa"/>
    <w:uiPriority w:val="99"/>
    <w:qFormat/>
  </w:style>
  <w:style w:type="character" w:customStyle="1" w:styleId="ab">
    <w:name w:val="Нижний колонтитул Знак"/>
    <w:link w:val="ac"/>
    <w:uiPriority w:val="99"/>
    <w:qFormat/>
  </w:style>
  <w:style w:type="character" w:customStyle="1" w:styleId="ad">
    <w:name w:val="Название объекта Знак"/>
    <w:link w:val="ae"/>
    <w:uiPriority w:val="35"/>
    <w:qFormat/>
    <w:rPr>
      <w:b/>
      <w:bCs/>
      <w:color w:val="5B9BD5" w:themeColor="accent1"/>
      <w:sz w:val="18"/>
      <w:szCs w:val="18"/>
    </w:r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character" w:customStyle="1" w:styleId="af0">
    <w:name w:val="Текст сноски Знак"/>
    <w:link w:val="af1"/>
    <w:uiPriority w:val="99"/>
    <w:qFormat/>
    <w:rPr>
      <w:sz w:val="18"/>
    </w:rPr>
  </w:style>
  <w:style w:type="character" w:customStyle="1" w:styleId="af2">
    <w:name w:val="Символ сноски"/>
    <w:uiPriority w:val="99"/>
    <w:unhideWhenUsed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Текст концевой сноски Знак"/>
    <w:link w:val="af5"/>
    <w:uiPriority w:val="99"/>
    <w:qFormat/>
    <w:rPr>
      <w:sz w:val="20"/>
    </w:rPr>
  </w:style>
  <w:style w:type="character" w:customStyle="1" w:styleId="af6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af7">
    <w:name w:val="endnote reference"/>
    <w:rPr>
      <w:vertAlign w:val="superscript"/>
    </w:rPr>
  </w:style>
  <w:style w:type="character" w:customStyle="1" w:styleId="11">
    <w:name w:val="Обычный1"/>
    <w:qFormat/>
  </w:style>
  <w:style w:type="paragraph" w:styleId="a4">
    <w:name w:val="Title"/>
    <w:basedOn w:val="a"/>
    <w:next w:val="af8"/>
    <w:link w:val="a3"/>
    <w:uiPriority w:val="10"/>
    <w:qFormat/>
    <w:pPr>
      <w:spacing w:before="300"/>
      <w:contextualSpacing/>
    </w:pPr>
    <w:rPr>
      <w:sz w:val="48"/>
      <w:szCs w:val="48"/>
    </w:rPr>
  </w:style>
  <w:style w:type="paragraph" w:styleId="af8">
    <w:name w:val="Body Text"/>
    <w:basedOn w:val="a"/>
    <w:pPr>
      <w:spacing w:after="140"/>
    </w:pPr>
  </w:style>
  <w:style w:type="paragraph" w:styleId="af9">
    <w:name w:val="List"/>
    <w:basedOn w:val="af8"/>
    <w:rPr>
      <w:rFonts w:cs="Noto Sans Devanagari"/>
    </w:rPr>
  </w:style>
  <w:style w:type="paragraph" w:styleId="ae">
    <w:name w:val="caption"/>
    <w:basedOn w:val="a"/>
    <w:next w:val="a"/>
    <w:link w:val="ad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paragraph" w:styleId="afa">
    <w:name w:val="index heading"/>
    <w:basedOn w:val="a4"/>
  </w:style>
  <w:style w:type="paragraph" w:styleId="a6">
    <w:name w:val="Subtitle"/>
    <w:basedOn w:val="a"/>
    <w:next w:val="a"/>
    <w:link w:val="a5"/>
    <w:uiPriority w:val="11"/>
    <w:qFormat/>
    <w:pPr>
      <w:spacing w:before="200"/>
    </w:pPr>
    <w:rPr>
      <w:sz w:val="24"/>
      <w:szCs w:val="24"/>
    </w:r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8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customStyle="1" w:styleId="afb">
    <w:name w:val="Колонтитулы"/>
    <w:basedOn w:val="a"/>
    <w:qFormat/>
  </w:style>
  <w:style w:type="paragraph" w:styleId="aa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c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paragraph" w:styleId="af1">
    <w:name w:val="footnote text"/>
    <w:basedOn w:val="a"/>
    <w:link w:val="af0"/>
    <w:uiPriority w:val="99"/>
    <w:semiHidden/>
    <w:unhideWhenUsed/>
    <w:pPr>
      <w:spacing w:after="40" w:line="240" w:lineRule="auto"/>
    </w:pPr>
    <w:rPr>
      <w:sz w:val="18"/>
    </w:rPr>
  </w:style>
  <w:style w:type="paragraph" w:styleId="af5">
    <w:name w:val="endnote text"/>
    <w:basedOn w:val="a"/>
    <w:link w:val="af4"/>
    <w:uiPriority w:val="99"/>
    <w:semiHidden/>
    <w:unhideWhenUsed/>
    <w:pPr>
      <w:spacing w:after="0" w:line="240" w:lineRule="auto"/>
    </w:pPr>
    <w:rPr>
      <w:sz w:val="20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c">
    <w:name w:val="TOC Heading"/>
    <w:uiPriority w:val="39"/>
    <w:unhideWhenUsed/>
    <w:qFormat/>
    <w:pPr>
      <w:spacing w:after="200" w:line="276" w:lineRule="auto"/>
    </w:pPr>
  </w:style>
  <w:style w:type="paragraph" w:styleId="afd">
    <w:name w:val="table of figures"/>
    <w:basedOn w:val="a"/>
    <w:next w:val="a"/>
    <w:uiPriority w:val="99"/>
    <w:unhideWhenUsed/>
    <w:pPr>
      <w:spacing w:after="0"/>
    </w:pPr>
  </w:style>
  <w:style w:type="paragraph" w:styleId="afe">
    <w:name w:val="No Spacing"/>
    <w:basedOn w:val="a"/>
    <w:uiPriority w:val="1"/>
    <w:qFormat/>
    <w:pPr>
      <w:spacing w:after="0" w:line="240" w:lineRule="auto"/>
    </w:pPr>
  </w:style>
  <w:style w:type="paragraph" w:styleId="aff">
    <w:name w:val="List Paragraph"/>
    <w:basedOn w:val="a"/>
    <w:uiPriority w:val="34"/>
    <w:qFormat/>
    <w:pPr>
      <w:ind w:left="720"/>
      <w:contextualSpacing/>
    </w:pPr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styleId="24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  <w:tblPr/>
      <w:tcPr>
        <w:shd w:val="clear" w:color="FFFFFF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DEAF6" w:themeFill="accent1" w:themeFillTint="34"/>
      </w:tcPr>
    </w:tblStylePr>
    <w:tblStylePr w:type="band1Horz">
      <w:rPr>
        <w:sz w:val="22"/>
      </w:rPr>
      <w:tblPr/>
      <w:tcPr>
        <w:shd w:val="clear" w:color="FFFFFF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FFFFFF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EEBF6" w:themeFill="accent1" w:themeFillTint="32"/>
      </w:tcPr>
    </w:tblStylePr>
    <w:tblStylePr w:type="band1Horz">
      <w:rPr>
        <w:sz w:val="22"/>
      </w:rPr>
      <w:tblPr/>
      <w:tcPr>
        <w:shd w:val="clear" w:color="FFFFFF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FFFFF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FFFFFF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FFFF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FFFFFF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  <w:tblPr/>
      <w:tcPr>
        <w:shd w:val="clear" w:color="FFFFFF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b/>
        <w:sz w:val="22"/>
      </w:rPr>
      <w:tblPr/>
      <w:tcPr>
        <w:shd w:val="clear" w:color="FFFFFF" w:fill="000000" w:themeFill="text1"/>
      </w:tcPr>
    </w:tblStylePr>
    <w:tblStylePr w:type="lastCol">
      <w:rPr>
        <w:b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1"/>
      </w:tcPr>
    </w:tblStylePr>
    <w:tblStylePr w:type="firstCol">
      <w:rPr>
        <w:b/>
        <w:sz w:val="22"/>
      </w:rPr>
      <w:tblPr/>
      <w:tcPr>
        <w:shd w:val="clear" w:color="FFFFFF" w:fill="5B9BD5" w:themeFill="accent1"/>
      </w:tcPr>
    </w:tblStylePr>
    <w:tblStylePr w:type="lastCol">
      <w:rPr>
        <w:b/>
        <w:sz w:val="22"/>
      </w:rPr>
      <w:tblPr/>
      <w:tcPr>
        <w:shd w:val="clear" w:color="FFFFFF" w:fill="5B9BD5" w:themeFill="accent1"/>
      </w:tcPr>
    </w:tblStylePr>
    <w:tblStylePr w:type="band1Vert">
      <w:tblPr/>
      <w:tcPr>
        <w:shd w:val="clear" w:color="FFFFFF" w:fill="B3D0EB" w:themeFill="accent1" w:themeFillTint="75"/>
      </w:tcPr>
    </w:tblStylePr>
    <w:tblStylePr w:type="band1Horz">
      <w:tblPr/>
      <w:tcPr>
        <w:shd w:val="clear" w:color="FFFFFF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b/>
        <w:sz w:val="22"/>
      </w:rPr>
      <w:tblPr/>
      <w:tcPr>
        <w:shd w:val="clear" w:color="FFFFFF" w:fill="ED7D31" w:themeFill="accent2"/>
      </w:tcPr>
    </w:tblStylePr>
    <w:tblStylePr w:type="lastCol">
      <w:rPr>
        <w:b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b/>
        <w:sz w:val="22"/>
      </w:rPr>
      <w:tblPr/>
      <w:tcPr>
        <w:shd w:val="clear" w:color="FFFFFF" w:fill="A5A5A5" w:themeFill="accent3"/>
      </w:tcPr>
    </w:tblStylePr>
    <w:tblStylePr w:type="lastCol">
      <w:rPr>
        <w:b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b/>
        <w:sz w:val="22"/>
      </w:rPr>
      <w:tblPr/>
      <w:tcPr>
        <w:shd w:val="clear" w:color="FFFFFF" w:fill="FFC000" w:themeFill="accent4"/>
      </w:tcPr>
    </w:tblStylePr>
    <w:tblStylePr w:type="lastCol">
      <w:rPr>
        <w:b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5"/>
      </w:tcPr>
    </w:tblStylePr>
    <w:tblStylePr w:type="firstCol">
      <w:rPr>
        <w:b/>
        <w:sz w:val="22"/>
      </w:rPr>
      <w:tblPr/>
      <w:tcPr>
        <w:shd w:val="clear" w:color="FFFFFF" w:fill="4472C4" w:themeFill="accent5"/>
      </w:tcPr>
    </w:tblStylePr>
    <w:tblStylePr w:type="lastCol">
      <w:rPr>
        <w:b/>
        <w:sz w:val="22"/>
      </w:rPr>
      <w:tblPr/>
      <w:tcPr>
        <w:shd w:val="clear" w:color="FFFFFF" w:fill="4472C4" w:themeFill="accent5"/>
      </w:tcPr>
    </w:tblStylePr>
    <w:tblStylePr w:type="band1Vert">
      <w:tblPr/>
      <w:tcPr>
        <w:shd w:val="clear" w:color="FFFFFF" w:fill="A9BEE4" w:themeFill="accent5" w:themeFillTint="75"/>
      </w:tcPr>
    </w:tblStylePr>
    <w:tblStylePr w:type="band1Horz">
      <w:tblPr/>
      <w:tcPr>
        <w:shd w:val="clear" w:color="FFFFFF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b/>
        <w:sz w:val="22"/>
      </w:rPr>
      <w:tblPr/>
      <w:tcPr>
        <w:shd w:val="clear" w:color="FFFFFF" w:fill="70AD47" w:themeFill="accent6"/>
      </w:tcPr>
    </w:tblStylePr>
    <w:tblStylePr w:type="lastCol">
      <w:rPr>
        <w:b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FFFFFF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FFFFFF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tblPr/>
      <w:tcPr>
        <w:shd w:val="clear" w:color="FFFFFF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tblPr/>
      <w:tcPr>
        <w:shd w:val="clear" w:color="FFFFFF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FFFFFF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FFFFFF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FFFFFF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5E5F4" w:themeFill="accent1" w:themeFillTint="40"/>
      </w:tcPr>
    </w:tblStylePr>
    <w:tblStylePr w:type="band1Horz">
      <w:rPr>
        <w:sz w:val="22"/>
      </w:rPr>
      <w:tblPr/>
      <w:tcPr>
        <w:shd w:val="clear" w:color="FFFFFF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FFFFFF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FFFFFF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FFFF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FFFFFF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CFDBF0" w:themeFill="accent5" w:themeFillTint="40"/>
      </w:tcPr>
    </w:tblStylePr>
    <w:tblStylePr w:type="band1Horz">
      <w:rPr>
        <w:sz w:val="22"/>
      </w:rPr>
      <w:tblPr/>
      <w:tcPr>
        <w:shd w:val="clear" w:color="FFFFFF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FFFFFF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sz w:val="22"/>
      </w:rPr>
      <w:tblPr/>
      <w:tcPr>
        <w:shd w:val="clear" w:color="FFFFF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FFFFFF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FFFFFF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FFFFFF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ED7D31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ED7D31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A5A5A5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C000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C000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472C4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FFFFFF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0AD47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70AD47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tblPr>
      <w:tblStyleRowBandSize w:val="1"/>
      <w:tblStyleColBandSize w:val="1"/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FFFFFF" w:fill="7F7F7F" w:themeFill="text1" w:themeFillTint="80"/>
      </w:tcPr>
    </w:tblStylePr>
    <w:tblStylePr w:type="lastRow">
      <w:rPr>
        <w:sz w:val="22"/>
      </w:rPr>
      <w:tblPr/>
      <w:tcPr>
        <w:shd w:val="clear" w:color="FFFFFF" w:fill="7F7F7F" w:themeFill="text1" w:themeFillTint="80"/>
      </w:tcPr>
    </w:tblStylePr>
    <w:tblStylePr w:type="firstCol">
      <w:rPr>
        <w:sz w:val="22"/>
      </w:rPr>
      <w:tblPr/>
      <w:tcPr>
        <w:shd w:val="clear" w:color="FFFFFF" w:fill="7F7F7F" w:themeFill="text1" w:themeFillTint="80"/>
      </w:tcPr>
    </w:tblStylePr>
    <w:tblStylePr w:type="lastCol">
      <w:rPr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5B9BD5" w:themeColor="accent1"/>
        <w:insideV w:val="single" w:sz="4" w:space="0" w:color="5B9BD5" w:themeColor="accent1"/>
      </w:tblBorders>
    </w:tblPr>
    <w:tblStylePr w:type="firstRow">
      <w:rPr>
        <w:sz w:val="22"/>
      </w:rPr>
      <w:tblPr/>
      <w:tcPr>
        <w:shd w:val="clear" w:color="FFFFFF" w:fill="68A2D8" w:themeFill="accent1" w:themeFillTint="EA"/>
      </w:tcPr>
    </w:tblStylePr>
    <w:tblStylePr w:type="lastRow">
      <w:rPr>
        <w:sz w:val="22"/>
      </w:rPr>
      <w:tblPr/>
      <w:tcPr>
        <w:shd w:val="clear" w:color="FFFFFF" w:fill="68A2D8" w:themeFill="accent1" w:themeFillTint="EA"/>
      </w:tcPr>
    </w:tblStylePr>
    <w:tblStylePr w:type="firstCol">
      <w:rPr>
        <w:sz w:val="22"/>
      </w:rPr>
      <w:tblPr/>
      <w:tcPr>
        <w:shd w:val="clear" w:color="FFFFFF" w:fill="68A2D8" w:themeFill="accent1" w:themeFillTint="EA"/>
      </w:tcPr>
    </w:tblStylePr>
    <w:tblStylePr w:type="lastCol">
      <w:rPr>
        <w:sz w:val="22"/>
      </w:rPr>
      <w:tblPr/>
      <w:tcPr>
        <w:shd w:val="clear" w:color="FFFFFF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ED7D31" w:themeColor="accent2"/>
        <w:insideV w:val="single" w:sz="4" w:space="0" w:color="ED7D31" w:themeColor="accent2"/>
      </w:tblBorders>
    </w:tblPr>
    <w:tblStylePr w:type="firstRow">
      <w:rPr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A5A5A5" w:themeColor="accent3"/>
        <w:insideV w:val="single" w:sz="4" w:space="0" w:color="A5A5A5" w:themeColor="accent3"/>
      </w:tblBorders>
    </w:tblPr>
    <w:tblStylePr w:type="firstRow">
      <w:rPr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C000" w:themeColor="accent4"/>
        <w:insideV w:val="single" w:sz="4" w:space="0" w:color="FFC000" w:themeColor="accent4"/>
      </w:tblBorders>
    </w:tblPr>
    <w:tblStylePr w:type="firstRow">
      <w:rPr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sz w:val="22"/>
      </w:rPr>
      <w:tblPr/>
      <w:tcPr>
        <w:shd w:val="clear" w:color="FFFFFF" w:fill="4472C4" w:themeFill="accent5"/>
      </w:tcPr>
    </w:tblStylePr>
    <w:tblStylePr w:type="lastRow">
      <w:rPr>
        <w:sz w:val="22"/>
      </w:rPr>
      <w:tblPr/>
      <w:tcPr>
        <w:shd w:val="clear" w:color="FFFFFF" w:fill="4472C4" w:themeFill="accent5"/>
      </w:tcPr>
    </w:tblStylePr>
    <w:tblStylePr w:type="firstCol">
      <w:rPr>
        <w:sz w:val="22"/>
      </w:rPr>
      <w:tblPr/>
      <w:tcPr>
        <w:shd w:val="clear" w:color="FFFFFF" w:fill="4472C4" w:themeFill="accent5"/>
      </w:tcPr>
    </w:tblStylePr>
    <w:tblStylePr w:type="lastCol">
      <w:rPr>
        <w:sz w:val="22"/>
      </w:rPr>
      <w:tblPr/>
      <w:tcPr>
        <w:shd w:val="clear" w:color="FFFFFF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sz w:val="22"/>
      </w:rPr>
      <w:tblPr/>
      <w:tcPr>
        <w:shd w:val="clear" w:color="FFFFFF" w:fill="70AD47" w:themeFill="accent6"/>
      </w:tcPr>
    </w:tblStylePr>
    <w:tblStylePr w:type="lastRow">
      <w:rPr>
        <w:sz w:val="22"/>
      </w:rPr>
      <w:tblPr/>
      <w:tcPr>
        <w:shd w:val="clear" w:color="FFFFFF" w:fill="70AD47" w:themeFill="accent6"/>
      </w:tcPr>
    </w:tblStylePr>
    <w:tblStylePr w:type="firstCol">
      <w:rPr>
        <w:sz w:val="22"/>
      </w:rPr>
      <w:tblPr/>
      <w:tcPr>
        <w:shd w:val="clear" w:color="FFFFFF" w:fill="70AD47" w:themeFill="accent6"/>
      </w:tcPr>
    </w:tblStylePr>
    <w:tblStylePr w:type="lastCol">
      <w:rPr>
        <w:sz w:val="22"/>
      </w:rPr>
      <w:tblPr/>
      <w:tcPr>
        <w:shd w:val="clear" w:color="FFFFFF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Alex_0</dc:creator>
  <dc:description/>
  <cp:lastModifiedBy>Alex_0</cp:lastModifiedBy>
  <cp:revision>2</cp:revision>
  <dcterms:created xsi:type="dcterms:W3CDTF">2026-08-07T02:47:00Z</dcterms:created>
  <dcterms:modified xsi:type="dcterms:W3CDTF">2026-08-07T02:47:00Z</dcterms:modified>
  <dc:language>ru-RU</dc:language>
</cp:coreProperties>
</file>