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theme/theme1.xml" ContentType="application/vnd.openxmlformats-officedocument.theme+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rPr>
          <w:rFonts w:ascii="Times New Roman" w:hAnsi="Times New Roman"/>
          <w:sz w:val="28"/>
        </w:rPr>
      </w:pPr>
      <w:r>
        <w:rPr>
          <w:rFonts w:ascii="Times New Roman" w:hAnsi="Times New Roman"/>
          <w:sz w:val="28"/>
        </w:rPr>
        <w:drawing>
          <wp:anchor distT="0" distB="0" distL="114300" distR="114300" simplePos="0" relativeHeight="2" behindDoc="0" locked="0" layoutInCell="0" allowOverlap="1">
            <wp:simplePos x="0" y="0"/>
            <wp:positionH relativeFrom="margin">
              <wp:align>center</wp:align>
            </wp:positionH>
            <wp:positionV relativeFrom="paragraph">
              <wp:posOffset>635</wp:posOffset>
            </wp:positionV>
            <wp:extent cx="647700" cy="807720"/>
            <wp:effectExtent l="0" t="0" r="0" b="0"/>
            <wp:wrapTight wrapText="bothSides">
              <wp:wrapPolygon edited="0">
                <wp:start x="-2" y="0"/>
                <wp:lineTo x="-2" y="20883"/>
                <wp:lineTo x="20966" y="20883"/>
                <wp:lineTo x="20966" y="0"/>
                <wp:lineTo x="-2"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2"/>
                    <a:stretch>
                      <a:fillRect/>
                    </a:stretch>
                  </pic:blipFill>
                  <pic:spPr bwMode="auto">
                    <a:xfrm>
                      <a:off x="0" y="0"/>
                      <a:ext cx="647700" cy="807720"/>
                    </a:xfrm>
                    <a:prstGeom prst="rect">
                      <a:avLst/>
                    </a:prstGeom>
                    <a:noFill/>
                  </pic:spPr>
                </pic:pic>
              </a:graphicData>
            </a:graphic>
          </wp:anchor>
        </w:drawing>
      </w:r>
    </w:p>
    <w:p>
      <w:pPr>
        <w:pStyle w:val="Normal"/>
        <w:spacing w:lineRule="auto" w:line="360" w:before="0" w:after="0"/>
        <w:jc w:val="center"/>
        <w:rPr>
          <w:rFonts w:ascii="Times New Roman" w:hAnsi="Times New Roman"/>
          <w:sz w:val="32"/>
        </w:rPr>
      </w:pPr>
      <w:r>
        <w:rPr>
          <w:rFonts w:ascii="Times New Roman" w:hAnsi="Times New Roman"/>
          <w:sz w:val="32"/>
        </w:rPr>
      </w:r>
    </w:p>
    <w:p>
      <w:pPr>
        <w:pStyle w:val="Normal"/>
        <w:spacing w:lineRule="auto" w:line="240" w:before="0" w:after="0"/>
        <w:jc w:val="center"/>
        <w:rPr>
          <w:rFonts w:ascii="Times New Roman" w:hAnsi="Times New Roman"/>
          <w:b/>
          <w:sz w:val="32"/>
        </w:rPr>
      </w:pPr>
      <w:r>
        <w:rPr>
          <w:rFonts w:ascii="Times New Roman" w:hAnsi="Times New Roman"/>
          <w:b/>
          <w:sz w:val="32"/>
        </w:rPr>
      </w:r>
    </w:p>
    <w:p>
      <w:pPr>
        <w:pStyle w:val="Normal"/>
        <w:spacing w:lineRule="auto" w:line="240" w:before="0" w:after="0"/>
        <w:rPr>
          <w:rFonts w:ascii="Times New Roman" w:hAnsi="Times New Roman"/>
          <w:b/>
          <w:sz w:val="32"/>
        </w:rPr>
      </w:pPr>
      <w:r>
        <w:rPr>
          <w:rFonts w:ascii="Times New Roman" w:hAnsi="Times New Roman"/>
          <w:b/>
          <w:sz w:val="32"/>
        </w:rPr>
      </w:r>
    </w:p>
    <w:p>
      <w:pPr>
        <w:pStyle w:val="Normal"/>
        <w:spacing w:lineRule="auto" w:line="240" w:before="0" w:after="0"/>
        <w:jc w:val="center"/>
        <w:rPr>
          <w:rFonts w:ascii="Times New Roman" w:hAnsi="Times New Roman"/>
          <w:b/>
          <w:sz w:val="32"/>
        </w:rPr>
      </w:pPr>
      <w:r>
        <w:rPr>
          <w:rFonts w:ascii="Times New Roman" w:hAnsi="Times New Roman"/>
          <w:b/>
          <w:sz w:val="32"/>
        </w:rPr>
        <w:t>П О С Т А Н О В Л Е Н И Е</w:t>
      </w:r>
    </w:p>
    <w:p>
      <w:pPr>
        <w:pStyle w:val="Normal"/>
        <w:spacing w:lineRule="auto" w:line="240" w:before="0" w:after="0"/>
        <w:jc w:val="center"/>
        <w:rPr>
          <w:rFonts w:ascii="Times New Roman" w:hAnsi="Times New Roman"/>
          <w:b/>
          <w:sz w:val="28"/>
        </w:rPr>
      </w:pPr>
      <w:r>
        <w:rPr>
          <w:rFonts w:ascii="Times New Roman" w:hAnsi="Times New Roman"/>
          <w:b/>
          <w:sz w:val="28"/>
        </w:rPr>
      </w:r>
    </w:p>
    <w:p>
      <w:pPr>
        <w:pStyle w:val="Normal"/>
        <w:spacing w:lineRule="auto" w:line="240" w:before="0" w:after="0"/>
        <w:jc w:val="center"/>
        <w:rPr>
          <w:rFonts w:ascii="Times New Roman" w:hAnsi="Times New Roman"/>
          <w:b/>
          <w:sz w:val="28"/>
        </w:rPr>
      </w:pPr>
      <w:r>
        <w:rPr>
          <w:rFonts w:ascii="Times New Roman" w:hAnsi="Times New Roman"/>
          <w:b/>
          <w:sz w:val="28"/>
        </w:rPr>
        <w:t>ПРАВИТЕЛЬСТВА</w:t>
      </w:r>
    </w:p>
    <w:p>
      <w:pPr>
        <w:pStyle w:val="Normal"/>
        <w:spacing w:lineRule="auto" w:line="240" w:before="0" w:after="0"/>
        <w:jc w:val="center"/>
        <w:rPr>
          <w:rFonts w:ascii="Times New Roman" w:hAnsi="Times New Roman"/>
          <w:b/>
          <w:sz w:val="28"/>
        </w:rPr>
      </w:pPr>
      <w:r>
        <w:rPr>
          <w:rFonts w:ascii="Times New Roman" w:hAnsi="Times New Roman"/>
          <w:b/>
          <w:sz w:val="28"/>
        </w:rPr>
        <w:t>КАМЧАТСКОГО КРАЯ</w:t>
      </w:r>
    </w:p>
    <w:p>
      <w:pPr>
        <w:pStyle w:val="Normal"/>
        <w:spacing w:lineRule="auto" w:line="240" w:before="0" w:after="0"/>
        <w:ind w:firstLine="709" w:start="0"/>
        <w:jc w:val="center"/>
        <w:rPr>
          <w:rFonts w:ascii="Times New Roman" w:hAnsi="Times New Roman"/>
          <w:sz w:val="28"/>
        </w:rPr>
      </w:pPr>
      <w:r>
        <w:rPr>
          <w:rFonts w:ascii="Times New Roman" w:hAnsi="Times New Roman"/>
          <w:sz w:val="28"/>
        </w:rPr>
      </w:r>
    </w:p>
    <w:tbl>
      <w:tblPr>
        <w:tblStyle w:val="904"/>
        <w:tblW w:w="4253" w:type="dxa"/>
        <w:jc w:val="start"/>
        <w:tblInd w:w="0" w:type="dxa"/>
        <w:tblLayout w:type="fixed"/>
        <w:tblCellMar>
          <w:top w:w="0" w:type="dxa"/>
          <w:start w:w="0" w:type="dxa"/>
          <w:bottom w:w="0" w:type="dxa"/>
          <w:end w:w="0" w:type="dxa"/>
        </w:tblCellMar>
        <w:tblLook w:val="04a0" w:noHBand="0" w:noVBand="1" w:firstColumn="1" w:lastRow="0" w:lastColumn="0" w:firstRow="1"/>
      </w:tblPr>
      <w:tblGrid>
        <w:gridCol w:w="4253"/>
      </w:tblGrid>
      <w:tr>
        <w:trPr>
          <w:trHeight w:val="234" w:hRule="atLeast"/>
        </w:trPr>
        <w:tc>
          <w:tcPr>
            <w:tcW w:w="4253" w:type="dxa"/>
            <w:tcBorders/>
          </w:tcPr>
          <w:p>
            <w:pPr>
              <w:pStyle w:val="Normal"/>
              <w:widowControl/>
              <w:spacing w:lineRule="auto" w:line="240" w:before="0" w:after="0"/>
              <w:ind w:hanging="142" w:start="142"/>
              <w:jc w:val="start"/>
              <w:rPr>
                <w:rFonts w:ascii="Times New Roman" w:hAnsi="Times New Roman"/>
                <w:sz w:val="24"/>
              </w:rPr>
            </w:pPr>
            <w:bookmarkStart w:id="0" w:name="REGNUMDATESTAMP"/>
            <w:r>
              <w:rPr>
                <w:rFonts w:eastAsia="Times New Roman" w:cs="Times New Roman" w:ascii="Times New Roman" w:hAnsi="Times New Roman"/>
                <w:color w:val="FFFFFF"/>
                <w:kern w:val="0"/>
                <w:sz w:val="24"/>
                <w:szCs w:val="20"/>
                <w:lang w:val="ru-RU" w:eastAsia="zh-CN" w:bidi="ar-SA"/>
              </w:rPr>
              <w:t>[Дата регистрации] № [Номер</w:t>
            </w:r>
            <w:r>
              <w:rPr>
                <w:rFonts w:eastAsia="Times New Roman" w:cs="Times New Roman" w:ascii="Times New Roman" w:hAnsi="Times New Roman"/>
                <w:color w:val="FFFFFF"/>
                <w:kern w:val="0"/>
                <w:sz w:val="20"/>
                <w:szCs w:val="20"/>
                <w:lang w:val="ru-RU" w:eastAsia="zh-CN" w:bidi="ar-SA"/>
              </w:rPr>
              <w:t xml:space="preserve"> документа</w:t>
            </w:r>
            <w:r>
              <w:rPr>
                <w:rFonts w:eastAsia="Times New Roman" w:cs="Times New Roman" w:ascii="Times New Roman" w:hAnsi="Times New Roman"/>
                <w:color w:val="FFFFFF"/>
                <w:kern w:val="0"/>
                <w:sz w:val="24"/>
                <w:szCs w:val="20"/>
                <w:lang w:val="ru-RU" w:eastAsia="zh-CN" w:bidi="ar-SA"/>
              </w:rPr>
              <w:t>]</w:t>
            </w:r>
            <w:bookmarkEnd w:id="0"/>
          </w:p>
        </w:tc>
      </w:tr>
      <w:tr>
        <w:trPr>
          <w:trHeight w:val="247" w:hRule="atLeast"/>
        </w:trPr>
        <w:tc>
          <w:tcPr>
            <w:tcW w:w="4253" w:type="dxa"/>
            <w:tcBorders/>
          </w:tcPr>
          <w:p>
            <w:pPr>
              <w:pStyle w:val="Normal"/>
              <w:widowControl/>
              <w:spacing w:lineRule="auto" w:line="240" w:before="0" w:after="0"/>
              <w:jc w:val="center"/>
              <w:rPr>
                <w:rFonts w:ascii="Times New Roman" w:hAnsi="Times New Roman"/>
                <w:u w:val="single"/>
              </w:rPr>
            </w:pPr>
            <w:r>
              <w:rPr>
                <w:rFonts w:eastAsia="Times New Roman" w:cs="Times New Roman" w:ascii="Times New Roman" w:hAnsi="Times New Roman"/>
                <w:color w:val="000000"/>
                <w:kern w:val="0"/>
                <w:sz w:val="22"/>
                <w:szCs w:val="20"/>
                <w:lang w:val="ru-RU" w:eastAsia="zh-CN" w:bidi="ar-SA"/>
              </w:rPr>
              <w:t>г. Петропавловск-Камчатский</w:t>
            </w:r>
          </w:p>
        </w:tc>
      </w:tr>
      <w:tr>
        <w:trPr>
          <w:trHeight w:val="80" w:hRule="atLeast"/>
        </w:trPr>
        <w:tc>
          <w:tcPr>
            <w:tcW w:w="4253" w:type="dxa"/>
            <w:tcBorders/>
          </w:tcPr>
          <w:p>
            <w:pPr>
              <w:pStyle w:val="Normal"/>
              <w:widowControl/>
              <w:spacing w:lineRule="auto" w:line="240" w:before="0" w:after="0"/>
              <w:jc w:val="both"/>
              <w:rPr>
                <w:rFonts w:ascii="Times New Roman" w:hAnsi="Times New Roman"/>
                <w:sz w:val="20"/>
              </w:rPr>
            </w:pPr>
            <w:r>
              <w:rPr>
                <w:rFonts w:eastAsia="Times New Roman" w:cs="Times New Roman" w:ascii="Times New Roman" w:hAnsi="Times New Roman"/>
                <w:color w:val="000000"/>
                <w:kern w:val="0"/>
                <w:sz w:val="20"/>
                <w:szCs w:val="20"/>
                <w:lang w:val="ru-RU" w:eastAsia="zh-CN" w:bidi="ar-SA"/>
              </w:rPr>
            </w:r>
          </w:p>
        </w:tc>
      </w:tr>
    </w:tbl>
    <w:p>
      <w:pPr>
        <w:pStyle w:val="Normal"/>
        <w:spacing w:lineRule="auto" w:line="240" w:before="0" w:after="0"/>
        <w:ind w:firstLine="709" w:start="0"/>
        <w:jc w:val="both"/>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b/>
          <w:sz w:val="28"/>
        </w:rPr>
      </w:pPr>
      <w:r>
        <w:rPr>
          <w:rFonts w:ascii="Times New Roman" w:hAnsi="Times New Roman"/>
          <w:b/>
          <w:sz w:val="28"/>
        </w:rPr>
        <w:t>Об утверждении Порядка предоставления из краевого бюджета субсидий юридическим лицам в целях финансового обеспечения затрат на реализацию мероприятий Плана социального развития центров экономического роста Камчатского края и проведения отбора получателей указанных субсидий</w:t>
      </w:r>
    </w:p>
    <w:p>
      <w:pPr>
        <w:pStyle w:val="Normal"/>
        <w:spacing w:lineRule="auto" w:line="240" w:before="0" w:after="0"/>
        <w:ind w:firstLine="709" w:start="0"/>
        <w:jc w:val="both"/>
        <w:rPr>
          <w:rFonts w:ascii="Times New Roman" w:hAnsi="Times New Roman"/>
          <w:sz w:val="28"/>
        </w:rPr>
      </w:pPr>
      <w:r>
        <w:rPr>
          <w:rFonts w:ascii="Times New Roman" w:hAnsi="Times New Roman"/>
          <w:sz w:val="28"/>
        </w:rPr>
      </w:r>
    </w:p>
    <w:p>
      <w:pPr>
        <w:pStyle w:val="Normal"/>
        <w:spacing w:lineRule="auto" w:line="240" w:before="0" w:after="0"/>
        <w:ind w:firstLine="709" w:start="0"/>
        <w:jc w:val="both"/>
        <w:rPr>
          <w:rFonts w:ascii="Times New Roman" w:hAnsi="Times New Roman"/>
          <w:sz w:val="28"/>
        </w:rPr>
      </w:pPr>
      <w:r>
        <w:rPr>
          <w:rFonts w:ascii="Times New Roman" w:hAnsi="Times New Roman"/>
          <w:sz w:val="28"/>
        </w:rPr>
        <w:t>В соответствии со статьями 78 и 78⁵ Бюджетного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постановлением Правительства Российской Федерации от 15.04.2014 № 308 «Об утверждении государственной программы Российской Федерации «Социально-экономическое развитие Дальневосточного федерального округа»</w:t>
      </w:r>
    </w:p>
    <w:p>
      <w:pPr>
        <w:pStyle w:val="Normal"/>
        <w:spacing w:lineRule="auto" w:line="240" w:before="0" w:after="0"/>
        <w:ind w:firstLine="709" w:start="0"/>
        <w:jc w:val="both"/>
        <w:rPr>
          <w:rFonts w:ascii="Times New Roman" w:hAnsi="Times New Roman"/>
          <w:sz w:val="28"/>
        </w:rPr>
      </w:pPr>
      <w:r>
        <w:rPr>
          <w:rFonts w:ascii="Times New Roman" w:hAnsi="Times New Roman"/>
          <w:sz w:val="28"/>
        </w:rPr>
      </w:r>
    </w:p>
    <w:p>
      <w:pPr>
        <w:pStyle w:val="Normal"/>
        <w:spacing w:lineRule="auto" w:line="240" w:before="0" w:after="0"/>
        <w:ind w:firstLine="709" w:start="0"/>
        <w:jc w:val="both"/>
        <w:rPr>
          <w:rFonts w:ascii="Times New Roman" w:hAnsi="Times New Roman"/>
          <w:sz w:val="28"/>
        </w:rPr>
      </w:pPr>
      <w:r>
        <w:rPr>
          <w:rFonts w:ascii="Times New Roman" w:hAnsi="Times New Roman"/>
          <w:sz w:val="28"/>
        </w:rPr>
        <w:t>ПРАВИТЕЛЬСТВО ПОСТАНОВЛЯЕТ:</w:t>
      </w:r>
    </w:p>
    <w:p>
      <w:pPr>
        <w:pStyle w:val="Normal"/>
        <w:spacing w:lineRule="auto" w:line="240" w:before="0" w:after="0"/>
        <w:ind w:firstLine="709" w:start="0"/>
        <w:jc w:val="both"/>
        <w:rPr>
          <w:rFonts w:ascii="Times New Roman" w:hAnsi="Times New Roman"/>
          <w:sz w:val="28"/>
        </w:rPr>
      </w:pPr>
      <w:r>
        <w:rPr>
          <w:rFonts w:ascii="Times New Roman" w:hAnsi="Times New Roman"/>
          <w:sz w:val="28"/>
        </w:rPr>
      </w:r>
    </w:p>
    <w:p>
      <w:pPr>
        <w:pStyle w:val="Normal"/>
        <w:spacing w:lineRule="auto" w:line="240" w:before="0" w:after="0"/>
        <w:ind w:firstLine="709" w:start="0"/>
        <w:jc w:val="both"/>
        <w:rPr/>
      </w:pPr>
      <w:r>
        <w:rPr>
          <w:rFonts w:ascii="Times New Roman" w:hAnsi="Times New Roman"/>
          <w:sz w:val="28"/>
        </w:rPr>
        <w:t>1. Утвердить Порядок предоставления из краевого бюджета субсидий юридическим лицам в целях финансового обеспечения затрат на реализацию мероприятий Плана социального развития центров экономического роста Камчатского края и проведения отбора получателей указанных субсидий согласно приложению к настоящему постановлению.</w:t>
      </w:r>
    </w:p>
    <w:p>
      <w:pPr>
        <w:pStyle w:val="Normal"/>
        <w:spacing w:lineRule="auto" w:line="240" w:before="0" w:after="0"/>
        <w:ind w:firstLine="709" w:start="0"/>
        <w:jc w:val="both"/>
        <w:rPr/>
      </w:pPr>
      <w:r>
        <w:rPr>
          <w:rFonts w:ascii="Times New Roman" w:hAnsi="Times New Roman"/>
          <w:sz w:val="28"/>
        </w:rPr>
        <w:t>2. Настоящее постановление вступает в силу после дня его официального опубликования.</w:t>
      </w:r>
    </w:p>
    <w:p>
      <w:pPr>
        <w:pStyle w:val="Normal"/>
        <w:spacing w:lineRule="auto" w:line="240" w:before="0" w:after="0"/>
        <w:ind w:firstLine="709" w:start="0"/>
        <w:jc w:val="both"/>
        <w:rPr>
          <w:rFonts w:ascii="Times New Roman" w:hAnsi="Times New Roman"/>
          <w:sz w:val="28"/>
        </w:rPr>
      </w:pPr>
      <w:r>
        <w:rPr>
          <w:rFonts w:ascii="Times New Roman" w:hAnsi="Times New Roman"/>
          <w:sz w:val="28"/>
        </w:rPr>
      </w:r>
    </w:p>
    <w:p>
      <w:pPr>
        <w:pStyle w:val="Normal"/>
        <w:spacing w:lineRule="auto" w:line="240" w:before="0" w:after="0"/>
        <w:ind w:firstLine="709" w:start="0"/>
        <w:jc w:val="both"/>
        <w:rPr>
          <w:rFonts w:ascii="Times New Roman" w:hAnsi="Times New Roman"/>
          <w:sz w:val="28"/>
        </w:rPr>
      </w:pPr>
      <w:r>
        <w:rPr>
          <w:rFonts w:ascii="Times New Roman" w:hAnsi="Times New Roman"/>
          <w:sz w:val="28"/>
        </w:rPr>
      </w:r>
    </w:p>
    <w:tbl>
      <w:tblPr>
        <w:tblStyle w:val="904"/>
        <w:tblW w:w="9674" w:type="dxa"/>
        <w:jc w:val="start"/>
        <w:tblInd w:w="-34" w:type="dxa"/>
        <w:tblLayout w:type="fixed"/>
        <w:tblCellMar>
          <w:top w:w="0" w:type="dxa"/>
          <w:start w:w="0" w:type="dxa"/>
          <w:bottom w:w="0" w:type="dxa"/>
          <w:end w:w="0" w:type="dxa"/>
        </w:tblCellMar>
        <w:tblLook w:val="04a0" w:noHBand="0" w:noVBand="1" w:firstColumn="1" w:lastRow="0" w:lastColumn="0" w:firstRow="1"/>
      </w:tblPr>
      <w:tblGrid>
        <w:gridCol w:w="3578"/>
        <w:gridCol w:w="3544"/>
        <w:gridCol w:w="2552"/>
      </w:tblGrid>
      <w:tr>
        <w:trPr>
          <w:trHeight w:val="1107" w:hRule="atLeast"/>
        </w:trPr>
        <w:tc>
          <w:tcPr>
            <w:tcW w:w="3578" w:type="dxa"/>
            <w:tcBorders/>
            <w:shd w:color="auto" w:fill="auto" w:val="clear"/>
          </w:tcPr>
          <w:p>
            <w:pPr>
              <w:pStyle w:val="Normal"/>
              <w:widowControl/>
              <w:spacing w:lineRule="auto" w:line="240" w:before="0" w:after="0"/>
              <w:ind w:hanging="0" w:start="30" w:end="27"/>
              <w:jc w:val="start"/>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t xml:space="preserve">Председатель </w:t>
            </w:r>
          </w:p>
          <w:p>
            <w:pPr>
              <w:pStyle w:val="Normal"/>
              <w:widowControl/>
              <w:spacing w:lineRule="auto" w:line="240" w:before="0" w:after="0"/>
              <w:ind w:hanging="0" w:start="30" w:end="27"/>
              <w:jc w:val="start"/>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t xml:space="preserve">Правительства </w:t>
            </w:r>
          </w:p>
          <w:p>
            <w:pPr>
              <w:pStyle w:val="Normal"/>
              <w:widowControl/>
              <w:spacing w:lineRule="auto" w:line="240" w:before="0" w:after="0"/>
              <w:ind w:hanging="0" w:start="30" w:end="27"/>
              <w:jc w:val="start"/>
              <w:rPr>
                <w:rFonts w:ascii="Times New Roman" w:hAnsi="Times New Roman"/>
                <w:color w:themeColor="text1" w:val="000000"/>
                <w:sz w:val="24"/>
              </w:rPr>
            </w:pPr>
            <w:r>
              <w:rPr>
                <w:rFonts w:eastAsia="Times New Roman" w:cs="Times New Roman" w:ascii="Times New Roman" w:hAnsi="Times New Roman"/>
                <w:color w:themeColor="text1" w:val="000000"/>
                <w:kern w:val="0"/>
                <w:sz w:val="28"/>
                <w:szCs w:val="20"/>
                <w:lang w:val="ru-RU" w:eastAsia="zh-CN" w:bidi="ar-SA"/>
              </w:rPr>
              <w:t>Камчатского края</w:t>
            </w:r>
          </w:p>
          <w:p>
            <w:pPr>
              <w:pStyle w:val="Normal"/>
              <w:widowControl/>
              <w:spacing w:lineRule="auto" w:line="240" w:before="0" w:after="0"/>
              <w:ind w:hanging="0" w:start="30" w:end="27"/>
              <w:jc w:val="start"/>
              <w:rPr>
                <w:rFonts w:ascii="Times New Roman" w:hAnsi="Times New Roman"/>
                <w:color w:themeColor="text1" w:val="000000"/>
                <w:sz w:val="24"/>
              </w:rPr>
            </w:pPr>
            <w:r>
              <w:rPr>
                <w:rFonts w:eastAsia="Times New Roman" w:cs="Times New Roman" w:ascii="Times New Roman" w:hAnsi="Times New Roman"/>
                <w:color w:themeColor="text1" w:val="000000"/>
                <w:kern w:val="0"/>
                <w:sz w:val="24"/>
                <w:szCs w:val="20"/>
                <w:lang w:val="ru-RU" w:eastAsia="zh-CN" w:bidi="ar-SA"/>
              </w:rPr>
            </w:r>
          </w:p>
        </w:tc>
        <w:tc>
          <w:tcPr>
            <w:tcW w:w="3544" w:type="dxa"/>
            <w:tcBorders/>
            <w:shd w:color="auto" w:fill="auto" w:val="clear"/>
          </w:tcPr>
          <w:p>
            <w:pPr>
              <w:pStyle w:val="Normal"/>
              <w:widowControl/>
              <w:spacing w:lineRule="auto" w:line="240" w:before="0" w:after="0"/>
              <w:ind w:hanging="3" w:start="3"/>
              <w:jc w:val="start"/>
              <w:rPr>
                <w:rFonts w:ascii="Times New Roman" w:hAnsi="Times New Roman"/>
                <w:color w:themeColor="text1" w:val="000000"/>
                <w:sz w:val="24"/>
              </w:rPr>
            </w:pPr>
            <w:r>
              <w:rPr>
                <w:rFonts w:eastAsia="Times New Roman" w:cs="Times New Roman" w:ascii="Times New Roman" w:hAnsi="Times New Roman"/>
                <w:color w:themeColor="text1" w:val="000000"/>
                <w:kern w:val="0"/>
                <w:sz w:val="24"/>
                <w:szCs w:val="20"/>
                <w:lang w:val="ru-RU" w:eastAsia="zh-CN" w:bidi="ar-SA"/>
              </w:rPr>
            </w:r>
          </w:p>
          <w:p>
            <w:pPr>
              <w:pStyle w:val="Normal"/>
              <w:widowControl/>
              <w:spacing w:lineRule="auto" w:line="240" w:before="0" w:after="0"/>
              <w:ind w:hanging="3" w:start="3"/>
              <w:jc w:val="start"/>
              <w:rPr>
                <w:rFonts w:ascii="Times New Roman" w:hAnsi="Times New Roman"/>
                <w:color w:themeColor="text1" w:val="000000"/>
                <w:sz w:val="24"/>
              </w:rPr>
            </w:pPr>
            <w:r>
              <w:rPr>
                <w:rFonts w:eastAsia="Times New Roman" w:cs="Times New Roman" w:ascii="Times New Roman" w:hAnsi="Times New Roman"/>
                <w:color w:themeColor="text1" w:val="000000"/>
                <w:kern w:val="0"/>
                <w:sz w:val="24"/>
                <w:szCs w:val="20"/>
                <w:lang w:val="ru-RU" w:eastAsia="zh-CN" w:bidi="ar-SA"/>
              </w:rPr>
            </w:r>
          </w:p>
          <w:p>
            <w:pPr>
              <w:pStyle w:val="Normal"/>
              <w:widowControl/>
              <w:spacing w:lineRule="auto" w:line="240" w:before="0" w:after="0"/>
              <w:ind w:hanging="0" w:start="-1130"/>
              <w:jc w:val="start"/>
              <w:rPr>
                <w:rFonts w:ascii="Times New Roman" w:hAnsi="Times New Roman"/>
                <w:color w:themeColor="text1" w:val="000000"/>
                <w:sz w:val="24"/>
              </w:rPr>
            </w:pPr>
            <w:bookmarkStart w:id="1" w:name="SIGNERSTAMP1"/>
            <w:r>
              <w:rPr>
                <w:rFonts w:eastAsia="Times New Roman" w:cs="Times New Roman" w:ascii="Times New Roman" w:hAnsi="Times New Roman"/>
                <w:color w:themeColor="background1" w:val="FFFFFF"/>
                <w:kern w:val="0"/>
                <w:sz w:val="24"/>
                <w:szCs w:val="20"/>
                <w:lang w:val="ru-RU" w:eastAsia="zh-CN" w:bidi="ar-SA"/>
              </w:rPr>
              <w:t>[горизонтальный штамп подписи 1]</w:t>
            </w:r>
            <w:bookmarkEnd w:id="1"/>
          </w:p>
        </w:tc>
        <w:tc>
          <w:tcPr>
            <w:tcW w:w="2552" w:type="dxa"/>
            <w:tcBorders/>
            <w:shd w:color="auto" w:fill="auto" w:val="clear"/>
          </w:tcPr>
          <w:p>
            <w:pPr>
              <w:pStyle w:val="Normal"/>
              <w:widowControl/>
              <w:spacing w:lineRule="auto" w:line="240" w:before="0" w:after="0"/>
              <w:jc w:val="end"/>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r>
          </w:p>
          <w:p>
            <w:pPr>
              <w:pStyle w:val="Normal"/>
              <w:widowControl/>
              <w:spacing w:lineRule="auto" w:line="240" w:before="0" w:after="0"/>
              <w:jc w:val="end"/>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r>
          </w:p>
          <w:p>
            <w:pPr>
              <w:pStyle w:val="Normal"/>
              <w:widowControl/>
              <w:spacing w:lineRule="auto" w:line="240" w:before="0" w:after="0"/>
              <w:jc w:val="end"/>
              <w:rPr>
                <w:rFonts w:ascii="Times New Roman" w:hAnsi="Times New Roman"/>
                <w:color w:themeColor="text1" w:val="000000"/>
                <w:sz w:val="28"/>
              </w:rPr>
            </w:pPr>
            <w:r>
              <w:rPr>
                <w:rFonts w:eastAsia="Times New Roman" w:cs="Times New Roman" w:ascii="Times New Roman" w:hAnsi="Times New Roman"/>
                <w:color w:themeColor="text1" w:val="000000"/>
                <w:kern w:val="0"/>
                <w:sz w:val="28"/>
                <w:szCs w:val="20"/>
                <w:lang w:val="ru-RU" w:eastAsia="zh-CN" w:bidi="ar-SA"/>
              </w:rPr>
              <w:t>Ю.С. Морозова</w:t>
            </w:r>
          </w:p>
        </w:tc>
      </w:tr>
    </w:tbl>
    <w:p>
      <w:pPr>
        <w:pStyle w:val="Normal"/>
        <w:spacing w:lineRule="auto" w:line="240" w:before="0" w:after="160"/>
        <w:rPr>
          <w:rFonts w:ascii="Times New Roman" w:hAnsi="Times New Roman"/>
          <w:sz w:val="28"/>
        </w:rPr>
        <w:sectPr>
          <w:headerReference w:type="even" r:id="rId3"/>
          <w:headerReference w:type="default" r:id="rId4"/>
          <w:headerReference w:type="first" r:id="rId5"/>
          <w:type w:val="nextPage"/>
          <w:pgSz w:w="11906" w:h="16838"/>
          <w:pgMar w:left="1418" w:right="851" w:gutter="0" w:header="709" w:top="1112" w:footer="0" w:bottom="419"/>
          <w:pgNumType w:fmt="decimal"/>
          <w:formProt w:val="false"/>
          <w:titlePg/>
          <w:textDirection w:val="lrTb"/>
          <w:docGrid w:type="default" w:linePitch="360" w:charSpace="0"/>
        </w:sectPr>
      </w:pPr>
      <w:r>
        <w:rPr>
          <w:rFonts w:ascii="Times New Roman" w:hAnsi="Times New Roman"/>
          <w:sz w:val="28"/>
        </w:rPr>
      </w:r>
    </w:p>
    <w:p>
      <w:pPr>
        <w:pStyle w:val="Normal"/>
        <w:spacing w:lineRule="auto" w:line="240" w:before="0" w:after="0"/>
        <w:rPr>
          <w:rFonts w:ascii="Times New Roman" w:hAnsi="Times New Roman"/>
          <w:sz w:val="28"/>
        </w:rPr>
      </w:pPr>
      <w:r>
        <w:rPr>
          <w:rFonts w:ascii="Times New Roman" w:hAnsi="Times New Roman"/>
          <w:sz w:val="28"/>
        </w:rPr>
      </w:r>
    </w:p>
    <w:tbl>
      <w:tblPr>
        <w:tblStyle w:val="920"/>
        <w:tblW w:w="9637"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79"/>
        <w:gridCol w:w="480"/>
        <w:gridCol w:w="480"/>
        <w:gridCol w:w="3661"/>
        <w:gridCol w:w="480"/>
        <w:gridCol w:w="1870"/>
        <w:gridCol w:w="486"/>
        <w:gridCol w:w="1701"/>
      </w:tblGrid>
      <w:tr>
        <w:trPr/>
        <w:tc>
          <w:tcPr>
            <w:tcW w:w="479" w:type="dxa"/>
            <w:tcBorders>
              <w:top w:val="nil"/>
              <w:start w:val="nil"/>
              <w:bottom w:val="nil"/>
              <w:end w:val="nil"/>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op w:val="nil"/>
              <w:start w:val="nil"/>
              <w:bottom w:val="nil"/>
              <w:end w:val="nil"/>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op w:val="nil"/>
              <w:start w:val="nil"/>
              <w:bottom w:val="nil"/>
              <w:end w:val="nil"/>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3661" w:type="dxa"/>
            <w:tcBorders>
              <w:top w:val="nil"/>
              <w:start w:val="nil"/>
              <w:bottom w:val="nil"/>
              <w:end w:val="nil"/>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537" w:type="dxa"/>
            <w:gridSpan w:val="4"/>
            <w:tcBorders>
              <w:top w:val="nil"/>
              <w:start w:val="nil"/>
              <w:bottom w:val="nil"/>
              <w:end w:val="nil"/>
            </w:tcBorders>
          </w:tcPr>
          <w:p>
            <w:pPr>
              <w:pStyle w:val="Normal"/>
              <w:widowControl w:val="false"/>
              <w:spacing w:lineRule="auto" w:line="240" w:before="0" w:after="0"/>
              <w:ind w:hanging="8079" w:start="8079"/>
              <w:jc w:val="start"/>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t>Приложение к постановлению</w:t>
            </w:r>
          </w:p>
        </w:tc>
      </w:tr>
      <w:tr>
        <w:trPr/>
        <w:tc>
          <w:tcPr>
            <w:tcW w:w="479" w:type="dxa"/>
            <w:tcBorders>
              <w:top w:val="nil"/>
              <w:start w:val="nil"/>
              <w:bottom w:val="nil"/>
              <w:end w:val="nil"/>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op w:val="nil"/>
              <w:start w:val="nil"/>
              <w:bottom w:val="nil"/>
              <w:end w:val="nil"/>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op w:val="nil"/>
              <w:start w:val="nil"/>
              <w:bottom w:val="nil"/>
              <w:end w:val="nil"/>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3661" w:type="dxa"/>
            <w:tcBorders>
              <w:top w:val="nil"/>
              <w:start w:val="nil"/>
              <w:bottom w:val="nil"/>
              <w:end w:val="nil"/>
            </w:tcBorders>
          </w:tcPr>
          <w:p>
            <w:pPr>
              <w:pStyle w:val="Normal"/>
              <w:widowControl w:val="false"/>
              <w:spacing w:lineRule="auto" w:line="240" w:before="0" w:after="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537" w:type="dxa"/>
            <w:gridSpan w:val="4"/>
            <w:tcBorders>
              <w:top w:val="nil"/>
              <w:start w:val="nil"/>
              <w:bottom w:val="nil"/>
              <w:end w:val="nil"/>
            </w:tcBorders>
          </w:tcPr>
          <w:p>
            <w:pPr>
              <w:pStyle w:val="Normal"/>
              <w:widowControl w:val="false"/>
              <w:spacing w:lineRule="auto" w:line="240" w:before="0" w:after="0"/>
              <w:ind w:hanging="8079" w:start="8079"/>
              <w:jc w:val="start"/>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t>Правительства Камчатского края</w:t>
            </w:r>
          </w:p>
        </w:tc>
      </w:tr>
      <w:tr>
        <w:trPr/>
        <w:tc>
          <w:tcPr>
            <w:tcW w:w="479" w:type="dxa"/>
            <w:tcBorders>
              <w:top w:val="nil"/>
              <w:start w:val="nil"/>
              <w:bottom w:val="nil"/>
              <w:end w:val="nil"/>
            </w:tcBorders>
          </w:tcPr>
          <w:p>
            <w:pPr>
              <w:pStyle w:val="Normal"/>
              <w:widowControl/>
              <w:spacing w:lineRule="auto" w:line="240" w:before="0" w:after="6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op w:val="nil"/>
              <w:start w:val="nil"/>
              <w:bottom w:val="nil"/>
              <w:end w:val="nil"/>
            </w:tcBorders>
          </w:tcPr>
          <w:p>
            <w:pPr>
              <w:pStyle w:val="Normal"/>
              <w:widowControl/>
              <w:spacing w:lineRule="auto" w:line="240" w:before="0" w:after="6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op w:val="nil"/>
              <w:start w:val="nil"/>
              <w:bottom w:val="nil"/>
              <w:end w:val="nil"/>
            </w:tcBorders>
          </w:tcPr>
          <w:p>
            <w:pPr>
              <w:pStyle w:val="Normal"/>
              <w:widowControl/>
              <w:spacing w:lineRule="auto" w:line="240" w:before="0" w:after="6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3661" w:type="dxa"/>
            <w:tcBorders>
              <w:top w:val="nil"/>
              <w:start w:val="nil"/>
              <w:bottom w:val="nil"/>
              <w:end w:val="nil"/>
            </w:tcBorders>
          </w:tcPr>
          <w:p>
            <w:pPr>
              <w:pStyle w:val="Normal"/>
              <w:widowControl/>
              <w:spacing w:lineRule="auto" w:line="240" w:before="0" w:after="6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r>
          </w:p>
        </w:tc>
        <w:tc>
          <w:tcPr>
            <w:tcW w:w="480" w:type="dxa"/>
            <w:tcBorders>
              <w:top w:val="nil"/>
              <w:start w:val="nil"/>
              <w:bottom w:val="nil"/>
              <w:end w:val="nil"/>
            </w:tcBorders>
          </w:tcPr>
          <w:p>
            <w:pPr>
              <w:pStyle w:val="Normal"/>
              <w:widowControl/>
              <w:spacing w:lineRule="auto" w:line="240" w:before="0" w:after="6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t>от</w:t>
            </w:r>
          </w:p>
        </w:tc>
        <w:tc>
          <w:tcPr>
            <w:tcW w:w="1870" w:type="dxa"/>
            <w:tcBorders>
              <w:top w:val="nil"/>
              <w:start w:val="nil"/>
              <w:bottom w:val="nil"/>
              <w:end w:val="nil"/>
            </w:tcBorders>
          </w:tcPr>
          <w:p>
            <w:pPr>
              <w:pStyle w:val="Normal"/>
              <w:widowControl/>
              <w:spacing w:lineRule="auto" w:line="240" w:before="0" w:after="60"/>
              <w:ind w:hanging="8079" w:start="8079"/>
              <w:jc w:val="end"/>
              <w:rPr>
                <w:rFonts w:ascii="Times New Roman" w:hAnsi="Times New Roman"/>
                <w:color w:themeColor="background1" w:val="FFFFFF"/>
                <w:sz w:val="28"/>
              </w:rPr>
            </w:pPr>
            <w:r>
              <w:rPr>
                <w:rFonts w:eastAsia="Times New Roman" w:cs="Times New Roman" w:ascii="Times New Roman" w:hAnsi="Times New Roman"/>
                <w:color w:themeColor="background1" w:val="FFFFFF"/>
                <w:kern w:val="0"/>
                <w:sz w:val="28"/>
                <w:szCs w:val="20"/>
                <w:lang w:val="ru-RU" w:eastAsia="zh-CN" w:bidi="ar-SA"/>
              </w:rPr>
              <w:t>[R</w:t>
            </w:r>
            <w:r>
              <w:rPr>
                <w:rFonts w:eastAsia="Times New Roman" w:cs="Times New Roman" w:ascii="Times New Roman" w:hAnsi="Times New Roman"/>
                <w:color w:themeColor="background1" w:val="FFFFFF"/>
                <w:kern w:val="0"/>
                <w:sz w:val="16"/>
                <w:szCs w:val="20"/>
                <w:lang w:val="ru-RU" w:eastAsia="zh-CN" w:bidi="ar-SA"/>
              </w:rPr>
              <w:t>EGDATESTAMP]</w:t>
            </w:r>
          </w:p>
        </w:tc>
        <w:tc>
          <w:tcPr>
            <w:tcW w:w="486" w:type="dxa"/>
            <w:tcBorders>
              <w:top w:val="nil"/>
              <w:start w:val="nil"/>
              <w:bottom w:val="nil"/>
              <w:end w:val="nil"/>
            </w:tcBorders>
          </w:tcPr>
          <w:p>
            <w:pPr>
              <w:pStyle w:val="Normal"/>
              <w:widowControl/>
              <w:spacing w:lineRule="auto" w:line="240" w:before="0" w:after="60"/>
              <w:ind w:hanging="8079" w:start="8079"/>
              <w:jc w:val="end"/>
              <w:rPr>
                <w:rFonts w:ascii="Times New Roman" w:hAnsi="Times New Roman"/>
                <w:sz w:val="28"/>
              </w:rPr>
            </w:pPr>
            <w:r>
              <w:rPr>
                <w:rFonts w:eastAsia="Times New Roman" w:cs="Times New Roman" w:ascii="Times New Roman" w:hAnsi="Times New Roman"/>
                <w:color w:val="000000"/>
                <w:kern w:val="0"/>
                <w:sz w:val="28"/>
                <w:szCs w:val="20"/>
                <w:lang w:val="ru-RU" w:eastAsia="zh-CN" w:bidi="ar-SA"/>
              </w:rPr>
              <w:t>№</w:t>
            </w:r>
          </w:p>
        </w:tc>
        <w:tc>
          <w:tcPr>
            <w:tcW w:w="1701" w:type="dxa"/>
            <w:tcBorders>
              <w:top w:val="nil"/>
              <w:start w:val="nil"/>
              <w:bottom w:val="nil"/>
              <w:end w:val="nil"/>
            </w:tcBorders>
          </w:tcPr>
          <w:p>
            <w:pPr>
              <w:pStyle w:val="Normal"/>
              <w:widowControl/>
              <w:spacing w:lineRule="auto" w:line="240" w:before="0" w:after="60"/>
              <w:ind w:hanging="8079" w:start="8079"/>
              <w:jc w:val="end"/>
              <w:rPr>
                <w:rFonts w:ascii="Times New Roman" w:hAnsi="Times New Roman"/>
                <w:color w:themeColor="background1" w:val="FFFFFF"/>
                <w:sz w:val="28"/>
              </w:rPr>
            </w:pPr>
            <w:r>
              <w:rPr>
                <w:rFonts w:eastAsia="Times New Roman" w:cs="Times New Roman" w:ascii="Times New Roman" w:hAnsi="Times New Roman"/>
                <w:color w:themeColor="background1" w:val="FFFFFF"/>
                <w:kern w:val="0"/>
                <w:sz w:val="28"/>
                <w:szCs w:val="20"/>
                <w:lang w:val="ru-RU" w:eastAsia="zh-CN" w:bidi="ar-SA"/>
              </w:rPr>
              <w:t>[R</w:t>
            </w:r>
            <w:r>
              <w:rPr>
                <w:rFonts w:eastAsia="Times New Roman" w:cs="Times New Roman" w:ascii="Times New Roman" w:hAnsi="Times New Roman"/>
                <w:color w:themeColor="background1" w:val="FFFFFF"/>
                <w:kern w:val="0"/>
                <w:sz w:val="16"/>
                <w:szCs w:val="20"/>
                <w:lang w:val="ru-RU" w:eastAsia="zh-CN" w:bidi="ar-SA"/>
              </w:rPr>
              <w:t>EGNUMSTAMP]</w:t>
            </w:r>
          </w:p>
        </w:tc>
      </w:tr>
    </w:tbl>
    <w:p>
      <w:pPr>
        <w:pStyle w:val="Normal"/>
        <w:spacing w:lineRule="auto" w:line="240" w:before="0" w:after="0"/>
        <w:rPr/>
      </w:pPr>
      <w:r>
        <w:rPr/>
      </w:r>
    </w:p>
    <w:p>
      <w:pPr>
        <w:pStyle w:val="Normal"/>
        <w:spacing w:lineRule="auto" w:line="240" w:before="0" w:after="0"/>
        <w:jc w:val="center"/>
        <w:rPr/>
      </w:pPr>
      <w:r>
        <w:rPr>
          <w:rFonts w:ascii="Times New Roman" w:hAnsi="Times New Roman"/>
          <w:sz w:val="28"/>
        </w:rPr>
        <w:t>Порядок</w:t>
      </w:r>
    </w:p>
    <w:p>
      <w:pPr>
        <w:pStyle w:val="Normal"/>
        <w:spacing w:lineRule="auto" w:line="240" w:before="0" w:after="0"/>
        <w:jc w:val="center"/>
        <w:rPr/>
      </w:pPr>
      <w:r>
        <w:rPr>
          <w:rFonts w:ascii="Times New Roman" w:hAnsi="Times New Roman"/>
          <w:sz w:val="28"/>
        </w:rPr>
        <w:t>предоставления из краевого бюджета субсидий юридическим лицам в целях финансового обеспечения затрат на реализацию мероприятий Плана социального развития центров экономического роста Камчатского края и проведения отбора получателей указанных субсидий</w:t>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pPr>
      <w:r>
        <w:rPr>
          <w:rFonts w:ascii="Times New Roman" w:hAnsi="Times New Roman"/>
          <w:sz w:val="28"/>
        </w:rPr>
        <w:t>1. Общие положения</w:t>
      </w:r>
    </w:p>
    <w:p>
      <w:pPr>
        <w:pStyle w:val="Normal"/>
        <w:spacing w:lineRule="auto" w:line="240" w:before="0" w:after="0"/>
        <w:jc w:val="center"/>
        <w:rPr>
          <w:rFonts w:ascii="Times New Roman" w:hAnsi="Times New Roman"/>
          <w:sz w:val="28"/>
        </w:rPr>
      </w:pPr>
      <w:r>
        <w:rPr>
          <w:rFonts w:ascii="Times New Roman" w:hAnsi="Times New Roman"/>
          <w:sz w:val="28"/>
        </w:rPr>
      </w:r>
    </w:p>
    <w:p>
      <w:pPr>
        <w:pStyle w:val="ListParagraph1111111111111111"/>
        <w:spacing w:lineRule="auto" w:line="240" w:before="0" w:after="0"/>
        <w:ind w:firstLine="709" w:start="0"/>
        <w:contextualSpacing/>
        <w:jc w:val="both"/>
        <w:rPr/>
      </w:pPr>
      <w:r>
        <w:rPr>
          <w:rFonts w:ascii="Times New Roman" w:hAnsi="Times New Roman"/>
          <w:color w:val="151515"/>
          <w:sz w:val="28"/>
        </w:rPr>
        <w:t>1. Настоящий Порядок регулирует вопросы предоставления из краевого бюджета, в том числе за счет средств федерального бюджета, предоставляемых бюджету Камчатского края в соответствии с Правилами предоставления и распределения субсидий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утвержденными постановлением Правительства Российской Федерации от 15.04.2014 № 308, субсидий юридическим лицам в целях финансового обеспечения затрат на реализацию мероприятий Плана социального развития центров экономического роста Камчатского края, утвержденного распоряжением Правительства Камчатского края от 25.06.2018 № 270-РП (далее соответственно – субсидия, участники отбора, получатели субсидии, мероприятия, План), и проведения отбора получателей субсидии (далее – отбор).</w:t>
      </w:r>
    </w:p>
    <w:p>
      <w:pPr>
        <w:pStyle w:val="ListParagraph1111111111111111"/>
        <w:spacing w:lineRule="auto" w:line="240" w:before="0" w:after="0"/>
        <w:ind w:firstLine="709" w:start="0"/>
        <w:contextualSpacing/>
        <w:jc w:val="both"/>
        <w:rPr/>
      </w:pPr>
      <w:r>
        <w:rPr>
          <w:rFonts w:ascii="Times New Roman" w:hAnsi="Times New Roman"/>
          <w:color w:val="151515"/>
          <w:sz w:val="28"/>
        </w:rPr>
        <w:t>2. Целью предоставления субсидии является реализация мероприятий Плана, направленных на создание инфраструктуры территории опережающего развития «Камчатка», а также достижение результатов регионального проекта «Создание инфраструктуры территории опережающего развития «Камчатка» (далее – региональный проект), являющегося структурным элементом государственной программы Камчатского края «Развитие экономики и внешнеэкономической деятельности Камчатского края», утвержденной постановлением Правительства Камчатского края от 28.12.2023 № 711-П.</w:t>
      </w:r>
    </w:p>
    <w:p>
      <w:pPr>
        <w:pStyle w:val="ListParagraph1111111111111111"/>
        <w:spacing w:lineRule="auto" w:line="240" w:before="0" w:after="0"/>
        <w:ind w:firstLine="709" w:start="0"/>
        <w:contextualSpacing/>
        <w:jc w:val="both"/>
        <w:rPr/>
      </w:pPr>
      <w:r>
        <w:rPr>
          <w:rFonts w:ascii="Times New Roman" w:hAnsi="Times New Roman"/>
          <w:color w:val="151515"/>
          <w:sz w:val="28"/>
        </w:rPr>
        <w:t>3. Министерство экономического развития Камчатского края (далее – Министерство) осуществляет функции главного распорядителя средств краевого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w:t>
      </w:r>
    </w:p>
    <w:p>
      <w:pPr>
        <w:pStyle w:val="ListParagraph1111111111111111"/>
        <w:spacing w:lineRule="auto" w:line="240" w:before="0" w:after="0"/>
        <w:ind w:firstLine="709" w:start="0"/>
        <w:contextualSpacing/>
        <w:jc w:val="both"/>
        <w:rPr/>
      </w:pPr>
      <w:r>
        <w:rPr>
          <w:rFonts w:ascii="Times New Roman" w:hAnsi="Times New Roman"/>
          <w:color w:val="151515"/>
          <w:sz w:val="28"/>
        </w:rPr>
        <w:t>4. Субсидии предоставляются в пределах лимитов бюджетных обязательств, доведенных в установленном порядке до Министерства.</w:t>
      </w:r>
    </w:p>
    <w:p>
      <w:pPr>
        <w:pStyle w:val="ListParagraph1111111111111111"/>
        <w:spacing w:lineRule="auto" w:line="240" w:before="0" w:after="0"/>
        <w:ind w:firstLine="709" w:start="0"/>
        <w:contextualSpacing/>
        <w:jc w:val="both"/>
        <w:rPr/>
      </w:pPr>
      <w:r>
        <w:rPr>
          <w:rFonts w:ascii="Times New Roman" w:hAnsi="Times New Roman"/>
          <w:color w:val="151515"/>
          <w:sz w:val="28"/>
        </w:rPr>
        <w:t>5. Субсидии носят целевой характер и не могут быть использованы на цели, не предусмотренные настоящим Порядком, объявлением о проведении отбора и соглашением.</w:t>
      </w:r>
    </w:p>
    <w:p>
      <w:pPr>
        <w:pStyle w:val="ListParagraph1111111111111111"/>
        <w:spacing w:lineRule="auto" w:line="240" w:before="0" w:after="0"/>
        <w:ind w:firstLine="709" w:start="0"/>
        <w:contextualSpacing/>
        <w:jc w:val="both"/>
        <w:rPr/>
      </w:pPr>
      <w:r>
        <w:rPr>
          <w:rFonts w:ascii="Times New Roman" w:hAnsi="Times New Roman"/>
          <w:color w:val="151515"/>
          <w:sz w:val="28"/>
        </w:rPr>
        <w:t>6. Способом предоставления субсидии является финансовое обеспечение затрат.</w:t>
      </w:r>
    </w:p>
    <w:p>
      <w:pPr>
        <w:pStyle w:val="ListParagraph1111111111111111"/>
        <w:spacing w:lineRule="auto" w:line="240" w:before="0" w:after="0"/>
        <w:ind w:firstLine="709" w:start="0"/>
        <w:contextualSpacing/>
        <w:jc w:val="both"/>
        <w:rPr>
          <w:rFonts w:ascii="Times New Roman" w:hAnsi="Times New Roman"/>
          <w:color w:val="151515"/>
          <w:sz w:val="28"/>
        </w:rPr>
      </w:pPr>
      <w:r>
        <w:rPr>
          <w:rFonts w:ascii="Times New Roman" w:hAnsi="Times New Roman"/>
          <w:color w:val="151515"/>
          <w:sz w:val="28"/>
        </w:rPr>
        <w:t>7. Информация о субсидиях, в том числе предусмотренных законом Камчатского края о краевом бюджете (законом Камчатского края о внесении изменений в закон о краевом бюджете),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pPr>
      <w:r>
        <w:rPr>
          <w:rFonts w:ascii="Times New Roman" w:hAnsi="Times New Roman"/>
          <w:color w:val="151515"/>
          <w:sz w:val="28"/>
        </w:rPr>
        <w:t>2. Иные положения</w:t>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ind w:firstLine="709" w:start="0"/>
        <w:jc w:val="both"/>
        <w:rPr/>
      </w:pPr>
      <w:r>
        <w:rPr>
          <w:rFonts w:ascii="Times New Roman" w:hAnsi="Times New Roman"/>
          <w:color w:val="151515"/>
          <w:sz w:val="28"/>
        </w:rPr>
        <w:t>8. К категории отбора относятся юридические лица, являющиеся управляющими компаниями территории опережающего развития, которые в соответствии со статьей 8 Федерального закона от 29.12.2014 № 473-ФЗ «О территориях опережающего развития в Российской Федерации» (далее – Федеральный закон № 473-ФЗ) вправе выступать в качестве застройщика объектов инфраструктуры территории опережающего развития «Камчатка», или дочерними обществами управляющих компаний территории опережающего развития, которые в соответствии со статьей 11 Федерального закона № 473-ФЗ вправе выступать в качестве застройщика объектов инфраструктуры территории опережающего развития «Камчатка» (далее также – участники отбора, получатели субсидии).</w:t>
      </w:r>
    </w:p>
    <w:p>
      <w:pPr>
        <w:pStyle w:val="Normal"/>
        <w:spacing w:lineRule="auto" w:line="240" w:before="0" w:after="0"/>
        <w:ind w:firstLine="709" w:start="0"/>
        <w:jc w:val="both"/>
        <w:rPr/>
      </w:pPr>
      <w:r>
        <w:rPr>
          <w:rFonts w:ascii="Times New Roman" w:hAnsi="Times New Roman"/>
          <w:color w:val="151515"/>
          <w:sz w:val="28"/>
        </w:rPr>
        <w:t>9. К участию в отборе допускаются юридические лица, соответствующие категории, установленной частью 8 настоящего Порядка, и требованиям, установленным частью 13 настоящего Порядка.</w:t>
      </w:r>
    </w:p>
    <w:p>
      <w:pPr>
        <w:pStyle w:val="Normal"/>
        <w:spacing w:lineRule="auto" w:line="240" w:before="0" w:after="0"/>
        <w:ind w:firstLine="709" w:start="0"/>
        <w:jc w:val="both"/>
        <w:rPr/>
      </w:pPr>
      <w:r>
        <w:rPr>
          <w:rFonts w:ascii="Times New Roman" w:hAnsi="Times New Roman"/>
          <w:color w:val="151515"/>
          <w:sz w:val="28"/>
        </w:rPr>
        <w:t>10. К направлениям расходов, источником финансового обеспечения которых является субсидия, относятся непосредственно связанные с реализацией мероприятия расходы на:</w:t>
      </w:r>
    </w:p>
    <w:p>
      <w:pPr>
        <w:pStyle w:val="Normal"/>
        <w:spacing w:lineRule="auto" w:line="240" w:before="0" w:after="0"/>
        <w:ind w:firstLine="709" w:start="0"/>
        <w:jc w:val="both"/>
        <w:rPr/>
      </w:pPr>
      <w:r>
        <w:rPr>
          <w:rFonts w:ascii="Times New Roman" w:hAnsi="Times New Roman"/>
          <w:color w:val="151515"/>
          <w:sz w:val="28"/>
        </w:rPr>
        <w:t>1) выполнение инженерных изысканий, подготовку, корректировку и экспертизу проектной и сметной документации, проведение проверки достоверности определения сметной стоимости;</w:t>
      </w:r>
    </w:p>
    <w:p>
      <w:pPr>
        <w:pStyle w:val="Normal"/>
        <w:spacing w:lineRule="auto" w:line="240" w:before="0" w:after="0"/>
        <w:ind w:firstLine="709" w:start="0"/>
        <w:jc w:val="both"/>
        <w:rPr/>
      </w:pPr>
      <w:r>
        <w:rPr>
          <w:rFonts w:ascii="Times New Roman" w:hAnsi="Times New Roman"/>
          <w:color w:val="151515"/>
          <w:sz w:val="28"/>
        </w:rPr>
        <w:t>2) строительство, реконструкцию, капитальный ремонт, снос объектов капитального строительства, благоустройство территорий, выполнение строительно-монтажных, ремонтных, пусконаладочных и иных технологически связанных работ;</w:t>
      </w:r>
    </w:p>
    <w:p>
      <w:pPr>
        <w:pStyle w:val="Normal"/>
        <w:spacing w:lineRule="auto" w:line="240" w:before="0" w:after="0"/>
        <w:ind w:firstLine="709" w:start="0"/>
        <w:jc w:val="both"/>
        <w:rPr/>
      </w:pPr>
      <w:r>
        <w:rPr>
          <w:rFonts w:ascii="Times New Roman" w:hAnsi="Times New Roman"/>
          <w:color w:val="151515"/>
          <w:sz w:val="28"/>
        </w:rPr>
        <w:t>3) технологическое присоединение (подключение) объектов к сетям инженерно-технического обеспечения, создание, реконструкцию и перенос инженерных сетей и коммуникаций;</w:t>
      </w:r>
    </w:p>
    <w:p>
      <w:pPr>
        <w:pStyle w:val="Normal"/>
        <w:spacing w:lineRule="auto" w:line="240" w:before="0" w:after="0"/>
        <w:ind w:firstLine="709" w:start="0"/>
        <w:jc w:val="both"/>
        <w:rPr/>
      </w:pPr>
      <w:r>
        <w:rPr>
          <w:rFonts w:ascii="Times New Roman" w:hAnsi="Times New Roman"/>
          <w:color w:val="151515"/>
          <w:sz w:val="28"/>
        </w:rPr>
        <w:t>4) приобретение, изготовление, поставку, доставку, хранение, монтаж и ввод в эксплуатацию оборудования, машин, механизмов, транспортных средств, инвентаря, материалов и комплектующих изделий;</w:t>
      </w:r>
    </w:p>
    <w:p>
      <w:pPr>
        <w:pStyle w:val="Normal"/>
        <w:spacing w:lineRule="auto" w:line="240" w:before="0" w:after="0"/>
        <w:ind w:firstLine="709" w:start="0"/>
        <w:jc w:val="both"/>
        <w:rPr/>
      </w:pPr>
      <w:r>
        <w:rPr>
          <w:rFonts w:ascii="Times New Roman" w:hAnsi="Times New Roman"/>
          <w:color w:val="151515"/>
          <w:sz w:val="28"/>
        </w:rPr>
        <w:t>5) приобретение объектов недвижимого и иного имущества, если такое приобретение прямо предусмотрено мероприятием и не противоречит бюджетному законодательству Российской Федерации;</w:t>
      </w:r>
    </w:p>
    <w:p>
      <w:pPr>
        <w:pStyle w:val="Normal"/>
        <w:spacing w:lineRule="auto" w:line="240" w:before="0" w:after="0"/>
        <w:ind w:firstLine="709" w:start="0"/>
        <w:jc w:val="both"/>
        <w:rPr/>
      </w:pPr>
      <w:r>
        <w:rPr>
          <w:rFonts w:ascii="Times New Roman" w:hAnsi="Times New Roman"/>
          <w:color w:val="151515"/>
          <w:sz w:val="28"/>
        </w:rPr>
        <w:t>6) выполнение работ и оказание услуг, непосредственно обеспечивающих реализацию мероприятия, включая строительный контроль, авторский надзор, техническое обследование, кадастровые и геодезические работы, подготовку технических планов, страхование объекта, восстановительные и компенсационные мероприятия;</w:t>
      </w:r>
    </w:p>
    <w:p>
      <w:pPr>
        <w:pStyle w:val="Normal"/>
        <w:spacing w:lineRule="auto" w:line="240" w:before="0" w:after="0"/>
        <w:ind w:firstLine="709" w:start="0"/>
        <w:jc w:val="both"/>
        <w:rPr/>
      </w:pPr>
      <w:r>
        <w:rPr>
          <w:rFonts w:ascii="Times New Roman" w:hAnsi="Times New Roman"/>
          <w:color w:val="151515"/>
          <w:sz w:val="28"/>
        </w:rPr>
        <w:t>7) уплату обязательных платежей и компенсаций, связанных с реализацией мероприятия, а также оплату банковской гарантии, предоставляемой в обеспечение исполнения договора (контракта), если такие расходы предусмотрены утвержденной сметной документацией или расчетом затрат;</w:t>
      </w:r>
    </w:p>
    <w:p>
      <w:pPr>
        <w:pStyle w:val="Normal"/>
        <w:spacing w:lineRule="auto" w:line="240" w:before="0" w:after="0"/>
        <w:ind w:firstLine="709" w:start="0"/>
        <w:jc w:val="both"/>
        <w:rPr/>
      </w:pPr>
      <w:r>
        <w:rPr>
          <w:rFonts w:ascii="Times New Roman" w:hAnsi="Times New Roman"/>
          <w:color w:val="151515"/>
          <w:sz w:val="28"/>
        </w:rPr>
        <w:t>8) иные товары, работы и услуги, прямо предусмотренные содержанием мероприятия, утвержденной проектной и (или) сметной документацией либо расчетом затрат и непосредственно необходимые для достижения результата предоставления субсидии.</w:t>
      </w:r>
    </w:p>
    <w:p>
      <w:pPr>
        <w:pStyle w:val="Normal"/>
        <w:spacing w:lineRule="auto" w:line="240" w:before="0" w:after="0"/>
        <w:ind w:firstLine="709" w:start="0"/>
        <w:jc w:val="both"/>
        <w:rPr/>
      </w:pPr>
      <w:r>
        <w:rPr>
          <w:rFonts w:ascii="Times New Roman" w:hAnsi="Times New Roman"/>
          <w:color w:val="151515"/>
          <w:sz w:val="28"/>
        </w:rPr>
        <w:t>11. Конкретные направления расходов (затрат) по каждому мероприятию устанавливаются в объявлении о проведении отбора и соглашении в пределах направлений, предусмотренных настоящей частью.</w:t>
      </w:r>
    </w:p>
    <w:p>
      <w:pPr>
        <w:pStyle w:val="Normal"/>
        <w:spacing w:lineRule="auto" w:line="240" w:before="0" w:after="0"/>
        <w:ind w:firstLine="709" w:start="0"/>
        <w:jc w:val="both"/>
        <w:rPr/>
      </w:pPr>
      <w:r>
        <w:rPr>
          <w:rFonts w:ascii="Times New Roman" w:hAnsi="Times New Roman"/>
          <w:color w:val="151515"/>
          <w:sz w:val="28"/>
        </w:rPr>
        <w:t>12. Не допускается направление субсидии на уплату штрафов, пеней, неустоек, процентов за пользование чужими денежными средствами, возмещение убытков, а также на расходы, ранее возмещенные или финансово обеспеченные за счет средств бюджетов бюджетной системы Российской Федерации.</w:t>
      </w:r>
    </w:p>
    <w:p>
      <w:pPr>
        <w:pStyle w:val="Normal"/>
        <w:spacing w:lineRule="auto" w:line="240" w:before="0" w:after="0"/>
        <w:ind w:firstLine="709" w:start="0"/>
        <w:jc w:val="both"/>
        <w:rPr/>
      </w:pPr>
      <w:r>
        <w:rPr>
          <w:rFonts w:ascii="Times New Roman" w:hAnsi="Times New Roman"/>
          <w:color w:val="151515"/>
          <w:sz w:val="28"/>
        </w:rPr>
        <w:t>13. Условием предоставления субсидии является соответствие получателя субсидии на даты рассмотрения заявки и заключения соглашения следующим требованиям:</w:t>
      </w:r>
    </w:p>
    <w:p>
      <w:pPr>
        <w:pStyle w:val="Normal"/>
        <w:spacing w:lineRule="auto" w:line="240" w:before="0" w:after="0"/>
        <w:ind w:firstLine="709" w:start="0"/>
        <w:jc w:val="both"/>
        <w:rPr/>
      </w:pPr>
      <w:r>
        <w:rPr>
          <w:rFonts w:ascii="Times New Roman" w:hAnsi="Times New Roman"/>
          <w:color w:val="151515"/>
          <w:sz w:val="28"/>
        </w:rPr>
        <w:t>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указанной доли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реализованное через участие в капитале указанных публичных акционерных обществ;</w:t>
      </w:r>
    </w:p>
    <w:p>
      <w:pPr>
        <w:pStyle w:val="Normal"/>
        <w:spacing w:lineRule="auto" w:line="240" w:before="0" w:after="0"/>
        <w:ind w:firstLine="709" w:start="0"/>
        <w:jc w:val="both"/>
        <w:rPr/>
      </w:pPr>
      <w:r>
        <w:rPr>
          <w:rFonts w:ascii="Times New Roman" w:hAnsi="Times New Roman"/>
          <w:color w:val="151515"/>
          <w:sz w:val="28"/>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ind w:firstLine="709" w:start="0"/>
        <w:jc w:val="both"/>
        <w:rPr/>
      </w:pPr>
      <w:r>
        <w:rPr>
          <w:rFonts w:ascii="Times New Roman" w:hAnsi="Times New Roman"/>
          <w:color w:val="151515"/>
          <w:sz w:val="28"/>
        </w:rPr>
        <w:t>3) получатель субсидии не находится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его решениями,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ind w:firstLine="709" w:start="0"/>
        <w:jc w:val="both"/>
        <w:rPr/>
      </w:pPr>
      <w:r>
        <w:rPr>
          <w:rFonts w:ascii="Times New Roman" w:hAnsi="Times New Roman"/>
          <w:color w:val="151515"/>
          <w:sz w:val="28"/>
        </w:rPr>
        <w:t>4) получатель субсидии не получает средства из краевого бюджета на основании иных нормативных правовых актов Камчатского края на цель и затраты, на которые предоставляется субсидия;</w:t>
      </w:r>
    </w:p>
    <w:p>
      <w:pPr>
        <w:pStyle w:val="Normal"/>
        <w:spacing w:lineRule="auto" w:line="240" w:before="0" w:after="0"/>
        <w:ind w:firstLine="709" w:start="0"/>
        <w:jc w:val="both"/>
        <w:rPr/>
      </w:pPr>
      <w:r>
        <w:rPr>
          <w:rFonts w:ascii="Times New Roman" w:hAnsi="Times New Roman"/>
          <w:color w:val="151515"/>
          <w:sz w:val="28"/>
        </w:rPr>
        <w:t>5) получатель субсидии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Normal"/>
        <w:spacing w:lineRule="auto" w:line="240" w:before="0" w:after="0"/>
        <w:ind w:firstLine="709" w:start="0"/>
        <w:jc w:val="both"/>
        <w:rPr/>
      </w:pPr>
      <w:r>
        <w:rPr>
          <w:rFonts w:ascii="Times New Roman" w:hAnsi="Times New Roman"/>
          <w:color w:val="151515"/>
          <w:sz w:val="28"/>
        </w:rPr>
        <w:t>6)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Normal"/>
        <w:spacing w:lineRule="auto" w:line="240" w:before="0" w:after="0"/>
        <w:ind w:firstLine="709" w:start="0"/>
        <w:jc w:val="both"/>
        <w:rPr/>
      </w:pPr>
      <w:r>
        <w:rPr>
          <w:rFonts w:ascii="Times New Roman" w:hAnsi="Times New Roman"/>
          <w:color w:val="151515"/>
          <w:sz w:val="28"/>
        </w:rPr>
        <w:t>7) у получателя субсидии отсутствуют просроченная задолженность по возврату в краевой бюджет иных субсидий, бюджетных инвестиций, а также иная просроченная (неурегулированная) задолженность по денежным обязательствам перед Камчатским краем;</w:t>
      </w:r>
    </w:p>
    <w:p>
      <w:pPr>
        <w:pStyle w:val="Normal"/>
        <w:spacing w:lineRule="auto" w:line="240" w:before="0" w:after="0"/>
        <w:ind w:firstLine="709" w:start="0"/>
        <w:jc w:val="both"/>
        <w:rPr/>
      </w:pPr>
      <w:r>
        <w:rPr>
          <w:rFonts w:ascii="Times New Roman" w:hAnsi="Times New Roman"/>
          <w:color w:val="151515"/>
          <w:sz w:val="28"/>
        </w:rPr>
        <w:t>8)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pPr>
        <w:pStyle w:val="Normal"/>
        <w:spacing w:lineRule="auto" w:line="240" w:before="0" w:after="0"/>
        <w:ind w:firstLine="709" w:start="0"/>
        <w:jc w:val="both"/>
        <w:rPr/>
      </w:pPr>
      <w:r>
        <w:rPr>
          <w:rFonts w:ascii="Times New Roman" w:hAnsi="Times New Roman"/>
          <w:color w:val="151515"/>
          <w:sz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p>
    <w:p>
      <w:pPr>
        <w:pStyle w:val="Normal"/>
        <w:spacing w:lineRule="auto" w:line="240" w:before="0" w:after="0"/>
        <w:ind w:firstLine="709" w:start="0"/>
        <w:jc w:val="both"/>
        <w:rPr/>
      </w:pPr>
      <w:r>
        <w:rPr>
          <w:rFonts w:ascii="Times New Roman" w:hAnsi="Times New Roman"/>
          <w:color w:val="151515"/>
          <w:sz w:val="28"/>
        </w:rPr>
        <w:t>14. По результатам отбора с победителем отбора заключается соглашение о предоставлении субсидии (далее – соглашение)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 в порядке и сроки, установленные частью 71 настоящего Порядка.</w:t>
      </w:r>
    </w:p>
    <w:p>
      <w:pPr>
        <w:pStyle w:val="Normal"/>
        <w:spacing w:lineRule="auto" w:line="240" w:before="0" w:after="0"/>
        <w:ind w:firstLine="709" w:start="0"/>
        <w:jc w:val="both"/>
        <w:rPr/>
      </w:pPr>
      <w:r>
        <w:rPr>
          <w:rFonts w:ascii="Times New Roman" w:hAnsi="Times New Roman"/>
          <w:color w:val="151515"/>
          <w:sz w:val="28"/>
        </w:rPr>
        <w:t>15. Соглашение, дополнительные соглашения к соглашению, в том числе дополнительное соглашение о расторжении соглашения, заключаются в соответствии с типовыми формами, установленными Министерством финансов Российской Федерации.</w:t>
      </w:r>
    </w:p>
    <w:p>
      <w:pPr>
        <w:pStyle w:val="Normal"/>
        <w:spacing w:lineRule="auto" w:line="240" w:before="0" w:after="0"/>
        <w:ind w:firstLine="709" w:start="0"/>
        <w:jc w:val="both"/>
        <w:rPr/>
      </w:pPr>
      <w:r>
        <w:rPr>
          <w:rFonts w:ascii="Times New Roman" w:hAnsi="Times New Roman"/>
          <w:color w:val="151515"/>
          <w:sz w:val="28"/>
        </w:rPr>
        <w:t>16. Соглашения, заключаемые с соблюдением требований законодательства Российской Федерации о защите государственной тайны и иной охраняемой законом тайны, а также соглашения, содержащие сведения ограниченного доступа, при отсутствии технической возможности формируются в форме бумажного документа и подписываются сторонами.</w:t>
      </w:r>
    </w:p>
    <w:p>
      <w:pPr>
        <w:pStyle w:val="Normal"/>
        <w:spacing w:lineRule="auto" w:line="240" w:before="0" w:after="0"/>
        <w:ind w:firstLine="709" w:start="0"/>
        <w:jc w:val="both"/>
        <w:rPr/>
      </w:pPr>
      <w:r>
        <w:rPr>
          <w:rFonts w:ascii="Times New Roman" w:hAnsi="Times New Roman"/>
          <w:color w:val="151515"/>
          <w:sz w:val="28"/>
        </w:rPr>
        <w:t>17. Обязательными условиями предоставления субсидии, включаемыми в соглашение, а в случаях, предусмотренных настоящей частью, также в договоры (соглашения), заключаемые получателем субсидии в целях исполнения обязательств по соглашению, являются:</w:t>
      </w:r>
    </w:p>
    <w:p>
      <w:pPr>
        <w:pStyle w:val="Normal"/>
        <w:spacing w:lineRule="auto" w:line="240" w:before="0" w:after="0"/>
        <w:ind w:firstLine="709" w:start="0"/>
        <w:jc w:val="both"/>
        <w:rPr/>
      </w:pPr>
      <w:r>
        <w:rPr>
          <w:rFonts w:ascii="Times New Roman" w:hAnsi="Times New Roman"/>
          <w:color w:val="151515"/>
          <w:sz w:val="28"/>
        </w:rPr>
        <w:t>1) согласие получателя субсидии, лиц, получающих средства на основании договоров (соглашений),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Министерством проверок соблюдения порядка и условий предоставления субсидии, в том числе в части достижения результата предоставления субсидии, а также проверок органами государственного финансового контроля в соответствии со статьями 268¹ и 269² Бюджетного кодекса Российской Федерации и на включение таких положений в соглашение и указанные договоры (соглашения);</w:t>
      </w:r>
    </w:p>
    <w:p>
      <w:pPr>
        <w:pStyle w:val="Normal"/>
        <w:spacing w:lineRule="auto" w:line="240" w:before="0" w:after="0"/>
        <w:ind w:firstLine="709" w:start="0"/>
        <w:jc w:val="both"/>
        <w:rPr/>
      </w:pPr>
      <w:r>
        <w:rPr>
          <w:rFonts w:ascii="Times New Roman" w:hAnsi="Times New Roman"/>
          <w:color w:val="151515"/>
          <w:sz w:val="28"/>
        </w:rPr>
        <w:t>2) запрет приобретения получателем субсидии, а также иными юридическими лицами, получающими средства на основании договоров (соглашений), заключенных с получателем субсидии,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pPr>
        <w:pStyle w:val="Normal"/>
        <w:spacing w:lineRule="auto" w:line="240" w:before="0" w:after="0"/>
        <w:ind w:firstLine="709" w:start="0"/>
        <w:jc w:val="both"/>
        <w:rPr/>
      </w:pPr>
      <w:r>
        <w:rPr>
          <w:rFonts w:ascii="Times New Roman" w:hAnsi="Times New Roman"/>
          <w:color w:val="151515"/>
          <w:sz w:val="28"/>
        </w:rPr>
        <w:t>3) обязательство получателя субсидии обеспечить достижение установленных соглашением значений результата предоставления субсидии и характеристик результата (при их наличии);</w:t>
      </w:r>
    </w:p>
    <w:p>
      <w:pPr>
        <w:pStyle w:val="Normal"/>
        <w:spacing w:lineRule="auto" w:line="240" w:before="0" w:after="0"/>
        <w:ind w:firstLine="709" w:start="0"/>
        <w:jc w:val="both"/>
        <w:rPr/>
      </w:pPr>
      <w:r>
        <w:rPr>
          <w:rFonts w:ascii="Times New Roman" w:hAnsi="Times New Roman"/>
          <w:color w:val="151515"/>
          <w:sz w:val="28"/>
        </w:rPr>
        <w:t>4) обязательство получателя субсидии представлять отчетность в порядке и сроки, установленные настоящим Порядком и соглашением;</w:t>
      </w:r>
    </w:p>
    <w:p>
      <w:pPr>
        <w:pStyle w:val="Normal"/>
        <w:spacing w:lineRule="auto" w:line="240" w:before="0" w:after="0"/>
        <w:ind w:firstLine="709" w:start="0"/>
        <w:jc w:val="both"/>
        <w:rPr/>
      </w:pPr>
      <w:r>
        <w:rPr>
          <w:rFonts w:ascii="Times New Roman" w:hAnsi="Times New Roman"/>
          <w:color w:val="151515"/>
          <w:sz w:val="28"/>
        </w:rPr>
        <w:t>5)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соглашением;</w:t>
      </w:r>
    </w:p>
    <w:p>
      <w:pPr>
        <w:pStyle w:val="Normal"/>
        <w:spacing w:lineRule="auto" w:line="240" w:before="0" w:after="0"/>
        <w:ind w:firstLine="709" w:start="0"/>
        <w:jc w:val="both"/>
        <w:rPr/>
      </w:pPr>
      <w:r>
        <w:rPr>
          <w:rFonts w:ascii="Times New Roman" w:hAnsi="Times New Roman"/>
          <w:color w:val="151515"/>
          <w:sz w:val="28"/>
        </w:rPr>
        <w:t>6) условие об ограничении и (или) запрете приобретения получателем субсидии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порядке, установленном Правительством Российской Федерации, если источником финансового обеспечения расходов являются целевые межбюджетные трансферты из федерального бюджета и субсидия предоставляется на приобретение товаров, работ, услуг;</w:t>
      </w:r>
    </w:p>
    <w:p>
      <w:pPr>
        <w:pStyle w:val="Normal"/>
        <w:spacing w:lineRule="auto" w:line="240" w:before="0" w:after="0"/>
        <w:ind w:firstLine="709" w:start="0"/>
        <w:jc w:val="both"/>
        <w:rPr/>
      </w:pPr>
      <w:r>
        <w:rPr>
          <w:rFonts w:ascii="Times New Roman" w:hAnsi="Times New Roman"/>
          <w:color w:val="151515"/>
          <w:sz w:val="28"/>
        </w:rPr>
        <w:t>7) условие о казначейском сопровождении средств субсидии в случаях, установленных бюджетным законодательством Российской Федерации и законом Камчатского края о краевом бюджете.</w:t>
      </w:r>
    </w:p>
    <w:p>
      <w:pPr>
        <w:pStyle w:val="Normal"/>
        <w:spacing w:lineRule="auto" w:line="240" w:before="0" w:after="0"/>
        <w:ind w:firstLine="709" w:start="0"/>
        <w:jc w:val="both"/>
        <w:rPr/>
      </w:pPr>
      <w:r>
        <w:rPr>
          <w:rFonts w:ascii="Times New Roman" w:hAnsi="Times New Roman"/>
          <w:color w:val="151515"/>
          <w:sz w:val="28"/>
        </w:rPr>
        <w:t>18. При реорганизации получателя субсидии – юридического лица:</w:t>
      </w:r>
    </w:p>
    <w:p>
      <w:pPr>
        <w:pStyle w:val="Normal"/>
        <w:spacing w:lineRule="auto" w:line="240" w:before="0" w:after="0"/>
        <w:ind w:firstLine="709" w:start="0"/>
        <w:jc w:val="both"/>
        <w:rPr/>
      </w:pPr>
      <w:r>
        <w:rPr>
          <w:rFonts w:ascii="Times New Roman" w:hAnsi="Times New Roman"/>
          <w:color w:val="151515"/>
          <w:sz w:val="28"/>
        </w:rPr>
        <w:t>1) в форме слияния, присоединения или преобразования в соглашение вносятся изменения в части перемены лица в обязательстве с указанием юридического лица, являющегося правопреемником;</w:t>
      </w:r>
    </w:p>
    <w:p>
      <w:pPr>
        <w:pStyle w:val="Normal"/>
        <w:spacing w:lineRule="auto" w:line="240" w:before="0" w:after="0"/>
        <w:ind w:firstLine="709" w:start="0"/>
        <w:jc w:val="both"/>
        <w:rPr/>
      </w:pPr>
      <w:r>
        <w:rPr>
          <w:rFonts w:ascii="Times New Roman" w:hAnsi="Times New Roman"/>
          <w:color w:val="151515"/>
          <w:sz w:val="28"/>
        </w:rPr>
        <w:t>2) в форме разделения, выделения, а также при ликвидации соглашение расторгается в одностороннем порядке с отражением информации о неисполненных обязательствах и возврате неиспользованного остатка субсидии в краевой бюджет.</w:t>
      </w:r>
    </w:p>
    <w:p>
      <w:pPr>
        <w:pStyle w:val="Normal"/>
        <w:spacing w:lineRule="auto" w:line="240" w:before="0" w:after="0"/>
        <w:ind w:firstLine="709" w:start="0"/>
        <w:jc w:val="both"/>
        <w:rPr/>
      </w:pPr>
      <w:r>
        <w:rPr>
          <w:rFonts w:ascii="Times New Roman" w:hAnsi="Times New Roman"/>
          <w:color w:val="151515"/>
          <w:sz w:val="28"/>
        </w:rPr>
        <w:t>19. Проверка участника отбора на соответствие требованиям, установленным частью 13 настоящего Порядка, осуществляется Министерством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pPr>
        <w:pStyle w:val="Normal"/>
        <w:spacing w:lineRule="auto" w:line="240" w:before="0" w:after="0"/>
        <w:ind w:firstLine="709" w:start="0"/>
        <w:jc w:val="both"/>
        <w:rPr/>
      </w:pPr>
      <w:r>
        <w:rPr>
          <w:rFonts w:ascii="Times New Roman" w:hAnsi="Times New Roman"/>
          <w:color w:val="151515"/>
          <w:sz w:val="28"/>
        </w:rPr>
        <w:t>20. При отсутствии технической возможности автоматической проверки соответствующие сведения запрашиваются Министерством посредством межведомственного взаимодействия и (или) проверяются с использованием общедоступной информации официальных государственных информационных ресурсов. В случаях, предусмотренных постановлением Правительства Российской Федерации от 25.10.2023 № 1782, соответствие требованиям подтверждается участником отбора путем проставления отметок в экранных формах системы «Электронный бюджет».</w:t>
      </w:r>
    </w:p>
    <w:p>
      <w:pPr>
        <w:pStyle w:val="Normal"/>
        <w:spacing w:lineRule="auto" w:line="240" w:before="0" w:after="0"/>
        <w:ind w:firstLine="709" w:start="0"/>
        <w:jc w:val="both"/>
        <w:rPr/>
      </w:pPr>
      <w:r>
        <w:rPr>
          <w:rFonts w:ascii="Times New Roman" w:hAnsi="Times New Roman"/>
          <w:color w:val="151515"/>
          <w:sz w:val="28"/>
        </w:rPr>
        <w:t>21. Министерство не вправе требовать от участника отбора представления документов и информации, имеющихся в государственных информационных системах и доступных Министерству в рамках межведомственного взаимодействия, за исключением представления таких документов и информации участником отбора по собственной инициативе.</w:t>
      </w:r>
    </w:p>
    <w:p>
      <w:pPr>
        <w:pStyle w:val="Normal"/>
        <w:spacing w:lineRule="auto" w:line="240" w:before="0" w:after="0"/>
        <w:ind w:firstLine="709" w:start="0"/>
        <w:jc w:val="both"/>
        <w:rPr/>
      </w:pPr>
      <w:r>
        <w:rPr>
          <w:rFonts w:ascii="Times New Roman" w:hAnsi="Times New Roman"/>
          <w:color w:val="151515"/>
          <w:sz w:val="28"/>
        </w:rPr>
        <w:t>22. Основаниями для отказа в предоставлении субсидии являются:</w:t>
      </w:r>
    </w:p>
    <w:p>
      <w:pPr>
        <w:pStyle w:val="Normal"/>
        <w:spacing w:lineRule="auto" w:line="240" w:before="0" w:after="0"/>
        <w:ind w:firstLine="709" w:start="0"/>
        <w:jc w:val="both"/>
        <w:rPr/>
      </w:pPr>
      <w:r>
        <w:rPr>
          <w:rFonts w:ascii="Times New Roman" w:hAnsi="Times New Roman"/>
          <w:color w:val="151515"/>
          <w:sz w:val="28"/>
        </w:rPr>
        <w:t>1) несоответствие представленных документов требованиям настоящего Порядка и объявления о проведении отбора либо непредставление (представление не в полном объеме) указанных документов;</w:t>
      </w:r>
    </w:p>
    <w:p>
      <w:pPr>
        <w:pStyle w:val="Normal"/>
        <w:spacing w:lineRule="auto" w:line="240" w:before="0" w:after="0"/>
        <w:ind w:firstLine="709" w:start="0"/>
        <w:jc w:val="both"/>
        <w:rPr/>
      </w:pPr>
      <w:r>
        <w:rPr>
          <w:rFonts w:ascii="Times New Roman" w:hAnsi="Times New Roman"/>
          <w:color w:val="151515"/>
          <w:sz w:val="28"/>
        </w:rPr>
        <w:t>2) установление факта недостоверности представленной информации;</w:t>
      </w:r>
    </w:p>
    <w:p>
      <w:pPr>
        <w:pStyle w:val="Normal"/>
        <w:spacing w:lineRule="auto" w:line="240" w:before="0" w:after="0"/>
        <w:ind w:firstLine="709" w:start="0"/>
        <w:jc w:val="both"/>
        <w:rPr/>
      </w:pPr>
      <w:r>
        <w:rPr>
          <w:rFonts w:ascii="Times New Roman" w:hAnsi="Times New Roman"/>
          <w:color w:val="151515"/>
          <w:sz w:val="28"/>
        </w:rPr>
        <w:t>3) несоответствие участника отбора категории, установленной частью 8 настоящего Порядка;</w:t>
      </w:r>
    </w:p>
    <w:p>
      <w:pPr>
        <w:pStyle w:val="Normal"/>
        <w:spacing w:lineRule="auto" w:line="240" w:before="0" w:after="0"/>
        <w:ind w:firstLine="709" w:start="0"/>
        <w:jc w:val="both"/>
        <w:rPr/>
      </w:pPr>
      <w:r>
        <w:rPr>
          <w:rFonts w:ascii="Times New Roman" w:hAnsi="Times New Roman"/>
          <w:color w:val="151515"/>
          <w:sz w:val="28"/>
        </w:rPr>
        <w:t>4) несоответствие участника отбора требованиям, установленным частью 13 настоящего Порядка;</w:t>
      </w:r>
    </w:p>
    <w:p>
      <w:pPr>
        <w:pStyle w:val="Normal"/>
        <w:spacing w:lineRule="auto" w:line="240" w:before="0" w:after="0"/>
        <w:ind w:firstLine="709" w:start="0"/>
        <w:jc w:val="both"/>
        <w:rPr/>
      </w:pPr>
      <w:r>
        <w:rPr>
          <w:rFonts w:ascii="Times New Roman" w:hAnsi="Times New Roman"/>
          <w:color w:val="151515"/>
          <w:sz w:val="28"/>
        </w:rPr>
        <w:t>5) отсутствие лимитов бюджетных обязательств, необходимых для предоставления субсидии, с учетом очередности поступления заявок, признанных надлежащими;</w:t>
      </w:r>
    </w:p>
    <w:p>
      <w:pPr>
        <w:pStyle w:val="Normal"/>
        <w:spacing w:lineRule="auto" w:line="240" w:before="0" w:after="0"/>
        <w:ind w:firstLine="709" w:start="0"/>
        <w:jc w:val="both"/>
        <w:rPr/>
      </w:pPr>
      <w:r>
        <w:rPr>
          <w:rFonts w:ascii="Times New Roman" w:hAnsi="Times New Roman"/>
          <w:color w:val="151515"/>
          <w:sz w:val="28"/>
        </w:rPr>
        <w:t>6) признание победителя отбора уклонившимся от заключения соглашения.</w:t>
      </w:r>
    </w:p>
    <w:p>
      <w:pPr>
        <w:pStyle w:val="Normal"/>
        <w:spacing w:lineRule="auto" w:line="240" w:before="0" w:after="0"/>
        <w:ind w:firstLine="709" w:start="0"/>
        <w:jc w:val="both"/>
        <w:rPr>
          <w:rFonts w:ascii="Times New Roman" w:hAnsi="Times New Roman"/>
          <w:color w:val="151515"/>
          <w:sz w:val="28"/>
          <w:szCs w:val="28"/>
          <w:highlight w:val="none"/>
        </w:rPr>
      </w:pPr>
      <w:r>
        <w:rPr>
          <w:rFonts w:ascii="Times New Roman" w:hAnsi="Times New Roman"/>
          <w:color w:val="151515"/>
          <w:sz w:val="28"/>
        </w:rPr>
        <w:t>23. Размер субсидии по каждому мероприятию (С) равен размеру субсидии, запрашиваемому участником отбора в заявке, при условии, что запрашиваемый размер не превышает объем лимитов бюджетных обязательств, доведенных до Министерства на предоставление субсидии по соответствующему мероприятию, и определяется по формуле:</w:t>
      </w:r>
    </w:p>
    <w:p>
      <w:pPr>
        <w:pStyle w:val="Normal"/>
        <w:spacing w:lineRule="auto" w:line="240" w:before="0" w:after="0"/>
        <w:ind w:firstLine="709" w:start="0"/>
        <w:jc w:val="both"/>
        <w:rPr>
          <w:rFonts w:ascii="Times New Roman" w:hAnsi="Times New Roman"/>
          <w:color w:val="151515"/>
          <w:sz w:val="28"/>
          <w:szCs w:val="28"/>
        </w:rPr>
      </w:pPr>
      <w:r>
        <w:rPr>
          <w:rFonts w:ascii="Times New Roman" w:hAnsi="Times New Roman"/>
          <w:color w:val="151515"/>
          <w:sz w:val="28"/>
          <w:szCs w:val="28"/>
        </w:rPr>
      </w:r>
    </w:p>
    <w:p>
      <w:pPr>
        <w:pStyle w:val="Normal"/>
        <w:spacing w:lineRule="auto" w:line="240" w:before="0" w:after="0"/>
        <w:ind w:firstLine="709" w:start="0"/>
        <w:jc w:val="center"/>
        <w:rPr>
          <w:rFonts w:ascii="Times New Roman" w:hAnsi="Times New Roman"/>
          <w:color w:val="151515"/>
          <w:sz w:val="28"/>
          <w:szCs w:val="28"/>
          <w:highlight w:val="none"/>
        </w:rPr>
      </w:pPr>
      <w:r>
        <w:rPr>
          <w:rFonts w:ascii="Times New Roman" w:hAnsi="Times New Roman"/>
          <w:color w:val="151515"/>
          <w:sz w:val="28"/>
        </w:rPr>
        <w:t>С = Рз, при Рз ≤ Л, где:</w:t>
      </w:r>
    </w:p>
    <w:p>
      <w:pPr>
        <w:pStyle w:val="Normal"/>
        <w:spacing w:lineRule="auto" w:line="240" w:before="0" w:after="0"/>
        <w:ind w:firstLine="709" w:start="0"/>
        <w:jc w:val="center"/>
        <w:rPr>
          <w:rFonts w:ascii="Times New Roman" w:hAnsi="Times New Roman"/>
          <w:color w:val="151515"/>
          <w:sz w:val="28"/>
          <w:szCs w:val="28"/>
        </w:rPr>
      </w:pPr>
      <w:r>
        <w:rPr>
          <w:rFonts w:ascii="Times New Roman" w:hAnsi="Times New Roman"/>
          <w:color w:val="151515"/>
          <w:sz w:val="28"/>
          <w:szCs w:val="28"/>
        </w:rPr>
      </w:r>
    </w:p>
    <w:p>
      <w:pPr>
        <w:pStyle w:val="Normal"/>
        <w:spacing w:lineRule="auto" w:line="240" w:before="0" w:after="0"/>
        <w:ind w:firstLine="709" w:start="0"/>
        <w:jc w:val="both"/>
        <w:rPr/>
      </w:pPr>
      <w:r>
        <w:rPr>
          <w:rFonts w:ascii="Times New Roman" w:hAnsi="Times New Roman"/>
          <w:color w:val="151515"/>
          <w:sz w:val="28"/>
        </w:rPr>
        <w:t>1) Рз – размер субсидии, запрашиваемый участником отбора в заявке и рассчитанный исходя из документально подтвержденных планируемых затрат;</w:t>
      </w:r>
    </w:p>
    <w:p>
      <w:pPr>
        <w:pStyle w:val="Normal"/>
        <w:spacing w:lineRule="auto" w:line="240" w:before="0" w:after="0"/>
        <w:ind w:firstLine="709" w:start="0"/>
        <w:jc w:val="both"/>
        <w:rPr/>
      </w:pPr>
      <w:r>
        <w:rPr>
          <w:rFonts w:ascii="Times New Roman" w:hAnsi="Times New Roman"/>
          <w:color w:val="151515"/>
          <w:sz w:val="28"/>
        </w:rPr>
        <w:t>2) Л – объем лимитов бюджетных обязательств, доведенных до Министерства на предоставление субсидии по соответствующему мероприятию в пределах объема средств, предусмотренного Планом.</w:t>
      </w:r>
    </w:p>
    <w:p>
      <w:pPr>
        <w:pStyle w:val="Normal"/>
        <w:spacing w:lineRule="auto" w:line="240" w:before="0" w:after="0"/>
        <w:ind w:firstLine="709" w:start="0"/>
        <w:jc w:val="both"/>
        <w:rPr/>
      </w:pPr>
      <w:r>
        <w:rPr>
          <w:rFonts w:ascii="Times New Roman" w:hAnsi="Times New Roman"/>
          <w:color w:val="151515"/>
          <w:sz w:val="28"/>
        </w:rPr>
        <w:t>24. Размер субсидии, запрашиваемый участником отбора в заявке, не может превышать объем лимитов бюджетных обязательств, указанный в объявлении о проведении отбора по соответствующему мероприятию.</w:t>
      </w:r>
    </w:p>
    <w:p>
      <w:pPr>
        <w:pStyle w:val="Normal"/>
        <w:spacing w:lineRule="auto" w:line="240" w:before="0" w:after="0"/>
        <w:ind w:firstLine="709" w:start="0"/>
        <w:jc w:val="both"/>
        <w:rPr/>
      </w:pPr>
      <w:r>
        <w:rPr>
          <w:rFonts w:ascii="Times New Roman" w:hAnsi="Times New Roman"/>
          <w:color w:val="151515"/>
          <w:sz w:val="28"/>
        </w:rPr>
        <w:t>25. Размер запрашиваемой субсидии подтверждается расчетом затрат, сметной, проектной и (или) иной документацией, подтверждающей стоимость реализации мероприятия.</w:t>
      </w:r>
    </w:p>
    <w:p>
      <w:pPr>
        <w:pStyle w:val="Normal"/>
        <w:spacing w:lineRule="auto" w:line="240" w:before="0" w:after="0"/>
        <w:ind w:firstLine="709" w:start="0"/>
        <w:jc w:val="both"/>
        <w:rPr/>
      </w:pPr>
      <w:r>
        <w:rPr>
          <w:rFonts w:ascii="Times New Roman" w:hAnsi="Times New Roman"/>
          <w:color w:val="151515"/>
          <w:sz w:val="28"/>
        </w:rPr>
        <w:t>26. Результат предоставления субсидии определяется в отношении каждого мероприятия в объявлении о проведении отбора и соглашении исходя из результата мероприятия, установленного Планом.</w:t>
      </w:r>
    </w:p>
    <w:p>
      <w:pPr>
        <w:pStyle w:val="Normal"/>
        <w:spacing w:lineRule="auto" w:line="240" w:before="0" w:after="0"/>
        <w:ind w:firstLine="709" w:start="0"/>
        <w:jc w:val="both"/>
        <w:rPr/>
      </w:pPr>
      <w:r>
        <w:rPr>
          <w:rFonts w:ascii="Times New Roman" w:hAnsi="Times New Roman"/>
          <w:color w:val="151515"/>
          <w:sz w:val="28"/>
        </w:rPr>
        <w:t>27. Под результатом предоставления субсидии понимается результат деятельности (действий) получателя субсидии, а в случае последующего предоставления получателем субсидии средств иным лицам – также результат деятельности (действий) иного лица. При необходимости устанавливаются характеристики результата – дополнительные количественные параметры, которым должен соответствовать результат предоставления субсидии.</w:t>
      </w:r>
    </w:p>
    <w:p>
      <w:pPr>
        <w:pStyle w:val="Normal"/>
        <w:spacing w:lineRule="auto" w:line="240" w:before="0" w:after="0"/>
        <w:ind w:firstLine="709" w:start="0"/>
        <w:jc w:val="both"/>
        <w:rPr/>
      </w:pPr>
      <w:r>
        <w:rPr>
          <w:rFonts w:ascii="Times New Roman" w:hAnsi="Times New Roman"/>
          <w:color w:val="151515"/>
          <w:sz w:val="28"/>
        </w:rPr>
        <w:t>28. Результат предоставления субсидии должен быть конкретным, измеримым, соответствовать цели предоставления субсидии и типам результатов, определенным в соответствии с порядком проведения мониторинга достижения результатов предоставления субсидии, установленным Министерством финансов Российской Федерации.</w:t>
      </w:r>
    </w:p>
    <w:p>
      <w:pPr>
        <w:pStyle w:val="Normal"/>
        <w:spacing w:lineRule="auto" w:line="240" w:before="0" w:after="0"/>
        <w:ind w:firstLine="709" w:start="0"/>
        <w:jc w:val="both"/>
        <w:rPr/>
      </w:pPr>
      <w:r>
        <w:rPr>
          <w:rFonts w:ascii="Times New Roman" w:hAnsi="Times New Roman"/>
          <w:color w:val="151515"/>
          <w:sz w:val="28"/>
        </w:rPr>
        <w:t>29. Результат предоставления субсидии, его тип и характеристики результата указываются в соответствии с информацией о мероприятии (результате), типе мероприятия (результата) и его характеристиках (при наличии), содержащейся в паспорте соответствующего структурного элемента государственной программы Камчатского края.</w:t>
      </w:r>
    </w:p>
    <w:p>
      <w:pPr>
        <w:pStyle w:val="Normal"/>
        <w:spacing w:lineRule="auto" w:line="240" w:before="0" w:after="0"/>
        <w:ind w:firstLine="709" w:start="0"/>
        <w:jc w:val="both"/>
        <w:rPr/>
      </w:pPr>
      <w:r>
        <w:rPr>
          <w:rFonts w:ascii="Times New Roman" w:hAnsi="Times New Roman"/>
          <w:color w:val="151515"/>
          <w:sz w:val="28"/>
        </w:rPr>
        <w:t>30. Значения результата, характеристики результата (при их наличии), сроки их достижения, а также контрольные точки реализации мероприятия устанавливаются соглашением.</w:t>
      </w:r>
    </w:p>
    <w:p>
      <w:pPr>
        <w:pStyle w:val="Normal"/>
        <w:spacing w:lineRule="auto" w:line="240" w:before="0" w:after="0"/>
        <w:ind w:firstLine="709" w:start="0"/>
        <w:jc w:val="both"/>
        <w:rPr/>
      </w:pPr>
      <w:r>
        <w:rPr>
          <w:rFonts w:ascii="Times New Roman" w:hAnsi="Times New Roman"/>
          <w:color w:val="151515"/>
          <w:sz w:val="28"/>
        </w:rPr>
        <w:t>31. Перечисление субсидии осуществляется в пределах кассового плана по расходам краевого бюджета в соответствии с планом-графиком перечисления субсидии, установленным соглашением.</w:t>
      </w:r>
    </w:p>
    <w:p>
      <w:pPr>
        <w:pStyle w:val="Normal"/>
        <w:spacing w:lineRule="auto" w:line="240" w:before="0" w:after="0"/>
        <w:ind w:firstLine="709" w:start="0"/>
        <w:jc w:val="both"/>
        <w:rPr/>
      </w:pPr>
      <w:r>
        <w:rPr>
          <w:rFonts w:ascii="Times New Roman" w:hAnsi="Times New Roman"/>
          <w:color w:val="151515"/>
          <w:sz w:val="28"/>
        </w:rPr>
        <w:t>32. Перечисление субсидии осуществляется на расчетный или корреспондентский счет получателя субсидии, открытый в учреждении Центрального банка Российской Федерации или кредитной организации, либо на лицевой счет, открытый в территориальном органе Федерального казначейства, если средства подлежат казначейскому сопровождению.</w:t>
      </w:r>
    </w:p>
    <w:p>
      <w:pPr>
        <w:pStyle w:val="Normal"/>
        <w:spacing w:lineRule="auto" w:line="240" w:before="0" w:after="0"/>
        <w:ind w:firstLine="709" w:start="0"/>
        <w:jc w:val="both"/>
        <w:rPr/>
      </w:pPr>
      <w:r>
        <w:rPr>
          <w:rFonts w:ascii="Times New Roman" w:hAnsi="Times New Roman"/>
          <w:color w:val="151515"/>
          <w:sz w:val="28"/>
        </w:rPr>
        <w:t>33. Получатель субсидии ежеквартально, не позднее 10-го рабочего дня месяца, следующего за отчетным кварталом, а также не позднее 15-го рабочего дня после достижения результата представляет в системе «Электронный бюджет» по формам, определенным типовой формой соглашения:</w:t>
      </w:r>
    </w:p>
    <w:p>
      <w:pPr>
        <w:pStyle w:val="Normal"/>
        <w:spacing w:lineRule="auto" w:line="240" w:before="0" w:after="0"/>
        <w:ind w:firstLine="709" w:start="0"/>
        <w:jc w:val="both"/>
        <w:rPr/>
      </w:pPr>
      <w:r>
        <w:rPr>
          <w:rFonts w:ascii="Times New Roman" w:hAnsi="Times New Roman"/>
          <w:color w:val="151515"/>
          <w:sz w:val="28"/>
        </w:rPr>
        <w:t>1) отчет о достижении значений результата предоставления субсидии и характеристик результата (при их наличии);</w:t>
      </w:r>
    </w:p>
    <w:p>
      <w:pPr>
        <w:pStyle w:val="Normal"/>
        <w:spacing w:lineRule="auto" w:line="240" w:before="0" w:after="0"/>
        <w:ind w:firstLine="709" w:start="0"/>
        <w:jc w:val="both"/>
        <w:rPr/>
      </w:pPr>
      <w:r>
        <w:rPr>
          <w:rFonts w:ascii="Times New Roman" w:hAnsi="Times New Roman"/>
          <w:color w:val="151515"/>
          <w:sz w:val="28"/>
        </w:rPr>
        <w:t>2) отчет о реализации плана мероприятий по достижению результата предоставления субсидии (контрольных точек);</w:t>
      </w:r>
    </w:p>
    <w:p>
      <w:pPr>
        <w:pStyle w:val="Normal"/>
        <w:spacing w:lineRule="auto" w:line="240" w:before="0" w:after="0"/>
        <w:ind w:firstLine="709" w:start="0"/>
        <w:jc w:val="both"/>
        <w:rPr/>
      </w:pPr>
      <w:r>
        <w:rPr>
          <w:rFonts w:ascii="Times New Roman" w:hAnsi="Times New Roman"/>
          <w:color w:val="151515"/>
          <w:sz w:val="28"/>
        </w:rPr>
        <w:t>3) отчет об осуществлении расходов, источником финансового обеспечения которых является субсидия, – при финансовом обеспечении затрат;</w:t>
      </w:r>
    </w:p>
    <w:p>
      <w:pPr>
        <w:pStyle w:val="Normal"/>
        <w:spacing w:lineRule="auto" w:line="240" w:before="0" w:after="0"/>
        <w:ind w:firstLine="709" w:start="0"/>
        <w:jc w:val="both"/>
        <w:rPr/>
      </w:pPr>
      <w:r>
        <w:rPr>
          <w:rFonts w:ascii="Times New Roman" w:hAnsi="Times New Roman"/>
          <w:color w:val="151515"/>
          <w:sz w:val="28"/>
        </w:rPr>
        <w:t>4) документы, подтверждающие фактическое осуществление и оплату затрат, – в случаях и составе, установленных соглашением.</w:t>
      </w:r>
    </w:p>
    <w:p>
      <w:pPr>
        <w:pStyle w:val="Normal"/>
        <w:spacing w:lineRule="auto" w:line="240" w:before="0" w:after="0"/>
        <w:ind w:firstLine="709" w:start="0"/>
        <w:jc w:val="both"/>
        <w:rPr/>
      </w:pPr>
      <w:r>
        <w:rPr>
          <w:rFonts w:ascii="Times New Roman" w:hAnsi="Times New Roman"/>
          <w:color w:val="151515"/>
          <w:sz w:val="28"/>
        </w:rPr>
        <w:t>34. Министерство в течение 20 рабочих дней со дня получения отчетности проверяет полноту и достоверность содержащихся в ней сведений и принимает отчетность либо направляет получателю субсидии подписанный усиленной квалифицированной электронной подписью протокол с перечнем замечаний и сроком представления скорректированной отчетности.</w:t>
      </w:r>
    </w:p>
    <w:p>
      <w:pPr>
        <w:pStyle w:val="Normal"/>
        <w:spacing w:lineRule="auto" w:line="240" w:before="0" w:after="0"/>
        <w:ind w:firstLine="709" w:start="0"/>
        <w:jc w:val="both"/>
        <w:rPr/>
      </w:pPr>
      <w:r>
        <w:rPr>
          <w:rFonts w:ascii="Times New Roman" w:hAnsi="Times New Roman"/>
          <w:color w:val="151515"/>
          <w:sz w:val="28"/>
        </w:rPr>
        <w:t>35. При отсутствии технической возможности представления отчетности в системе «Электронный бюджет» отчетность представляется в Министерство в форме электронного документа, подписанного усиленной квалифицированной электронной подписью, а при отсутствии такой возможности – на бумажном носителе с одновременным представлением электронной копии.</w:t>
      </w:r>
    </w:p>
    <w:p>
      <w:pPr>
        <w:pStyle w:val="Normal"/>
        <w:spacing w:lineRule="auto" w:line="240" w:before="0" w:after="0"/>
        <w:ind w:firstLine="709" w:start="0"/>
        <w:jc w:val="both"/>
        <w:rPr/>
      </w:pPr>
      <w:r>
        <w:rPr>
          <w:rFonts w:ascii="Times New Roman" w:hAnsi="Times New Roman"/>
          <w:color w:val="151515"/>
          <w:sz w:val="28"/>
        </w:rPr>
        <w:t>36. Министерство проводит мониторинг достижения результатов предоставления субсидии исходя из достижения значений результатов и событий, отражающих факт завершения соответствующего мероприятия по получению результата (контрольных точек), в порядке, установленном Министерством финансов Российской Федерации.</w:t>
      </w:r>
    </w:p>
    <w:p>
      <w:pPr>
        <w:pStyle w:val="Normal"/>
        <w:spacing w:lineRule="auto" w:line="240" w:before="0" w:after="0"/>
        <w:ind w:firstLine="709" w:start="0"/>
        <w:jc w:val="both"/>
        <w:rPr>
          <w:rFonts w:ascii="Times New Roman" w:hAnsi="Times New Roman"/>
          <w:color w:val="151515"/>
          <w:sz w:val="28"/>
          <w:szCs w:val="28"/>
          <w:highlight w:val="none"/>
        </w:rPr>
      </w:pPr>
      <w:r>
        <w:rPr>
          <w:rFonts w:ascii="Times New Roman" w:hAnsi="Times New Roman"/>
          <w:color w:val="151515"/>
          <w:sz w:val="28"/>
        </w:rPr>
        <w:t>37. Министерство осуществляет проверки соблюдения получателем субсидии порядка и условий предоставления субсидии, в том числе в части достижения результата, а органы государственного финансового контроля осуществляют проверки в соответствии со статьями 268¹ и 269² Бюджетного кодекса Российской Федерации.</w:t>
      </w:r>
    </w:p>
    <w:p>
      <w:pPr>
        <w:pStyle w:val="Normal"/>
        <w:spacing w:lineRule="auto" w:line="240" w:before="0" w:after="0"/>
        <w:ind w:firstLine="709" w:start="0"/>
        <w:jc w:val="both"/>
        <w:rPr>
          <w:rFonts w:ascii="Times New Roman" w:hAnsi="Times New Roman"/>
          <w:color w:val="151515"/>
          <w:sz w:val="28"/>
          <w:szCs w:val="28"/>
          <w:highlight w:val="none"/>
          <w14:ligatures w14:val="none"/>
        </w:rPr>
      </w:pPr>
      <w:r>
        <w:rPr>
          <w:rFonts w:ascii="Times New Roman" w:hAnsi="Times New Roman"/>
          <w:color w:val="151515"/>
          <w:sz w:val="28"/>
          <w:szCs w:val="28"/>
        </w:rPr>
        <w:t>Министерство оформляет результаты проверок в порядке, установленном пунктами 48–59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Российской Федерации от 17.08.2020 № 1235.</w:t>
      </w:r>
    </w:p>
    <w:p>
      <w:pPr>
        <w:pStyle w:val="Normal"/>
        <w:spacing w:lineRule="auto" w:line="240" w:before="0" w:after="0"/>
        <w:ind w:firstLine="709" w:start="0"/>
        <w:jc w:val="both"/>
        <w:rPr>
          <w:rFonts w:ascii="Times New Roman" w:hAnsi="Times New Roman"/>
          <w:color w:val="151515"/>
        </w:rPr>
      </w:pPr>
      <w:r>
        <w:rPr>
          <w:rFonts w:ascii="Times New Roman" w:hAnsi="Times New Roman"/>
          <w:color w:val="151515"/>
          <w:sz w:val="28"/>
        </w:rPr>
        <w:t xml:space="preserve">38. В случае нарушения получателем субсидии условий и порядка, установленных при предоставлении субсидии, выявленного в том числе по фактам проверок, проведенных Министерством и (или) органами государственного финансового контроля, а также в случае недостижения значений результата предоставления субсидии, получатель субсидии обязан возвратить субсидию в краевой бюджет на лицевой счет Министерства в следующем порядке и сроки: </w:t>
      </w:r>
    </w:p>
    <w:p>
      <w:pPr>
        <w:pStyle w:val="Normal"/>
        <w:spacing w:lineRule="auto" w:line="240" w:before="0" w:after="0"/>
        <w:ind w:firstLine="709" w:start="0"/>
        <w:jc w:val="both"/>
        <w:rPr/>
      </w:pPr>
      <w:r>
        <w:rPr>
          <w:rFonts w:ascii="Times New Roman" w:hAnsi="Times New Roman"/>
          <w:color w:val="151515"/>
          <w:sz w:val="28"/>
        </w:rPr>
        <w:t>1) в случае выявления нарушения органами государственного финансового контроля на основании представления и (или) предписания органа государственного финансового контроля в сроки, указанные в представлении и (или) предписании;</w:t>
      </w:r>
    </w:p>
    <w:p>
      <w:pPr>
        <w:pStyle w:val="Normal"/>
        <w:spacing w:lineRule="auto" w:line="240" w:before="0" w:after="0"/>
        <w:ind w:firstLine="709" w:start="0"/>
        <w:jc w:val="both"/>
        <w:rPr/>
      </w:pPr>
      <w:r>
        <w:rPr>
          <w:rFonts w:ascii="Times New Roman" w:hAnsi="Times New Roman"/>
          <w:color w:val="151515"/>
          <w:sz w:val="28"/>
        </w:rPr>
        <w:t>2) в случае выявления нарушения Министерством – в течение 20 рабочих дней со дня получения требования Министерства;</w:t>
      </w:r>
    </w:p>
    <w:p>
      <w:pPr>
        <w:pStyle w:val="Normal"/>
        <w:spacing w:lineRule="auto" w:line="240" w:before="0" w:after="0"/>
        <w:ind w:hanging="0" w:start="709"/>
        <w:jc w:val="both"/>
        <w:rPr/>
      </w:pPr>
      <w:r>
        <w:rPr>
          <w:rFonts w:ascii="Times New Roman" w:hAnsi="Times New Roman"/>
          <w:color w:val="151515"/>
          <w:sz w:val="28"/>
        </w:rPr>
        <w:t xml:space="preserve">3) в иных случаях – в течение 20 рабочих дней со дня нарушения. </w:t>
      </w:r>
    </w:p>
    <w:p>
      <w:pPr>
        <w:pStyle w:val="Normal"/>
        <w:spacing w:lineRule="auto" w:line="240" w:before="0" w:after="0"/>
        <w:ind w:firstLine="709" w:start="0"/>
        <w:jc w:val="both"/>
        <w:rPr/>
      </w:pPr>
      <w:r>
        <w:rPr>
          <w:rFonts w:ascii="Times New Roman" w:hAnsi="Times New Roman"/>
          <w:color w:themeColor="text1" w:val="000000"/>
          <w:sz w:val="28"/>
        </w:rPr>
        <w:t>39. В случае нарушения условий и порядка предоставления субсидии, а также в</w:t>
      </w:r>
      <w:r>
        <w:rPr>
          <w:rFonts w:ascii="Times New Roman" w:hAnsi="Times New Roman"/>
          <w:sz w:val="28"/>
        </w:rPr>
        <w:t xml:space="preserve"> случае недостижения значений результата предоставления субсидии </w:t>
      </w:r>
      <w:r>
        <w:rPr>
          <w:rFonts w:ascii="Times New Roman" w:hAnsi="Times New Roman"/>
          <w:color w:themeColor="text1" w:val="000000"/>
          <w:sz w:val="28"/>
        </w:rPr>
        <w:t>получатель субсидии обязан возвратить средства субсидии в полном объеме.</w:t>
      </w:r>
    </w:p>
    <w:p>
      <w:pPr>
        <w:pStyle w:val="Normal"/>
        <w:spacing w:lineRule="auto" w:line="240" w:before="0" w:after="0"/>
        <w:ind w:firstLine="709" w:start="0"/>
        <w:jc w:val="both"/>
        <w:rPr>
          <w:rFonts w:ascii="Times New Roman" w:hAnsi="Times New Roman"/>
        </w:rPr>
      </w:pPr>
      <w:r>
        <w:rPr>
          <w:rFonts w:ascii="Times New Roman" w:hAnsi="Times New Roman"/>
          <w:color w:themeColor="text1" w:val="000000"/>
          <w:sz w:val="28"/>
        </w:rPr>
        <w:t>В случае нарушения целей предоставления субсидии субсидия подлежит возврату в размере нецелевого использования средств субсидии.</w:t>
      </w:r>
    </w:p>
    <w:p>
      <w:pPr>
        <w:pStyle w:val="Normal"/>
        <w:spacing w:lineRule="auto" w:line="240" w:before="0" w:after="0"/>
        <w:ind w:firstLine="709" w:start="0"/>
        <w:jc w:val="both"/>
        <w:rPr>
          <w:rFonts w:ascii="Times New Roman" w:hAnsi="Times New Roman"/>
        </w:rPr>
      </w:pPr>
      <w:r>
        <w:rPr>
          <w:rFonts w:ascii="Times New Roman" w:hAnsi="Times New Roman"/>
          <w:color w:val="151515"/>
          <w:sz w:val="28"/>
        </w:rPr>
        <w:t xml:space="preserve">40. Письменное требование о возврате субсидии направляется Министерством получателю субсидии в течение 20 рабочих дней со дня выявления </w:t>
      </w:r>
      <w:r>
        <w:rPr>
          <w:rFonts w:ascii="Times New Roman" w:hAnsi="Times New Roman"/>
          <w:sz w:val="28"/>
        </w:rPr>
        <w:t>нарушений по фактам проверок, проведенных Министерством и (или) органами государственного финансового контроля,</w:t>
      </w:r>
      <w:r>
        <w:rPr>
          <w:rFonts w:ascii="Times New Roman" w:hAnsi="Times New Roman"/>
          <w:color w:val="151515"/>
          <w:sz w:val="28"/>
        </w:rPr>
        <w:t xml:space="preserve"> посредством заказного почтового отправления или на адрес электронной почты, или иным способом, обеспечивающим подтверждение получения указанного требования.</w:t>
      </w:r>
    </w:p>
    <w:p>
      <w:pPr>
        <w:pStyle w:val="Normal"/>
        <w:spacing w:lineRule="auto" w:line="240" w:before="0" w:after="0"/>
        <w:ind w:firstLine="709" w:start="0"/>
        <w:jc w:val="both"/>
        <w:rPr>
          <w:rFonts w:ascii="Times New Roman" w:hAnsi="Times New Roman"/>
        </w:rPr>
      </w:pPr>
      <w:r>
        <w:rPr>
          <w:rFonts w:ascii="Times New Roman" w:hAnsi="Times New Roman"/>
          <w:color w:val="151515"/>
          <w:sz w:val="28"/>
        </w:rPr>
        <w:t>41. Министерство принимает необходимые меры по взысканию подлежащей возврату в краевой бюджет субсидии в судебном порядке в срок не позднее 30 рабочих дней со дня, когда Министерству стало известно о неисполнении получателем субсидии обязанности возвратить субсидию в краевой бюджет.</w:t>
      </w:r>
    </w:p>
    <w:p>
      <w:pPr>
        <w:pStyle w:val="Normal"/>
        <w:spacing w:lineRule="auto" w:line="240" w:before="0" w:after="0"/>
        <w:ind w:firstLine="709" w:start="0"/>
        <w:jc w:val="both"/>
        <w:rPr>
          <w:rFonts w:ascii="Times New Roman" w:hAnsi="Times New Roman"/>
          <w:sz w:val="28"/>
        </w:rPr>
      </w:pPr>
      <w:r>
        <w:rPr>
          <w:rFonts w:ascii="Times New Roman" w:hAnsi="Times New Roman"/>
          <w:sz w:val="28"/>
        </w:rPr>
        <w:t xml:space="preserve">42. В случае выявления нарушений, в том числе по фактам проверок, проведенных Министерством и (или) органами государственного финансового контроля, лица, получившие средства на основании договоров (соглашений), заключенных с получателем субсидии, обязаны возвратить в сроки, не превышающие сроки, указанные в части 38 настоящего Порядка, средства, полученные за счет средств субсидии, на счет получателя субсидии в целях последующего возврата указанных средств получателем субсидии в краевой бюджет в срок не позднее 20 рабочих дней со дня поступления денежных средств на счет получателя субсидии. </w:t>
      </w:r>
    </w:p>
    <w:p>
      <w:pPr>
        <w:pStyle w:val="Normal"/>
        <w:spacing w:lineRule="auto" w:line="240" w:before="0" w:after="0"/>
        <w:ind w:firstLine="709" w:start="0"/>
        <w:jc w:val="both"/>
        <w:rPr>
          <w:rFonts w:ascii="Times New Roman" w:hAnsi="Times New Roman"/>
          <w:sz w:val="28"/>
        </w:rPr>
      </w:pPr>
      <w:r>
        <w:rPr>
          <w:rFonts w:ascii="Times New Roman" w:hAnsi="Times New Roman"/>
          <w:sz w:val="28"/>
        </w:rPr>
        <w:t xml:space="preserve">Письменное требование о возврате средств, полученных за счет средств субсидии, направляется получателем субсидии лицам, получившим средства на основании договоров (соглашений), заключенных с получателем субсидии, и нарушившим порядок и условия предоставления субсидии, в течение 20 рабочих дней со дня выявления нарушений по фактам проверок, проведенных Министерством и (или) органами государственного финансового контроля. </w:t>
      </w:r>
    </w:p>
    <w:p>
      <w:pPr>
        <w:pStyle w:val="Normal"/>
        <w:spacing w:lineRule="auto" w:line="240" w:before="0" w:after="0"/>
        <w:ind w:firstLine="709" w:start="0"/>
        <w:jc w:val="both"/>
        <w:rPr>
          <w:rFonts w:ascii="Times New Roman" w:hAnsi="Times New Roman"/>
          <w:color w:val="151515"/>
          <w:sz w:val="28"/>
        </w:rPr>
      </w:pPr>
      <w:r>
        <w:rPr>
          <w:rFonts w:ascii="Times New Roman" w:hAnsi="Times New Roman"/>
          <w:sz w:val="28"/>
        </w:rPr>
        <w:t>43. В случае невозврата лицами, указанными в части 42 настоящего Порядка, средств, полученных за счет средств субсидии на счет получателя субсидии, получатель субсидии принимает необходимые меры по взысканию подлежащих возврату в краевой бюджет средств, полученных за счет средств субсидии, в судебном порядке в срок не позднее 30 рабочих дней со дня, когда получателю субсидии стало известно о неисполнении лицами, указанными в части 42 настоящего Порядка, обязанности возвратить средства, полученные за счет средств субсидии, на счет получателя субсидии.</w:t>
      </w:r>
    </w:p>
    <w:p>
      <w:pPr>
        <w:pStyle w:val="Normal"/>
        <w:spacing w:lineRule="auto" w:line="240" w:before="0" w:after="0"/>
        <w:ind w:firstLine="709" w:start="0"/>
        <w:jc w:val="both"/>
        <w:rPr>
          <w:rFonts w:ascii="Times New Roman" w:hAnsi="Times New Roman"/>
          <w:color w:val="151515"/>
          <w:sz w:val="28"/>
        </w:rPr>
      </w:pPr>
      <w:r>
        <w:rPr>
          <w:rFonts w:ascii="Times New Roman" w:hAnsi="Times New Roman"/>
          <w:color w:val="151515"/>
          <w:sz w:val="28"/>
        </w:rPr>
        <w:t>44. Остаток субсидии, неиспользованный в отчетном финансовом году, может использоваться получателем субсидии в текущем финансовом году на цель, указанную в части 1 настоящего Порядка, в порядке, определенном Правительством Камчатского края, при условии принятия Министерством решения о наличии потребности в указанных средствах и при условии включения соответствующих положений в соглашение.</w:t>
      </w:r>
    </w:p>
    <w:p>
      <w:pPr>
        <w:pStyle w:val="Normal"/>
        <w:spacing w:lineRule="auto" w:line="240" w:before="0" w:after="0"/>
        <w:ind w:firstLine="709" w:start="0"/>
        <w:jc w:val="both"/>
        <w:rPr>
          <w:rFonts w:ascii="Times New Roman" w:hAnsi="Times New Roman"/>
          <w:color w:val="151515"/>
          <w:sz w:val="28"/>
        </w:rPr>
      </w:pPr>
      <w:r>
        <w:rPr>
          <w:rFonts w:ascii="Times New Roman" w:hAnsi="Times New Roman"/>
          <w:color w:val="151515"/>
          <w:sz w:val="28"/>
        </w:rPr>
        <w:t>45. В случае отсутствия указанного в части 44 настоящего Порядка решения остаток субсидии (за исключением субсидии, предоставленной в пределах суммы, необходимой для оплаты денежных обязательств получателя субсидии, источником финансового обеспечения которых является указанная субсидия), неиспользованный в отчетном финансовом году, подлежит возврату в краевой бюджет на лицевой счет Министерства не позднее 15 февраля текущего финансового года.</w:t>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pPr>
      <w:r>
        <w:rPr>
          <w:rFonts w:ascii="Times New Roman" w:hAnsi="Times New Roman"/>
          <w:sz w:val="28"/>
        </w:rPr>
        <w:t>3. Отбор получателей субсидии</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14:ligatures w14:val="none"/>
        </w:rPr>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46. Субсидия предоставляется по результатам отбора, проводимого Министерством способом запроса предложений исходя из соответствия участника отбора категории, установленной частью 8 настоящего Порядка, требованиям, установленным частью 13 настоящего Порядка, и очередности поступления заявок.</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47. Отбор проводится в системе «Электронный бюджет». В отношении каждого мероприятия проводится отдельный отбор. Министерство вправе одновременно проводить отборы по нескольким мероприятиям.</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48. 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Взаимодействие Министерства и участников отбора осуществляется с использованием электронных документов.</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49. Министерство не позднее чем за 1 рабочий день до даты начала приема заявок формирует и размещает на едином портале объявление о проведении отбора, включающее:</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 дату размещения объявления, сроки проведения отбора, дату начала и окончания приема заявок, при этом дата окончания приема заявок не может быть ранее 5-го календарного дня, следующего за днем размещения объявления;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2) наименование, место нахождения, почтовый адрес и адрес электронной почты Министерства;</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3) наименование мероприятия, цель предоставления субсидии и направления расходов;</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 результат (результаты) предоставления субсидии, характеристики результата (при их установлении), плановые значения, сроки достижения и контрольные точки;</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 доменное имя и (или) указатели страниц системы «Электронный бюджет»;</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 требования к участникам отбора, категорию отбора и перечень документов, подтверждающих соответствие установленным требованиям и категории;</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7) порядок подачи, отзыва, возврата заявок и внесения в них изменений, порядок возврата заявок на доработку;</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8) правила рассмотрения заявок, основания и порядок их отклонения;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9) объем распределяемой субсидии, порядок расчета и распределения субсидии, максимальный и (или) минимальный размер субсидии (при необходимости), а также предельное количество победителей, равное одному;</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10) порядок и сроки предоставления разъяснений положений объявления;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11) срок подписания соглашения победителем отбора и условия признания победителя уклонившимся от его заключения;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12) сроки размещения протокола подведения итогов отбора, которые не могут быть позднее 14-го календарного дня, следующего за днем определения победителя отбора;</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13) порядок внесения изменений в объявление и иную информацию, необходимую для проведения отбора.</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50. Изменения в объявление вносятся не позднее даты окончания приема заявок. При этом:</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 срок подачи заявок продлевается таким образом, чтобы со дня, следующего за днем внесения изменений, до даты окончания приема заявок оставалось не менее 3 календарных дней;</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2) изменение способа отбора не допускается;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3) при внесении изменений после даты начала приема заявок участникам предоставляется право внести изменения в заявки;</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 участники, подавшие заявки, уведомляются об изменениях не позднее дня, следующего за днем их внесения, с использованием системы «Электронный бюджет».</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51. Министерство вправе отменить отбор до наступления даты окончания приема заявок при уменьшении или отзыве лимитов бюджетных обязательств, исключении мероприятия из Плана, изменении механизма его реализации, возникновении обстоятельств непреодолимой силы либо выявлении технической или правовой невозможности проведения отбора.</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52. Объявление об отмене отбора размещается на едином портале и содержит причины отмены. Участники, подавшие заявки, уведомляются в системе «Электронный бюджет». Отбор считается отмененным со дня размещения объявления об отмене.</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53. Заявка формируется участником отбора в электронной форме посредством заполнения экранных форм системы «Электронный бюджет» и представления электронных копий документов, предусмотренных объявлением.</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54. Заявка подписывается усиленной квалифицированной электронной подписью руководителя участника отбора или уполномоченного им лица.</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55. В заявку включаются: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 сведения об участнике отбора, предусмотренные экранными формами системы «Электронный бюджет»;</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2) документы, подтверждающие полномочия лица, подписавшего заявку;</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3) документы, подтверждающие соответствие участника категории отбора;</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 расчет запрашиваемого размера субсидии с приложением сметы, коммерческих предложений, проектной документации, договоров или иных документов, подтверждающих размер планируемых затрат;</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 предлагаемое значение результата предоставления субсидии и его характеристик (при их установлении);</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 согласие на публикацию в сети «Интернет» информации об участнике отбора, заявке и иной информации, связанной с отбором;</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7) иные документы, предусмотренные объявлением с учетом содержания мероприятия.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56. Датой и временем представления заявки считаются дата и время ее подписания с присвоением регистрационного номера в системе «Электронный бюджет». Участник отбора несет ответственность за полноту и достоверность представленной информации.</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57. Участник отбора вправе отозвать заявку до окончания срока приема заявок. Внесение изменений осуществляется путем отзыва ранее поданной заявки и подачи новой заявки, если иное не предусмотрено функционалом системы «Электронный бюджет». После окончания приема заявок отзыв и изменение заявки не допускаются.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58. Участник отбора со дня размещения объявления и не позднее 3-го рабочего дня до окончания приема заявок вправе направить в системе «Электронный бюджет» не более пяти запросов о разъяснении положений объявления. Министерство направляет разъяснение не позднее 2 рабочих дней со дня, следующего за днем поступления запроса. Разъяснение не может изменять сущность объявления.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59. Не позднее 1-го рабочего дня, следующего за днем окончания приема заявок, в системе «Электронный бюджет» автоматически формируется протокол вскрытия заявок, содержащий регистрационный номер заявки, дату и время ее поступления, полное наименование участника отбора, адрес юридического лица и запрашиваемый размер субсидии. Протокол подписывается усиленной квалифицированной электронной подписью руководителя Министерства или уполномоченного им лица и размещается на едином портале не позднее 1-го рабочего дня, следующего за днем его подписания.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60. Министерство рассматривает заявки в течение 20 рабочих дней со дня формирования протокола вскрытия заявок.</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61. В ходе рассмотрения заявки Министерство вправе один раз возвратить заявку на доработку при наличии технических ошибок, описок либо недостаточности пояснений, не изменяющих сущность заявки. Срок доработки не может превышать 3 рабочих дней. Изменение размера запрашиваемой субсидии в сторону увеличения, мероприятия и предлагаемого результата при доработке не допускается.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62. Заявка признается надлежащей, если участник отбора соответствует установленным требованиям и категории, а заявка и документы соответствуют настоящему Порядку и объявлению.</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63. Заявка отклоняется по следующим основаниям:</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 несоответствие участника отбора требованиям и (или) категории отбора;</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2) непредставление (представление не в полном объеме) документов, предусмотренных объявлением;</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3) несоответствие заявки и (или) документов требованиям настоящего Порядка и объявления;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 недостоверность содержащейся в документах информации;</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5) подача заявки после даты и (или) времени окончания приема заявок;</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 непредставление доработанной заявки в установленный срок либо неустранение замечаний;</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7) превышение размера субсидии, запрашиваемого в заявке, над объемом лимитов бюджетных обязательств, указанным в объявлении о проведении отбора по соответствующему мероприятию.</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64. Отбор признается несостоявшимся, если не подано ни одной заявки либо отклонены все заявки. Если надлежащей признана одна заявка, отбор признается состоявшимся и соглашение заключается с единственным участником, подавшим такую заявку, при наличии лимитов бюджетных обязательств.</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65. Последовательность надлежащих заявок определяется исключительно по очередности их поступления. Первый порядковый номер присваивается заявке, поступившей ранее других надлежащих заявок. Оценка заявок и присвоение им баллов не осуществляются. Победителем отбора признается участник, надлежащей заявке которого присвоен первый порядковый номер.</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66. По результатам отбора по каждому мероприятию определяется один победитель, которому предоставляется одна субсидия в размере, определенном в соответствии с частью 23 настоящего Порядка. Предоставление субсидии двум и более получателям по одному мероприятию не допускается. Разница между объемом субсидии, указанным в объявлении о проведении отбора по соответствующему мероприятию, и размером субсидии, предоставляемой победителю отбора, не распределяется между другими участниками отбора по этому мероприятию.</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67. По результатам определения победителя на едином портале автоматически формируется протокол подведения итогов отбора, который подписывается усиленной квалифицированной электронной подписью руководителя Министерства или уполномоченного им лица и размещается не позднее 1-го рабочего дня, следующего за днем его подписания.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68. Протокол подведения итогов отбора включает дату, время и место рассмотрения заявок, сведения о рассмотренных и отклоненных заявках с указанием причин отклонения, наименование получателя (получателей) субсидии и размер предоставляемой каждому субсидии.</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69. Изменения в протокол подведения итогов отбора вносятся не позднее 10 календарных дней со дня подписания его первой версии путем формирования новой версии с указанием причин внесения изменений.</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70. Для заключения соглашения победитель отбора в системе «Электронный бюджет» уточняет сведения, необходимые для заключения соглашения, и подписывает соглашение в срок, установленный объявлением.</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71. Заключение соглашения осуществляется в следующем порядке:</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1) Министерство в течение 5 рабочих дней со дня размещения протокола подведения итогов отбора формирует и направляет победителю проект соглашения;</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2) победитель в течение 5 рабочих дней со дня получения проекта соглашения подписывает его либо направляет мотивированные замечания, не изменяющие условия, установленные Порядком, объявлением и заявкой;</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3) Министерство в течение 5 рабочих дней со дня подписания победителем соглашения подписывает его либо направляет протокол разногласий;</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4) соглашение считается заключенным со дня подписания его усиленными квалифицированными электронными подписями сторон.</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72. Победитель признается уклонившимся от заключения соглашения, если он не подписал соглашение в установленный срок, отказался от его заключения либо предложил изменить существенные условия, определенные Порядком, объявлением или заявкой.</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73. В случае признания победителя уклонившимся Министерство вправе предложить заключить соглашение участнику, заявке которого присвоен следующий порядковый номер, при наличии лимитов бюджетных обязательств и согласия такого участника.</w:t>
      </w:r>
    </w:p>
    <w:p>
      <w:pPr>
        <w:pStyle w:val="Normal"/>
        <w:spacing w:lineRule="auto" w:line="240" w:before="0" w:after="0"/>
        <w:ind w:firstLine="709" w:start="0"/>
        <w:jc w:val="both"/>
        <w:rPr>
          <w:rFonts w:ascii="Times New Roman" w:hAnsi="Times New Roman"/>
          <w:color w:val="151515"/>
          <w:sz w:val="28"/>
          <w:szCs w:val="28"/>
          <w14:ligatures w14:val="none"/>
        </w:rPr>
      </w:pPr>
      <w:r>
        <w:rPr>
          <w:rFonts w:ascii="Times New Roman" w:hAnsi="Times New Roman"/>
          <w:color w:val="151515"/>
          <w:sz w:val="28"/>
          <w:szCs w:val="28"/>
        </w:rPr>
        <w:t>74. Министерство вправе объявить отбор повторно при признании отбора несостоявшимся либо признании победителя уклонившимся от заключения соглашения.</w:t>
      </w:r>
    </w:p>
    <w:sectPr>
      <w:headerReference w:type="even" r:id="rId6"/>
      <w:headerReference w:type="default" r:id="rId7"/>
      <w:headerReference w:type="first" r:id="rId8"/>
      <w:type w:val="nextPage"/>
      <w:pgSz w:w="11906" w:h="16838"/>
      <w:pgMar w:left="1418" w:right="851" w:gutter="0" w:header="567"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XO Thames">
    <w:charset w:val="01" w:characterSet="utf-8"/>
    <w:family w:val="roman"/>
    <w:pitch w:val="variable"/>
  </w:font>
  <w:font w:name="Arial">
    <w:charset w:val="01" w:characterSet="utf-8"/>
    <w:family w:val="roman"/>
    <w:pitch w:val="variable"/>
  </w:font>
  <w:font w:name="Times New Roman">
    <w:charset w:val="01" w:characterSet="utf-8"/>
    <w:family w:val="roman"/>
    <w:pitch w:val="variable"/>
  </w:font>
  <w:font w:name="Segoe UI">
    <w:charset w:val="01" w:characterSet="utf-8"/>
    <w:family w:val="roman"/>
    <w:pitch w:val="variable"/>
  </w:font>
  <w:font w:name="Open Sans">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Pr>
        <w:rFonts w:ascii="Times New Roman" w:hAnsi="Times New Roman"/>
        <w:sz w:val="24"/>
      </w:rPr>
      <w:t>0</w:t>
    </w:r>
    <w:r>
      <w:rPr>
        <w:rFonts w:ascii="Times New Roman" w:hAnsi="Times New Roman"/>
        <w:sz w:val="24"/>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15</w:t>
    </w:r>
    <w:r>
      <w:rPr>
        <w:rFonts w:ascii="Times New Roman" w:hAnsi="Times New Roman"/>
        <w:sz w:val="28"/>
      </w:rPr>
      <w:fldChar w:fldCharType="end"/>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15</w:t>
    </w:r>
    <w:r>
      <w:rPr>
        <w:rFonts w:ascii="Times New Roman" w:hAnsi="Times New Roman"/>
        <w:sz w:val="28"/>
      </w:rPr>
      <w:fldChar w:fldCharType="end"/>
    </w:r>
  </w:p>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asciiTheme="minorAscii" w:hAnsiTheme="minorHAnsi"/>
        <w:color w:val="000000"/>
        <w:sz w:val="22"/>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0"/>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Heading1">
    <w:name w:val="heading 1"/>
    <w:next w:val="Normal"/>
    <w:uiPriority w:val="9"/>
    <w:qFormat/>
    <w:pPr>
      <w:widowControl/>
      <w:bidi w:val="0"/>
      <w:spacing w:lineRule="auto" w:line="264" w:beforeAutospacing="0" w:before="120" w:afterAutospacing="0" w:after="120"/>
      <w:jc w:val="both"/>
      <w:outlineLvl w:val="0"/>
    </w:pPr>
    <w:rPr>
      <w:rFonts w:ascii="XO Thames" w:hAnsi="XO Thames" w:eastAsia="Times New Roman" w:cs="Times New Roman"/>
      <w:b/>
      <w:color w:val="000000"/>
      <w:kern w:val="0"/>
      <w:sz w:val="32"/>
      <w:szCs w:val="20"/>
      <w:lang w:val="ru-RU" w:eastAsia="zh-CN" w:bidi="ar-SA"/>
    </w:rPr>
  </w:style>
  <w:style w:type="paragraph" w:styleId="Heading2">
    <w:name w:val="heading 2"/>
    <w:next w:val="Normal"/>
    <w:uiPriority w:val="9"/>
    <w:qFormat/>
    <w:pPr>
      <w:widowControl/>
      <w:bidi w:val="0"/>
      <w:spacing w:lineRule="auto" w:line="264" w:beforeAutospacing="0" w:before="120" w:afterAutospacing="0" w:after="120"/>
      <w:jc w:val="both"/>
      <w:outlineLvl w:val="1"/>
    </w:pPr>
    <w:rPr>
      <w:rFonts w:ascii="XO Thames" w:hAnsi="XO Thames" w:eastAsia="Times New Roman" w:cs="Times New Roman"/>
      <w:b/>
      <w:color w:val="000000"/>
      <w:kern w:val="0"/>
      <w:sz w:val="28"/>
      <w:szCs w:val="20"/>
      <w:lang w:val="ru-RU" w:eastAsia="zh-CN" w:bidi="ar-SA"/>
    </w:rPr>
  </w:style>
  <w:style w:type="paragraph" w:styleId="Heading3">
    <w:name w:val="heading 3"/>
    <w:next w:val="Normal"/>
    <w:uiPriority w:val="9"/>
    <w:qFormat/>
    <w:pPr>
      <w:widowControl/>
      <w:bidi w:val="0"/>
      <w:spacing w:lineRule="auto" w:line="264" w:beforeAutospacing="0" w:before="120" w:afterAutospacing="0" w:after="120"/>
      <w:jc w:val="both"/>
      <w:outlineLvl w:val="2"/>
    </w:pPr>
    <w:rPr>
      <w:rFonts w:ascii="XO Thames" w:hAnsi="XO Thames" w:eastAsia="Times New Roman" w:cs="Times New Roman"/>
      <w:b/>
      <w:color w:val="000000"/>
      <w:kern w:val="0"/>
      <w:sz w:val="26"/>
      <w:szCs w:val="20"/>
      <w:lang w:val="ru-RU" w:eastAsia="zh-CN" w:bidi="ar-SA"/>
    </w:rPr>
  </w:style>
  <w:style w:type="paragraph" w:styleId="Heading4">
    <w:name w:val="heading 4"/>
    <w:next w:val="Normal"/>
    <w:uiPriority w:val="9"/>
    <w:qFormat/>
    <w:pPr>
      <w:widowControl/>
      <w:bidi w:val="0"/>
      <w:spacing w:lineRule="auto" w:line="264" w:beforeAutospacing="0" w:before="120" w:afterAutospacing="0" w:after="120"/>
      <w:jc w:val="both"/>
      <w:outlineLvl w:val="3"/>
    </w:pPr>
    <w:rPr>
      <w:rFonts w:ascii="XO Thames" w:hAnsi="XO Thames" w:eastAsia="Times New Roman" w:cs="Times New Roman"/>
      <w:b/>
      <w:color w:val="000000"/>
      <w:kern w:val="0"/>
      <w:sz w:val="24"/>
      <w:szCs w:val="20"/>
      <w:lang w:val="ru-RU" w:eastAsia="zh-CN" w:bidi="ar-SA"/>
    </w:rPr>
  </w:style>
  <w:style w:type="paragraph" w:styleId="Heading5">
    <w:name w:val="heading 5"/>
    <w:next w:val="Normal"/>
    <w:uiPriority w:val="9"/>
    <w:qFormat/>
    <w:pPr>
      <w:widowControl/>
      <w:bidi w:val="0"/>
      <w:spacing w:lineRule="auto" w:line="264" w:beforeAutospacing="0" w:before="120" w:afterAutospacing="0" w:after="120"/>
      <w:jc w:val="both"/>
      <w:outlineLvl w:val="4"/>
    </w:pPr>
    <w:rPr>
      <w:rFonts w:ascii="XO Thames" w:hAnsi="XO Thames" w:eastAsia="Times New Roman" w:cs="Times New Roman"/>
      <w:b/>
      <w:color w:val="000000"/>
      <w:kern w:val="0"/>
      <w:sz w:val="22"/>
      <w:szCs w:val="20"/>
      <w:lang w:val="ru-RU" w:eastAsia="zh-CN" w:bidi="ar-SA"/>
    </w:rPr>
  </w:style>
  <w:style w:type="paragraph" w:styleId="Heading6">
    <w:name w:val="heading 6"/>
    <w:basedOn w:val="Normal"/>
    <w:next w:val="Normal"/>
    <w:uiPriority w:val="9"/>
    <w:qFormat/>
    <w:pPr>
      <w:keepNext w:val="true"/>
      <w:keepLines/>
      <w:spacing w:before="320" w:after="200"/>
      <w:outlineLvl w:val="5"/>
    </w:pPr>
    <w:rPr>
      <w:rFonts w:ascii="Arial" w:hAnsi="Arial"/>
      <w:b/>
    </w:rPr>
  </w:style>
  <w:style w:type="paragraph" w:styleId="Heading7">
    <w:name w:val="heading 7"/>
    <w:basedOn w:val="Normal"/>
    <w:next w:val="Normal"/>
    <w:uiPriority w:val="9"/>
    <w:qFormat/>
    <w:pPr>
      <w:keepNext w:val="true"/>
      <w:keepLines/>
      <w:spacing w:before="320" w:after="200"/>
      <w:outlineLvl w:val="6"/>
    </w:pPr>
    <w:rPr>
      <w:rFonts w:ascii="Arial" w:hAnsi="Arial"/>
      <w:b/>
      <w:i/>
    </w:rPr>
  </w:style>
  <w:style w:type="paragraph" w:styleId="Heading8">
    <w:name w:val="heading 8"/>
    <w:basedOn w:val="Normal"/>
    <w:next w:val="Normal"/>
    <w:uiPriority w:val="9"/>
    <w:qFormat/>
    <w:pPr>
      <w:keepNext w:val="true"/>
      <w:keepLines/>
      <w:spacing w:before="320" w:after="200"/>
      <w:outlineLvl w:val="7"/>
    </w:pPr>
    <w:rPr>
      <w:rFonts w:ascii="Arial" w:hAnsi="Arial"/>
      <w:i/>
    </w:rPr>
  </w:style>
  <w:style w:type="paragraph" w:styleId="Heading9">
    <w:name w:val="heading 9"/>
    <w:basedOn w:val="Normal"/>
    <w:next w:val="Normal"/>
    <w:uiPriority w:val="9"/>
    <w:qFormat/>
    <w:pPr>
      <w:keepNext w:val="true"/>
      <w:keepLines/>
      <w:spacing w:before="320" w:after="200"/>
      <w:outlineLvl w:val="8"/>
    </w:pPr>
    <w:rPr>
      <w:rFonts w:ascii="Arial" w:hAnsi="Arial"/>
      <w:i/>
      <w:sz w:val="21"/>
    </w:rPr>
  </w:style>
  <w:style w:type="character" w:styleId="Style5">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Style6">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1">
    <w:name w:val="Знак концевой сноски1"/>
    <w:basedOn w:val="11"/>
    <w:link w:val="111"/>
    <w:qFormat/>
    <w:rPr>
      <w:vertAlign w:val="superscript"/>
    </w:rPr>
  </w:style>
  <w:style w:type="character" w:styleId="FooterChar">
    <w:name w:val="Footer Char"/>
    <w:basedOn w:val="11"/>
    <w:link w:val="FooterChar1"/>
    <w:qFormat/>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Heading71">
    <w:name w:val="Heading 71"/>
    <w:qFormat/>
    <w:rPr>
      <w:rFonts w:ascii="Arial" w:hAnsi="Arial"/>
      <w:b/>
      <w:i/>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Endnote">
    <w:name w:val="Endnote"/>
    <w:link w:val="Endnote1"/>
    <w:qFormat/>
    <w:rPr>
      <w:sz w:val="20"/>
    </w:rPr>
  </w:style>
  <w:style w:type="character" w:styleId="Heading31">
    <w:name w:val="Heading 31"/>
    <w:qFormat/>
    <w:rPr>
      <w:rFonts w:ascii="XO Thames" w:hAnsi="XO Thames"/>
      <w:b/>
      <w:sz w:val="26"/>
    </w:rPr>
  </w:style>
  <w:style w:type="character" w:styleId="Quote">
    <w:name w:val="Quote"/>
    <w:link w:val="Quote1"/>
    <w:qFormat/>
    <w:rPr>
      <w:i/>
    </w:rPr>
  </w:style>
  <w:style w:type="character" w:styleId="FootnoteTextChar">
    <w:name w:val="Footnote Text Char"/>
    <w:link w:val="FootnoteTextChar1"/>
    <w:qFormat/>
    <w:rPr>
      <w:sz w:val="18"/>
    </w:rPr>
  </w:style>
  <w:style w:type="character" w:styleId="Heading2Char">
    <w:name w:val="Heading 2 Char"/>
    <w:basedOn w:val="11"/>
    <w:link w:val="Heading2Char1"/>
    <w:qFormat/>
    <w:rPr>
      <w:rFonts w:ascii="Arial" w:hAnsi="Arial"/>
      <w:sz w:val="34"/>
    </w:rPr>
  </w:style>
  <w:style w:type="character" w:styleId="IntenseQuote">
    <w:name w:val="Intense Quote"/>
    <w:link w:val="IntenseQuote1"/>
    <w:qFormat/>
    <w:rPr>
      <w:i/>
    </w:rPr>
  </w:style>
  <w:style w:type="character" w:styleId="Heading3Char">
    <w:name w:val="Heading 3 Char"/>
    <w:basedOn w:val="11"/>
    <w:link w:val="Heading3Char1"/>
    <w:qFormat/>
    <w:rPr>
      <w:rFonts w:ascii="Arial" w:hAnsi="Arial"/>
      <w:sz w:val="30"/>
    </w:rPr>
  </w:style>
  <w:style w:type="character" w:styleId="Heading91">
    <w:name w:val="Heading 91"/>
    <w:qFormat/>
    <w:rPr>
      <w:rFonts w:ascii="Arial" w:hAnsi="Arial"/>
      <w:i/>
      <w:sz w:val="21"/>
    </w:rPr>
  </w:style>
  <w:style w:type="character" w:styleId="SubtitleChar">
    <w:name w:val="Subtitle Char"/>
    <w:basedOn w:val="11"/>
    <w:link w:val="SubtitleChar1"/>
    <w:qFormat/>
    <w:rPr>
      <w:sz w:val="24"/>
    </w:rPr>
  </w:style>
  <w:style w:type="character" w:styleId="11">
    <w:name w:val="Основной шрифт абзаца1"/>
    <w:link w:val="112"/>
    <w:qFormat/>
    <w:rPr/>
  </w:style>
  <w:style w:type="character" w:styleId="ListParagraph">
    <w:name w:val="List Paragraph"/>
    <w:link w:val="ListParagraph1"/>
    <w:qFormat/>
    <w:rPr/>
  </w:style>
  <w:style w:type="character" w:styleId="12">
    <w:name w:val="Обычный1"/>
    <w:link w:val="113"/>
    <w:qFormat/>
    <w:rPr/>
  </w:style>
  <w:style w:type="character" w:styleId="ListParagraph111111111111111">
    <w:name w:val="List Paragraph111111111111111"/>
    <w:link w:val="ListParagraph1111111111111111"/>
    <w:qFormat/>
    <w:rPr>
      <w:rFonts w:ascii="Calibri" w:hAnsi="Calibri"/>
    </w:rPr>
  </w:style>
  <w:style w:type="character" w:styleId="13">
    <w:name w:val="Знак сноски1"/>
    <w:basedOn w:val="11"/>
    <w:link w:val="114"/>
    <w:qFormat/>
    <w:rPr>
      <w:vertAlign w:val="superscript"/>
    </w:rPr>
  </w:style>
  <w:style w:type="character" w:styleId="DefaultParagraphFont">
    <w:name w:val="Default Paragraph Font"/>
    <w:link w:val="DefaultParagraphFont1"/>
    <w:qFormat/>
    <w:rPr/>
  </w:style>
  <w:style w:type="character" w:styleId="Contents3">
    <w:name w:val="Contents 3"/>
    <w:qFormat/>
    <w:rPr>
      <w:rFonts w:ascii="XO Thames" w:hAnsi="XO Thames"/>
      <w:sz w:val="28"/>
    </w:rPr>
  </w:style>
  <w:style w:type="character" w:styleId="ContentsHeading">
    <w:name w:val="Contents Heading"/>
    <w:qFormat/>
    <w:rPr/>
  </w:style>
  <w:style w:type="character" w:styleId="FigureIndex1">
    <w:name w:val="Figure Index 1"/>
    <w:qFormat/>
    <w:rPr/>
  </w:style>
  <w:style w:type="character" w:styleId="Heading6Char">
    <w:name w:val="Heading 6 Char"/>
    <w:basedOn w:val="11"/>
    <w:link w:val="Heading6Char1"/>
    <w:qFormat/>
    <w:rPr>
      <w:rFonts w:ascii="Arial" w:hAnsi="Arial"/>
      <w:b/>
    </w:rPr>
  </w:style>
  <w:style w:type="character" w:styleId="Heading1Char">
    <w:name w:val="Heading 1 Char"/>
    <w:basedOn w:val="11"/>
    <w:link w:val="Heading1Char1"/>
    <w:qFormat/>
    <w:rPr>
      <w:rFonts w:ascii="Arial" w:hAnsi="Arial"/>
      <w:sz w:val="40"/>
    </w:rPr>
  </w:style>
  <w:style w:type="character" w:styleId="Footnote">
    <w:name w:val="Footnote"/>
    <w:link w:val="Footnote1"/>
    <w:qFormat/>
    <w:rPr>
      <w:rFonts w:ascii="XO Thames" w:hAnsi="XO Thames"/>
    </w:rPr>
  </w:style>
  <w:style w:type="character" w:styleId="Heading51">
    <w:name w:val="Heading 51"/>
    <w:qFormat/>
    <w:rPr>
      <w:rFonts w:ascii="XO Thames" w:hAnsi="XO Thames"/>
      <w:b/>
    </w:rPr>
  </w:style>
  <w:style w:type="character" w:styleId="14">
    <w:name w:val="Гиперссылка1"/>
    <w:basedOn w:val="11"/>
    <w:link w:val="115"/>
    <w:qFormat/>
    <w:rPr>
      <w:color w:themeColor="hyperlink" w:val="0563C1"/>
      <w:u w:val="single"/>
    </w:rPr>
  </w:style>
  <w:style w:type="character" w:styleId="Heading11">
    <w:name w:val="Heading 11"/>
    <w:qFormat/>
    <w:rPr>
      <w:rFonts w:ascii="XO Thames" w:hAnsi="XO Thames"/>
      <w:b/>
      <w:sz w:val="32"/>
    </w:rPr>
  </w:style>
  <w:style w:type="character" w:styleId="Heading5Char">
    <w:name w:val="Heading 5 Char"/>
    <w:basedOn w:val="11"/>
    <w:link w:val="Heading5Char1"/>
    <w:qFormat/>
    <w:rPr>
      <w:rFonts w:ascii="Arial" w:hAnsi="Arial"/>
      <w:b/>
      <w:sz w:val="24"/>
    </w:rPr>
  </w:style>
  <w:style w:type="character" w:styleId="TitleChar">
    <w:name w:val="Title Char"/>
    <w:basedOn w:val="11"/>
    <w:link w:val="TitleChar1"/>
    <w:qFormat/>
    <w:rPr>
      <w:sz w:val="48"/>
    </w:rPr>
  </w:style>
  <w:style w:type="character" w:styleId="NoSpacing">
    <w:name w:val="No Spacing"/>
    <w:link w:val="NoSpacing1"/>
    <w:qFormat/>
    <w:rPr/>
  </w:style>
  <w:style w:type="character" w:styleId="PlainText">
    <w:name w:val="Plain Text"/>
    <w:link w:val="PlainText1"/>
    <w:qFormat/>
    <w:rPr>
      <w:rFonts w:ascii="Calibri" w:hAnsi="Calibri"/>
    </w:rPr>
  </w:style>
  <w:style w:type="character" w:styleId="Hyperlink">
    <w:name w:val="Hyperlink"/>
    <w:rPr>
      <w:color w:val="0000FF"/>
      <w:u w:val="single"/>
    </w:rPr>
  </w:style>
  <w:style w:type="character" w:styleId="Heading81">
    <w:name w:val="Heading 81"/>
    <w:qFormat/>
    <w:rPr>
      <w:rFonts w:ascii="Arial" w:hAnsi="Arial"/>
      <w:i/>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0"/>
    </w:rPr>
  </w:style>
  <w:style w:type="character" w:styleId="Heading4Char">
    <w:name w:val="Heading 4 Char"/>
    <w:basedOn w:val="11"/>
    <w:link w:val="Heading4Char1"/>
    <w:qFormat/>
    <w:rPr>
      <w:rFonts w:ascii="Arial" w:hAnsi="Arial"/>
      <w:b/>
      <w:sz w:val="26"/>
    </w:rPr>
  </w:style>
  <w:style w:type="character" w:styleId="Contents9">
    <w:name w:val="Contents 9"/>
    <w:qFormat/>
    <w:rPr>
      <w:rFonts w:ascii="XO Thames" w:hAnsi="XO Thames"/>
      <w:sz w:val="28"/>
    </w:rPr>
  </w:style>
  <w:style w:type="character" w:styleId="Footer1">
    <w:name w:val="Footer1"/>
    <w:qFormat/>
    <w:rPr>
      <w:rFonts w:ascii="Times New Roman" w:hAnsi="Times New Roman"/>
      <w:sz w:val="28"/>
    </w:rPr>
  </w:style>
  <w:style w:type="character" w:styleId="Contents8">
    <w:name w:val="Contents 8"/>
    <w:qFormat/>
    <w:rPr>
      <w:rFonts w:ascii="XO Thames" w:hAnsi="XO Thames"/>
      <w:sz w:val="28"/>
    </w:rPr>
  </w:style>
  <w:style w:type="character" w:styleId="CaptionChar">
    <w:name w:val="Caption Char"/>
    <w:link w:val="CaptionChar1"/>
    <w:qFormat/>
    <w:rPr/>
  </w:style>
  <w:style w:type="character" w:styleId="Contents5">
    <w:name w:val="Contents 5"/>
    <w:qFormat/>
    <w:rPr>
      <w:rFonts w:ascii="XO Thames" w:hAnsi="XO Thames"/>
      <w:sz w:val="28"/>
    </w:rPr>
  </w:style>
  <w:style w:type="character" w:styleId="BalloonText">
    <w:name w:val="Balloon Text"/>
    <w:link w:val="BalloonText1"/>
    <w:qFormat/>
    <w:rPr>
      <w:rFonts w:ascii="Segoe UI" w:hAnsi="Segoe UI"/>
      <w:sz w:val="18"/>
    </w:rPr>
  </w:style>
  <w:style w:type="character" w:styleId="QuoteChar">
    <w:name w:val="Quote Char"/>
    <w:link w:val="QuoteChar1"/>
    <w:qFormat/>
    <w:rPr>
      <w:i/>
    </w:rPr>
  </w:style>
  <w:style w:type="character" w:styleId="Heading8Char">
    <w:name w:val="Heading 8 Char"/>
    <w:basedOn w:val="11"/>
    <w:link w:val="Heading8Char1"/>
    <w:qFormat/>
    <w:rPr>
      <w:rFonts w:ascii="Arial" w:hAnsi="Arial"/>
      <w:i/>
    </w:rPr>
  </w:style>
  <w:style w:type="character" w:styleId="Heading7Char">
    <w:name w:val="Heading 7 Char"/>
    <w:basedOn w:val="11"/>
    <w:link w:val="Heading7Char1"/>
    <w:qFormat/>
    <w:rPr>
      <w:rFonts w:ascii="Arial" w:hAnsi="Arial"/>
      <w:b/>
      <w:i/>
    </w:rPr>
  </w:style>
  <w:style w:type="character" w:styleId="HeaderChar">
    <w:name w:val="Header Char"/>
    <w:basedOn w:val="11"/>
    <w:link w:val="HeaderChar1"/>
    <w:qFormat/>
    <w:rPr/>
  </w:style>
  <w:style w:type="character" w:styleId="Header1">
    <w:name w:val="Header1"/>
    <w:qFormat/>
    <w:rPr/>
  </w:style>
  <w:style w:type="character" w:styleId="IntenseQuoteChar">
    <w:name w:val="Intense Quote Char"/>
    <w:link w:val="IntenseQuoteChar1"/>
    <w:qFormat/>
    <w:rPr>
      <w:i/>
    </w:rPr>
  </w:style>
  <w:style w:type="character" w:styleId="Heading9Char">
    <w:name w:val="Heading 9 Char"/>
    <w:basedOn w:val="11"/>
    <w:link w:val="Heading9Char1"/>
    <w:qFormat/>
    <w:rPr>
      <w:rFonts w:ascii="Arial" w:hAnsi="Arial"/>
      <w:i/>
      <w:sz w:val="21"/>
    </w:rPr>
  </w:style>
  <w:style w:type="character" w:styleId="EndnoteTextChar">
    <w:name w:val="Endnote Text Char"/>
    <w:link w:val="EndnoteTextChar1"/>
    <w:qFormat/>
    <w:rPr>
      <w:sz w:val="20"/>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Caption1">
    <w:name w:val="Caption1"/>
    <w:qFormat/>
    <w:rPr>
      <w:b/>
      <w:color w:themeColor="accent1" w:val="5B9BD5"/>
      <w:sz w:val="18"/>
    </w:rPr>
  </w:style>
  <w:style w:type="character" w:styleId="Heading21">
    <w:name w:val="Heading 21"/>
    <w:qFormat/>
    <w:rPr>
      <w:rFonts w:ascii="XO Thames" w:hAnsi="XO Thames"/>
      <w:b/>
      <w:sz w:val="28"/>
    </w:rPr>
  </w:style>
  <w:style w:type="character" w:styleId="Heading61">
    <w:name w:val="Heading 61"/>
    <w:qFormat/>
    <w:rPr>
      <w:rFonts w:ascii="Arial" w:hAnsi="Arial"/>
      <w:b/>
    </w:rPr>
  </w:style>
  <w:style w:type="paragraph" w:styleId="Style7">
    <w:name w:val="Заголовок"/>
    <w:basedOn w:val="Normal"/>
    <w:next w:val="BodyText"/>
    <w:qFormat/>
    <w:pPr>
      <w:keepNext w:val="true"/>
      <w:spacing w:before="240" w:after="120"/>
    </w:pPr>
    <w:rPr>
      <w:rFonts w:ascii="Open Sans" w:hAnsi="Ope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next w:val="Normal"/>
    <w:qFormat/>
    <w:pPr>
      <w:spacing w:lineRule="auto" w:line="276"/>
    </w:pPr>
    <w:rPr>
      <w:b/>
      <w:color w:themeColor="accent1" w:val="5B9BD5"/>
      <w:sz w:val="18"/>
    </w:rPr>
  </w:style>
  <w:style w:type="paragraph" w:styleId="Style8">
    <w:name w:val="Указатель"/>
    <w:basedOn w:val="Normal"/>
    <w:qFormat/>
    <w:pPr>
      <w:suppressLineNumbers/>
    </w:pPr>
    <w:rPr>
      <w:rFonts w:cs="Droid Sans"/>
    </w:rPr>
  </w:style>
  <w:style w:type="paragraph" w:styleId="FootnoteText">
    <w:name w:val="footnote text"/>
    <w:basedOn w:val="Normal"/>
    <w:link w:val="FootnoteTextChar"/>
    <w:uiPriority w:val="99"/>
    <w:semiHidden/>
    <w:unhideWhenUsed/>
    <w:pPr>
      <w:spacing w:lineRule="auto" w:line="240" w:before="0" w:after="40"/>
    </w:pPr>
    <w:rPr>
      <w:sz w:val="18"/>
    </w:rPr>
  </w:style>
  <w:style w:type="paragraph" w:styleId="EndnoteText">
    <w:name w:val="endnote text"/>
    <w:basedOn w:val="Normal"/>
    <w:link w:val="EndnoteTextChar"/>
    <w:uiPriority w:val="99"/>
    <w:semiHidden/>
    <w:unhideWhenUsed/>
    <w:pPr>
      <w:spacing w:lineRule="auto" w:line="240" w:before="0" w:after="0"/>
    </w:pPr>
    <w:rPr>
      <w:sz w:val="20"/>
    </w:rPr>
  </w:style>
  <w:style w:type="paragraph" w:styleId="111">
    <w:name w:val="Знак концевой сноски11"/>
    <w:basedOn w:val="112"/>
    <w:link w:val="1"/>
    <w:qFormat/>
    <w:pPr/>
    <w:rPr>
      <w:vertAlign w:val="superscript"/>
    </w:rPr>
  </w:style>
  <w:style w:type="paragraph" w:styleId="FooterChar1">
    <w:name w:val="Footer Char1"/>
    <w:basedOn w:val="112"/>
    <w:link w:val="FooterChar"/>
    <w:qFormat/>
    <w:pPr/>
    <w:rPr/>
  </w:style>
  <w:style w:type="paragraph" w:styleId="TOC2">
    <w:name w:val="toc 2"/>
    <w:next w:val="Normal"/>
    <w:uiPriority w:val="39"/>
    <w:pPr>
      <w:widowControl/>
      <w:bidi w:val="0"/>
      <w:spacing w:lineRule="auto" w:line="264" w:beforeAutospacing="0" w:before="0" w:afterAutospacing="0" w:after="160"/>
      <w:ind w:hanging="0" w:start="200"/>
      <w:jc w:val="start"/>
    </w:pPr>
    <w:rPr>
      <w:rFonts w:ascii="XO Thames" w:hAnsi="XO Thames" w:eastAsia="Times New Roman" w:cs="Times New Roman"/>
      <w:color w:val="000000"/>
      <w:kern w:val="0"/>
      <w:sz w:val="28"/>
      <w:szCs w:val="20"/>
      <w:lang w:val="ru-RU" w:eastAsia="zh-CN" w:bidi="ar-SA"/>
    </w:rPr>
  </w:style>
  <w:style w:type="paragraph" w:styleId="TOC4">
    <w:name w:val="toc 4"/>
    <w:next w:val="Normal"/>
    <w:uiPriority w:val="39"/>
    <w:pPr>
      <w:widowControl/>
      <w:bidi w:val="0"/>
      <w:spacing w:lineRule="auto" w:line="264" w:beforeAutospacing="0" w:before="0" w:afterAutospacing="0" w:after="160"/>
      <w:ind w:hanging="0" w:start="600"/>
      <w:jc w:val="start"/>
    </w:pPr>
    <w:rPr>
      <w:rFonts w:ascii="XO Thames" w:hAnsi="XO Thames" w:eastAsia="Times New Roman" w:cs="Times New Roman"/>
      <w:color w:val="000000"/>
      <w:kern w:val="0"/>
      <w:sz w:val="28"/>
      <w:szCs w:val="20"/>
      <w:lang w:val="ru-RU" w:eastAsia="zh-CN" w:bidi="ar-SA"/>
    </w:rPr>
  </w:style>
  <w:style w:type="paragraph" w:styleId="TOC6">
    <w:name w:val="toc 6"/>
    <w:next w:val="Normal"/>
    <w:uiPriority w:val="39"/>
    <w:pPr>
      <w:widowControl/>
      <w:bidi w:val="0"/>
      <w:spacing w:lineRule="auto" w:line="264" w:beforeAutospacing="0" w:before="0" w:afterAutospacing="0" w:after="160"/>
      <w:ind w:hanging="0" w:start="1000"/>
      <w:jc w:val="start"/>
    </w:pPr>
    <w:rPr>
      <w:rFonts w:ascii="XO Thames" w:hAnsi="XO Thames" w:eastAsia="Times New Roman" w:cs="Times New Roman"/>
      <w:color w:val="000000"/>
      <w:kern w:val="0"/>
      <w:sz w:val="28"/>
      <w:szCs w:val="20"/>
      <w:lang w:val="ru-RU" w:eastAsia="zh-CN" w:bidi="ar-SA"/>
    </w:rPr>
  </w:style>
  <w:style w:type="paragraph" w:styleId="TOC7">
    <w:name w:val="toc 7"/>
    <w:next w:val="Normal"/>
    <w:uiPriority w:val="39"/>
    <w:pPr>
      <w:widowControl/>
      <w:bidi w:val="0"/>
      <w:spacing w:lineRule="auto" w:line="264" w:beforeAutospacing="0" w:before="0" w:afterAutospacing="0" w:after="160"/>
      <w:ind w:hanging="0" w:start="1200"/>
      <w:jc w:val="start"/>
    </w:pPr>
    <w:rPr>
      <w:rFonts w:ascii="XO Thames" w:hAnsi="XO Thames" w:eastAsia="Times New Roman" w:cs="Times New Roman"/>
      <w:color w:val="000000"/>
      <w:kern w:val="0"/>
      <w:sz w:val="28"/>
      <w:szCs w:val="20"/>
      <w:lang w:val="ru-RU" w:eastAsia="zh-CN" w:bidi="ar-SA"/>
    </w:rPr>
  </w:style>
  <w:style w:type="paragraph" w:styleId="Endnote1">
    <w:name w:val="Endnote1"/>
    <w:basedOn w:val="Normal"/>
    <w:link w:val="Endnote"/>
    <w:qFormat/>
    <w:pPr>
      <w:spacing w:lineRule="auto" w:line="240" w:before="0" w:after="0"/>
    </w:pPr>
    <w:rPr>
      <w:sz w:val="20"/>
    </w:rPr>
  </w:style>
  <w:style w:type="paragraph" w:styleId="Quote1">
    <w:name w:val="Quote1"/>
    <w:basedOn w:val="Normal"/>
    <w:next w:val="Normal"/>
    <w:link w:val="Quote"/>
    <w:qFormat/>
    <w:pPr>
      <w:ind w:hanging="0" w:start="720" w:end="720"/>
    </w:pPr>
    <w:rPr>
      <w:i/>
    </w:rPr>
  </w:style>
  <w:style w:type="paragraph" w:styleId="FootnoteTextChar1">
    <w:name w:val="Footnote Text Char1"/>
    <w:link w:val="FootnoteTextChar"/>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18"/>
      <w:szCs w:val="20"/>
      <w:lang w:val="ru-RU" w:eastAsia="zh-CN" w:bidi="ar-SA"/>
    </w:rPr>
  </w:style>
  <w:style w:type="paragraph" w:styleId="Heading2Char1">
    <w:name w:val="Heading 2 Char1"/>
    <w:basedOn w:val="112"/>
    <w:link w:val="Heading2Char"/>
    <w:qFormat/>
    <w:pPr/>
    <w:rPr>
      <w:rFonts w:ascii="Arial" w:hAnsi="Arial"/>
      <w:sz w:val="34"/>
    </w:rPr>
  </w:style>
  <w:style w:type="paragraph" w:styleId="IntenseQuote1">
    <w:name w:val="Intense Quote1"/>
    <w:basedOn w:val="Normal"/>
    <w:next w:val="Normal"/>
    <w:link w:val="IntenseQuote"/>
    <w:qFormat/>
    <w:pPr>
      <w:ind w:hanging="0" w:start="720" w:end="720"/>
    </w:pPr>
    <w:rPr>
      <w:i/>
    </w:rPr>
  </w:style>
  <w:style w:type="paragraph" w:styleId="Heading3Char1">
    <w:name w:val="Heading 3 Char1"/>
    <w:basedOn w:val="112"/>
    <w:link w:val="Heading3Char"/>
    <w:qFormat/>
    <w:pPr/>
    <w:rPr>
      <w:rFonts w:ascii="Arial" w:hAnsi="Arial"/>
      <w:sz w:val="30"/>
    </w:rPr>
  </w:style>
  <w:style w:type="paragraph" w:styleId="SubtitleChar1">
    <w:name w:val="Subtitle Char1"/>
    <w:basedOn w:val="112"/>
    <w:link w:val="SubtitleChar"/>
    <w:qFormat/>
    <w:pPr/>
    <w:rPr>
      <w:sz w:val="24"/>
    </w:rPr>
  </w:style>
  <w:style w:type="paragraph" w:styleId="112">
    <w:name w:val="Основной шрифт абзаца11"/>
    <w:link w:val="11"/>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ListParagraph1">
    <w:name w:val="List Paragraph1"/>
    <w:basedOn w:val="Normal"/>
    <w:link w:val="ListParagraph"/>
    <w:qFormat/>
    <w:pPr>
      <w:spacing w:before="0" w:after="160"/>
      <w:ind w:hanging="0" w:start="720"/>
      <w:contextualSpacing/>
    </w:pPr>
    <w:rPr/>
  </w:style>
  <w:style w:type="paragraph" w:styleId="113">
    <w:name w:val="Обычный11"/>
    <w:link w:val="12"/>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ListParagraph1111111111111111">
    <w:name w:val="List Paragraph1111111111111111"/>
    <w:link w:val="ListParagraph111111111111111"/>
    <w:qFormat/>
    <w:pPr>
      <w:widowControl/>
      <w:bidi w:val="0"/>
      <w:spacing w:lineRule="auto" w:line="264" w:beforeAutospacing="0" w:before="0" w:afterAutospacing="0" w:after="160"/>
      <w:ind w:hanging="0" w:start="720"/>
      <w:contextualSpacing/>
      <w:jc w:val="start"/>
    </w:pPr>
    <w:rPr>
      <w:rFonts w:ascii="Calibri" w:hAnsi="Calibri" w:eastAsia="Times New Roman" w:cs="Times New Roman" w:asciiTheme="minorAscii" w:hAnsiTheme="minorHAnsi"/>
      <w:color w:val="000000"/>
      <w:kern w:val="0"/>
      <w:sz w:val="22"/>
      <w:szCs w:val="20"/>
      <w:highlight w:val="white"/>
      <w:lang w:val="ru-RU" w:eastAsia="zh-CN" w:bidi="ar-SA"/>
    </w:rPr>
  </w:style>
  <w:style w:type="paragraph" w:styleId="114">
    <w:name w:val="Знак сноски11"/>
    <w:basedOn w:val="112"/>
    <w:link w:val="13"/>
    <w:qFormat/>
    <w:pPr/>
    <w:rPr>
      <w:vertAlign w:val="superscript"/>
    </w:rPr>
  </w:style>
  <w:style w:type="paragraph" w:styleId="DefaultParagraphFont1">
    <w:name w:val="Default Paragraph Font1"/>
    <w:link w:val="DefaultParagraphFont"/>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TOC3">
    <w:name w:val="toc 3"/>
    <w:next w:val="Normal"/>
    <w:uiPriority w:val="39"/>
    <w:pPr>
      <w:widowControl/>
      <w:bidi w:val="0"/>
      <w:spacing w:lineRule="auto" w:line="264" w:beforeAutospacing="0" w:before="0" w:afterAutospacing="0" w:after="160"/>
      <w:ind w:hanging="0" w:start="400"/>
      <w:jc w:val="start"/>
    </w:pPr>
    <w:rPr>
      <w:rFonts w:ascii="XO Thames" w:hAnsi="XO Thames" w:eastAsia="Times New Roman" w:cs="Times New Roman"/>
      <w:color w:val="000000"/>
      <w:kern w:val="0"/>
      <w:sz w:val="28"/>
      <w:szCs w:val="20"/>
      <w:lang w:val="ru-RU" w:eastAsia="zh-CN" w:bidi="ar-SA"/>
    </w:rPr>
  </w:style>
  <w:style w:type="paragraph" w:styleId="IndexHeading">
    <w:name w:val="index heading"/>
    <w:basedOn w:val="Style7"/>
    <w:pPr/>
    <w:rPr/>
  </w:style>
  <w:style w:type="paragraph" w:styleId="TOCHeading">
    <w:name w:val="TOC Heading"/>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TableofFigures">
    <w:name w:val="table of figures"/>
    <w:basedOn w:val="Normal"/>
    <w:next w:val="Normal"/>
    <w:pPr>
      <w:spacing w:before="0" w:after="0"/>
    </w:pPr>
    <w:rPr/>
  </w:style>
  <w:style w:type="paragraph" w:styleId="Heading6Char1">
    <w:name w:val="Heading 6 Char1"/>
    <w:basedOn w:val="112"/>
    <w:link w:val="Heading6Char"/>
    <w:qFormat/>
    <w:pPr/>
    <w:rPr>
      <w:rFonts w:ascii="Arial" w:hAnsi="Arial"/>
      <w:b/>
    </w:rPr>
  </w:style>
  <w:style w:type="paragraph" w:styleId="Heading1Char1">
    <w:name w:val="Heading 1 Char1"/>
    <w:basedOn w:val="112"/>
    <w:link w:val="Heading1Char"/>
    <w:qFormat/>
    <w:pPr/>
    <w:rPr>
      <w:rFonts w:ascii="Arial" w:hAnsi="Arial"/>
      <w:sz w:val="40"/>
    </w:rPr>
  </w:style>
  <w:style w:type="paragraph" w:styleId="Footnote1">
    <w:name w:val="Footnote1"/>
    <w:link w:val="Footnote"/>
    <w:qFormat/>
    <w:pPr>
      <w:widowControl/>
      <w:bidi w:val="0"/>
      <w:spacing w:lineRule="auto" w:line="264" w:beforeAutospacing="0" w:before="0" w:afterAutospacing="0" w:after="160"/>
      <w:ind w:firstLine="851" w:start="0"/>
      <w:jc w:val="both"/>
    </w:pPr>
    <w:rPr>
      <w:rFonts w:ascii="XO Thames" w:hAnsi="XO Thames" w:eastAsia="Times New Roman" w:cs="Times New Roman"/>
      <w:color w:val="000000"/>
      <w:kern w:val="0"/>
      <w:sz w:val="22"/>
      <w:szCs w:val="20"/>
      <w:lang w:val="ru-RU" w:eastAsia="zh-CN" w:bidi="ar-SA"/>
    </w:rPr>
  </w:style>
  <w:style w:type="paragraph" w:styleId="115">
    <w:name w:val="Гиперссылка11"/>
    <w:basedOn w:val="112"/>
    <w:link w:val="14"/>
    <w:qFormat/>
    <w:pPr/>
    <w:rPr>
      <w:color w:themeColor="hyperlink" w:val="0563C1"/>
      <w:u w:val="single"/>
    </w:rPr>
  </w:style>
  <w:style w:type="paragraph" w:styleId="Heading5Char1">
    <w:name w:val="Heading 5 Char1"/>
    <w:basedOn w:val="112"/>
    <w:link w:val="Heading5Char"/>
    <w:qFormat/>
    <w:pPr/>
    <w:rPr>
      <w:rFonts w:ascii="Arial" w:hAnsi="Arial"/>
      <w:b/>
      <w:sz w:val="24"/>
    </w:rPr>
  </w:style>
  <w:style w:type="paragraph" w:styleId="TitleChar1">
    <w:name w:val="Title Char1"/>
    <w:basedOn w:val="112"/>
    <w:link w:val="TitleChar"/>
    <w:qFormat/>
    <w:pPr/>
    <w:rPr>
      <w:sz w:val="48"/>
    </w:rPr>
  </w:style>
  <w:style w:type="paragraph" w:styleId="NoSpacing1">
    <w:name w:val="No Spacing1"/>
    <w:link w:val="NoSpacing"/>
    <w:qFormat/>
    <w:pPr>
      <w:widowControl/>
      <w:bidi w:val="0"/>
      <w:spacing w:lineRule="auto" w:line="240" w:beforeAutospacing="0" w:before="0" w:afterAutospacing="0" w:after="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PlainText1">
    <w:name w:val="Plain Text1"/>
    <w:basedOn w:val="Normal"/>
    <w:link w:val="PlainText"/>
    <w:qFormat/>
    <w:pPr>
      <w:spacing w:lineRule="auto" w:line="240" w:before="0" w:after="0"/>
    </w:pPr>
    <w:rPr>
      <w:rFonts w:ascii="Calibri" w:hAnsi="Calibri"/>
    </w:rPr>
  </w:style>
  <w:style w:type="paragraph" w:styleId="Internetlink">
    <w:name w:val="Internet link"/>
    <w:qFormat/>
    <w:pPr>
      <w:widowControl/>
      <w:bidi w:val="0"/>
      <w:spacing w:lineRule="auto" w:line="264" w:beforeAutospacing="0" w:before="0" w:afterAutospacing="0" w:after="160"/>
      <w:jc w:val="start"/>
    </w:pPr>
    <w:rPr>
      <w:rFonts w:ascii="Calibri" w:hAnsi="Calibri" w:eastAsia="Times New Roman" w:cs="Times New Roman"/>
      <w:color w:val="0000FF"/>
      <w:kern w:val="0"/>
      <w:sz w:val="22"/>
      <w:szCs w:val="20"/>
      <w:u w:val="single"/>
      <w:lang w:val="ru-RU" w:eastAsia="zh-CN" w:bidi="ar-SA"/>
    </w:rPr>
  </w:style>
  <w:style w:type="paragraph" w:styleId="TOC1">
    <w:name w:val="toc 1"/>
    <w:next w:val="Normal"/>
    <w:uiPriority w:val="39"/>
    <w:pPr>
      <w:widowControl/>
      <w:bidi w:val="0"/>
      <w:spacing w:lineRule="auto" w:line="264" w:beforeAutospacing="0" w:before="0" w:afterAutospacing="0" w:after="160"/>
      <w:jc w:val="start"/>
    </w:pPr>
    <w:rPr>
      <w:rFonts w:ascii="XO Thames" w:hAnsi="XO Thames" w:eastAsia="Times New Roman" w:cs="Times New Roman"/>
      <w:b/>
      <w:color w:val="000000"/>
      <w:kern w:val="0"/>
      <w:sz w:val="28"/>
      <w:szCs w:val="20"/>
      <w:lang w:val="ru-RU" w:eastAsia="zh-CN" w:bidi="ar-SA"/>
    </w:rPr>
  </w:style>
  <w:style w:type="paragraph" w:styleId="Style9">
    <w:name w:val="Колонтитулы"/>
    <w:qFormat/>
    <w:pPr>
      <w:widowControl/>
      <w:bidi w:val="0"/>
      <w:spacing w:lineRule="auto" w:line="240" w:beforeAutospacing="0" w:before="0" w:afterAutospacing="0" w:after="160"/>
      <w:jc w:val="both"/>
    </w:pPr>
    <w:rPr>
      <w:rFonts w:ascii="XO Thames" w:hAnsi="XO Thames" w:eastAsia="Times New Roman" w:cs="Times New Roman"/>
      <w:color w:val="000000"/>
      <w:kern w:val="0"/>
      <w:sz w:val="20"/>
      <w:szCs w:val="20"/>
      <w:lang w:val="ru-RU" w:eastAsia="zh-CN" w:bidi="ar-SA"/>
    </w:rPr>
  </w:style>
  <w:style w:type="paragraph" w:styleId="Heading4Char1">
    <w:name w:val="Heading 4 Char1"/>
    <w:basedOn w:val="112"/>
    <w:link w:val="Heading4Char"/>
    <w:qFormat/>
    <w:pPr/>
    <w:rPr>
      <w:rFonts w:ascii="Arial" w:hAnsi="Arial"/>
      <w:b/>
      <w:sz w:val="26"/>
    </w:rPr>
  </w:style>
  <w:style w:type="paragraph" w:styleId="TOC9">
    <w:name w:val="toc 9"/>
    <w:next w:val="Normal"/>
    <w:uiPriority w:val="39"/>
    <w:pPr>
      <w:widowControl/>
      <w:bidi w:val="0"/>
      <w:spacing w:lineRule="auto" w:line="264" w:beforeAutospacing="0" w:before="0" w:afterAutospacing="0" w:after="160"/>
      <w:ind w:hanging="0" w:start="1600"/>
      <w:jc w:val="start"/>
    </w:pPr>
    <w:rPr>
      <w:rFonts w:ascii="XO Thames" w:hAnsi="XO Thames" w:eastAsia="Times New Roman" w:cs="Times New Roman"/>
      <w:color w:val="000000"/>
      <w:kern w:val="0"/>
      <w:sz w:val="28"/>
      <w:szCs w:val="20"/>
      <w:lang w:val="ru-RU" w:eastAsia="zh-CN" w:bidi="ar-SA"/>
    </w:rPr>
  </w:style>
  <w:style w:type="paragraph" w:styleId="Footer">
    <w:name w:val="footer"/>
    <w:basedOn w:val="Normal"/>
    <w:pPr>
      <w:tabs>
        <w:tab w:val="clear" w:pos="708"/>
        <w:tab w:val="center" w:pos="4677" w:leader="none"/>
        <w:tab w:val="right" w:pos="9355" w:leader="none"/>
      </w:tabs>
      <w:spacing w:lineRule="auto" w:line="240" w:before="0" w:after="0"/>
    </w:pPr>
    <w:rPr>
      <w:rFonts w:ascii="Times New Roman" w:hAnsi="Times New Roman"/>
      <w:sz w:val="28"/>
    </w:rPr>
  </w:style>
  <w:style w:type="paragraph" w:styleId="TOC8">
    <w:name w:val="toc 8"/>
    <w:next w:val="Normal"/>
    <w:uiPriority w:val="39"/>
    <w:pPr>
      <w:widowControl/>
      <w:bidi w:val="0"/>
      <w:spacing w:lineRule="auto" w:line="264" w:beforeAutospacing="0" w:before="0" w:afterAutospacing="0" w:after="160"/>
      <w:ind w:hanging="0" w:start="1400"/>
      <w:jc w:val="start"/>
    </w:pPr>
    <w:rPr>
      <w:rFonts w:ascii="XO Thames" w:hAnsi="XO Thames" w:eastAsia="Times New Roman" w:cs="Times New Roman"/>
      <w:color w:val="000000"/>
      <w:kern w:val="0"/>
      <w:sz w:val="28"/>
      <w:szCs w:val="20"/>
      <w:lang w:val="ru-RU" w:eastAsia="zh-CN" w:bidi="ar-SA"/>
    </w:rPr>
  </w:style>
  <w:style w:type="paragraph" w:styleId="CaptionChar1">
    <w:name w:val="Caption Char1"/>
    <w:link w:val="CaptionChar"/>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2"/>
      <w:szCs w:val="20"/>
      <w:lang w:val="ru-RU" w:eastAsia="zh-CN" w:bidi="ar-SA"/>
    </w:rPr>
  </w:style>
  <w:style w:type="paragraph" w:styleId="TOC5">
    <w:name w:val="toc 5"/>
    <w:next w:val="Normal"/>
    <w:uiPriority w:val="39"/>
    <w:pPr>
      <w:widowControl/>
      <w:bidi w:val="0"/>
      <w:spacing w:lineRule="auto" w:line="264" w:beforeAutospacing="0" w:before="0" w:afterAutospacing="0" w:after="160"/>
      <w:ind w:hanging="0" w:start="800"/>
      <w:jc w:val="start"/>
    </w:pPr>
    <w:rPr>
      <w:rFonts w:ascii="XO Thames" w:hAnsi="XO Thames" w:eastAsia="Times New Roman" w:cs="Times New Roman"/>
      <w:color w:val="000000"/>
      <w:kern w:val="0"/>
      <w:sz w:val="28"/>
      <w:szCs w:val="20"/>
      <w:lang w:val="ru-RU" w:eastAsia="zh-CN" w:bidi="ar-SA"/>
    </w:rPr>
  </w:style>
  <w:style w:type="paragraph" w:styleId="BalloonText1">
    <w:name w:val="Balloon Text1"/>
    <w:basedOn w:val="Normal"/>
    <w:link w:val="BalloonText"/>
    <w:qFormat/>
    <w:pPr>
      <w:spacing w:lineRule="auto" w:line="240" w:before="0" w:after="0"/>
    </w:pPr>
    <w:rPr>
      <w:rFonts w:ascii="Segoe UI" w:hAnsi="Segoe UI"/>
      <w:sz w:val="18"/>
    </w:rPr>
  </w:style>
  <w:style w:type="paragraph" w:styleId="QuoteChar1">
    <w:name w:val="Quote Char1"/>
    <w:link w:val="QuoteChar"/>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i/>
      <w:color w:val="000000"/>
      <w:kern w:val="0"/>
      <w:sz w:val="22"/>
      <w:szCs w:val="20"/>
      <w:lang w:val="ru-RU" w:eastAsia="zh-CN" w:bidi="ar-SA"/>
    </w:rPr>
  </w:style>
  <w:style w:type="paragraph" w:styleId="Heading8Char1">
    <w:name w:val="Heading 8 Char1"/>
    <w:basedOn w:val="112"/>
    <w:link w:val="Heading8Char"/>
    <w:qFormat/>
    <w:pPr/>
    <w:rPr>
      <w:rFonts w:ascii="Arial" w:hAnsi="Arial"/>
      <w:i/>
    </w:rPr>
  </w:style>
  <w:style w:type="paragraph" w:styleId="Heading7Char1">
    <w:name w:val="Heading 7 Char1"/>
    <w:basedOn w:val="112"/>
    <w:link w:val="Heading7Char"/>
    <w:qFormat/>
    <w:pPr/>
    <w:rPr>
      <w:rFonts w:ascii="Arial" w:hAnsi="Arial"/>
      <w:b/>
      <w:i/>
    </w:rPr>
  </w:style>
  <w:style w:type="paragraph" w:styleId="HeaderChar1">
    <w:name w:val="Header Char1"/>
    <w:basedOn w:val="112"/>
    <w:link w:val="HeaderChar"/>
    <w:qFormat/>
    <w:pPr/>
    <w:rPr/>
  </w:style>
  <w:style w:type="paragraph" w:styleId="Header">
    <w:name w:val="header"/>
    <w:basedOn w:val="Normal"/>
    <w:pPr>
      <w:tabs>
        <w:tab w:val="clear" w:pos="708"/>
        <w:tab w:val="center" w:pos="4677" w:leader="none"/>
        <w:tab w:val="right" w:pos="9355" w:leader="none"/>
      </w:tabs>
      <w:spacing w:lineRule="auto" w:line="240" w:before="0" w:after="0"/>
    </w:pPr>
    <w:rPr/>
  </w:style>
  <w:style w:type="paragraph" w:styleId="IntenseQuoteChar1">
    <w:name w:val="Intense Quote Char1"/>
    <w:link w:val="IntenseQuoteChar"/>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i/>
      <w:color w:val="000000"/>
      <w:kern w:val="0"/>
      <w:sz w:val="22"/>
      <w:szCs w:val="20"/>
      <w:lang w:val="ru-RU" w:eastAsia="zh-CN" w:bidi="ar-SA"/>
    </w:rPr>
  </w:style>
  <w:style w:type="paragraph" w:styleId="Heading9Char1">
    <w:name w:val="Heading 9 Char1"/>
    <w:basedOn w:val="112"/>
    <w:link w:val="Heading9Char"/>
    <w:qFormat/>
    <w:pPr/>
    <w:rPr>
      <w:rFonts w:ascii="Arial" w:hAnsi="Arial"/>
      <w:i/>
      <w:sz w:val="21"/>
    </w:rPr>
  </w:style>
  <w:style w:type="paragraph" w:styleId="EndnoteTextChar1">
    <w:name w:val="Endnote Text Char1"/>
    <w:link w:val="EndnoteTextChar"/>
    <w:qFormat/>
    <w:pPr>
      <w:widowControl/>
      <w:bidi w:val="0"/>
      <w:spacing w:lineRule="auto" w:line="264" w:beforeAutospacing="0" w:before="0" w:afterAutospacing="0" w:after="160"/>
      <w:jc w:val="start"/>
    </w:pPr>
    <w:rPr>
      <w:rFonts w:ascii="Calibri" w:hAnsi="Calibri" w:eastAsia="Times New Roman" w:cs="Times New Roman" w:asciiTheme="minorAscii" w:hAnsiTheme="minorHAnsi"/>
      <w:color w:val="000000"/>
      <w:kern w:val="0"/>
      <w:sz w:val="20"/>
      <w:szCs w:val="20"/>
      <w:lang w:val="ru-RU" w:eastAsia="zh-CN" w:bidi="ar-SA"/>
    </w:rPr>
  </w:style>
  <w:style w:type="paragraph" w:styleId="Subtitle">
    <w:name w:val="Subtitle"/>
    <w:next w:val="Normal"/>
    <w:uiPriority w:val="11"/>
    <w:qFormat/>
    <w:pPr>
      <w:widowControl/>
      <w:bidi w:val="0"/>
      <w:spacing w:lineRule="auto" w:line="264" w:beforeAutospacing="0" w:before="0" w:afterAutospacing="0" w:after="160"/>
      <w:jc w:val="both"/>
    </w:pPr>
    <w:rPr>
      <w:rFonts w:ascii="XO Thames" w:hAnsi="XO Thames" w:eastAsia="Times New Roman" w:cs="Times New Roman"/>
      <w:i/>
      <w:color w:val="000000"/>
      <w:kern w:val="0"/>
      <w:sz w:val="24"/>
      <w:szCs w:val="20"/>
      <w:lang w:val="ru-RU" w:eastAsia="zh-CN" w:bidi="ar-SA"/>
    </w:rPr>
  </w:style>
  <w:style w:type="paragraph" w:styleId="Title">
    <w:name w:val="Title"/>
    <w:next w:val="Normal"/>
    <w:uiPriority w:val="10"/>
    <w:qFormat/>
    <w:pPr>
      <w:widowControl/>
      <w:bidi w:val="0"/>
      <w:spacing w:lineRule="auto" w:line="264" w:beforeAutospacing="0" w:before="567" w:afterAutospacing="0" w:after="567"/>
      <w:jc w:val="center"/>
    </w:pPr>
    <w:rPr>
      <w:rFonts w:ascii="XO Thames" w:hAnsi="XO Thames" w:eastAsia="Times New Roman" w:cs="Times New Roman"/>
      <w:b/>
      <w:caps/>
      <w:color w:val="000000"/>
      <w:kern w:val="0"/>
      <w:sz w:val="40"/>
      <w:szCs w:val="20"/>
      <w:lang w:val="ru-RU" w:eastAsia="zh-CN" w:bidi="ar-SA"/>
    </w:rPr>
  </w:style>
  <w:style w:type="numbering" w:styleId="Style10" w:default="1">
    <w:name w:val="Без списка"/>
    <w:uiPriority w:val="99"/>
    <w:semiHidden/>
    <w:unhideWhenUsed/>
    <w:qFormat/>
  </w:style>
  <w:style w:type="table" w:styleId="841">
    <w:name w:val="Grid Table 6 Colorful - Accent 3"/>
    <w:basedOn w:val="904"/>
    <w:pPr>
      <w:spacing w:after="0" w:line="240" w:lineRule="auto"/>
    </w:pPr>
    <w:tblPr>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842">
    <w:name w:val="Grid Table 3 - Accent 4"/>
    <w:basedOn w:val="904"/>
    <w:pPr>
      <w:spacing w:after="0" w:line="240" w:lineRule="auto"/>
    </w:pPr>
    <w:tblPr>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843">
    <w:name w:val="Grid Table 3 - Accent 6"/>
    <w:basedOn w:val="904"/>
    <w:pPr>
      <w:spacing w:after="0" w:line="240" w:lineRule="auto"/>
    </w:pPr>
    <w:tblPr>
      <w:tblBorders>
        <w:bottom w:val="single" w:color="000000" w:themeColor="accent6" w:sz="4" w:space="0"/>
        <w:insideH w:val="single" w:color="000000" w:themeColor="accent6" w:sz="4" w:space="0"/>
        <w:insideV w:val="single" w:color="000000" w:themeColor="accent6" w:sz="4" w:space="0"/>
      </w:tblBorders>
    </w:tblPr>
  </w:style>
  <w:style w:type="table" w:styleId="844">
    <w:name w:val="Lined - Accent 4"/>
    <w:basedOn w:val="904"/>
    <w:pPr>
      <w:spacing w:after="0" w:line="240" w:lineRule="auto"/>
    </w:pPr>
    <w:rPr>
      <w:sz w:val="20"/>
    </w:rPr>
  </w:style>
  <w:style w:type="table" w:styleId="845">
    <w:name w:val="Grid Table 1 Light - Accent 1"/>
    <w:basedOn w:val="904"/>
    <w:pPr>
      <w:spacing w:after="0" w:line="240" w:lineRule="auto"/>
    </w:pPr>
    <w:tblPr>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846">
    <w:name w:val="Lined - Accent 6"/>
    <w:basedOn w:val="904"/>
    <w:pPr>
      <w:spacing w:after="0" w:line="240" w:lineRule="auto"/>
    </w:pPr>
    <w:rPr>
      <w:sz w:val="20"/>
    </w:rPr>
  </w:style>
  <w:style w:type="table" w:styleId="847">
    <w:name w:val="Grid Table 2 - Accent 1"/>
    <w:basedOn w:val="904"/>
    <w:pPr>
      <w:spacing w:after="0" w:line="240" w:lineRule="auto"/>
    </w:pPr>
    <w:tblPr>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848">
    <w:name w:val="List Table 6 Colorful - Accent 5"/>
    <w:basedOn w:val="904"/>
    <w:pPr>
      <w:spacing w:after="0" w:line="240" w:lineRule="auto"/>
    </w:pPr>
    <w:tblPr>
      <w:tblBorders>
        <w:top w:val="single" w:color="000000" w:themeColor="accent5" w:themeTint="9a" w:sz="4" w:space="0"/>
        <w:bottom w:val="single" w:color="000000" w:themeColor="accent5" w:themeTint="9a" w:sz="4" w:space="0"/>
      </w:tblBorders>
    </w:tblPr>
  </w:style>
  <w:style w:type="table" w:styleId="849">
    <w:name w:val="Grid Table 5 Dark - Accent 2"/>
    <w:basedOn w:val="904"/>
    <w:pPr>
      <w:spacing w:after="0" w:line="240" w:lineRule="auto"/>
    </w:pPr>
    <w:tblPr>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850">
    <w:name w:val="List Table 2 - Accent 5"/>
    <w:basedOn w:val="904"/>
    <w:pPr>
      <w:spacing w:after="0" w:line="240" w:lineRule="auto"/>
    </w:pPr>
    <w:tblPr>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851">
    <w:name w:val="List Table 2 - Accent 3"/>
    <w:basedOn w:val="904"/>
    <w:pPr>
      <w:spacing w:after="0" w:line="240" w:lineRule="auto"/>
    </w:pPr>
    <w:tblPr>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852">
    <w:name w:val="List Table 1 Light - Accent 6"/>
    <w:basedOn w:val="904"/>
    <w:pPr>
      <w:spacing w:after="0" w:line="240" w:lineRule="auto"/>
    </w:pPr>
  </w:style>
  <w:style w:type="table" w:styleId="853">
    <w:name w:val="Grid Table 5 Dark- Accent 4"/>
    <w:basedOn w:val="904"/>
    <w:pPr>
      <w:spacing w:after="0" w:line="240" w:lineRule="auto"/>
    </w:pPr>
    <w:tblPr>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854">
    <w:name w:val="List Table 1 Light"/>
    <w:basedOn w:val="904"/>
    <w:pPr>
      <w:spacing w:after="0" w:line="240" w:lineRule="auto"/>
    </w:pPr>
  </w:style>
  <w:style w:type="table" w:styleId="855">
    <w:name w:val="List Table 1 Light - Accent 4"/>
    <w:basedOn w:val="904"/>
    <w:pPr>
      <w:spacing w:after="0" w:line="240" w:lineRule="auto"/>
    </w:pPr>
  </w:style>
  <w:style w:type="table" w:styleId="856">
    <w:name w:val="Bordered &amp; Lined - Accent"/>
    <w:basedOn w:val="904"/>
    <w:pPr>
      <w:spacing w:after="0" w:line="240" w:lineRule="auto"/>
    </w:pPr>
    <w:rPr>
      <w:sz w:val="20"/>
    </w:rPr>
    <w:tblPr>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857">
    <w:name w:val="Grid Table 4 - Accent 3"/>
    <w:basedOn w:val="904"/>
    <w:pPr>
      <w:spacing w:after="0" w:line="240" w:lineRule="auto"/>
    </w:pPr>
    <w:tblPr>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858">
    <w:name w:val="Lined - Accent 1"/>
    <w:basedOn w:val="904"/>
    <w:pPr>
      <w:spacing w:after="0" w:line="240" w:lineRule="auto"/>
    </w:pPr>
    <w:rPr>
      <w:sz w:val="20"/>
    </w:rPr>
  </w:style>
  <w:style w:type="table" w:styleId="859">
    <w:name w:val="List Table 1 Light - Accent 2"/>
    <w:basedOn w:val="904"/>
    <w:pPr>
      <w:spacing w:after="0" w:line="240" w:lineRule="auto"/>
    </w:pPr>
  </w:style>
  <w:style w:type="table" w:styleId="860">
    <w:name w:val="Сетка таблицы1"/>
    <w:basedOn w:val="904"/>
    <w:pPr>
      <w:spacing w:after="0" w:line="240" w:lineRule="auto"/>
    </w:pPr>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61">
    <w:name w:val="Grid Table 6 Colorful - Accent 6"/>
    <w:basedOn w:val="904"/>
    <w:pPr>
      <w:spacing w:after="0" w:line="240" w:lineRule="auto"/>
    </w:pPr>
    <w:tblPr>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862">
    <w:name w:val="List Table 6 Colorful - Accent 4"/>
    <w:basedOn w:val="904"/>
    <w:pPr>
      <w:spacing w:after="0" w:line="240" w:lineRule="auto"/>
    </w:pPr>
    <w:tblPr>
      <w:tblBorders>
        <w:top w:val="single" w:color="000000" w:themeColor="accent4" w:themeTint="9a" w:sz="4" w:space="0"/>
        <w:bottom w:val="single" w:color="000000" w:themeColor="accent4" w:themeTint="9a" w:sz="4" w:space="0"/>
      </w:tblBorders>
    </w:tblPr>
  </w:style>
  <w:style w:type="table" w:styleId="863">
    <w:name w:val="Bordered &amp; Lined - Accent 5"/>
    <w:basedOn w:val="904"/>
    <w:pPr>
      <w:spacing w:after="0" w:line="240" w:lineRule="auto"/>
    </w:pPr>
    <w:rPr>
      <w:sz w:val="20"/>
    </w:rPr>
    <w:tblPr>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864">
    <w:name w:val="Grid Table 3 - Accent 3"/>
    <w:basedOn w:val="904"/>
    <w:pPr>
      <w:spacing w:after="0" w:line="240" w:lineRule="auto"/>
    </w:pPr>
    <w:tblPr>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865">
    <w:name w:val="List Table 4 - Accent 4"/>
    <w:basedOn w:val="904"/>
    <w:pPr>
      <w:spacing w:after="0" w:line="240" w:lineRule="auto"/>
    </w:pPr>
    <w:tblPr>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866">
    <w:name w:val="Grid Table 3 - Accent 5"/>
    <w:basedOn w:val="904"/>
    <w:pPr>
      <w:spacing w:after="0" w:line="240" w:lineRule="auto"/>
    </w:pPr>
    <w:tblPr>
      <w:tblBorders>
        <w:bottom w:val="single" w:color="000000" w:themeColor="accent5" w:sz="4" w:space="0"/>
        <w:insideH w:val="single" w:color="000000" w:themeColor="accent5" w:sz="4" w:space="0"/>
        <w:insideV w:val="single" w:color="000000" w:themeColor="accent5" w:sz="4" w:space="0"/>
      </w:tblBorders>
    </w:tblPr>
  </w:style>
  <w:style w:type="table" w:styleId="867">
    <w:name w:val="Bordered &amp; Lined - Accent 2"/>
    <w:basedOn w:val="904"/>
    <w:pPr>
      <w:spacing w:after="0" w:line="240" w:lineRule="auto"/>
    </w:pPr>
    <w:rPr>
      <w:sz w:val="20"/>
    </w:rPr>
    <w:tblPr>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style>
  <w:style w:type="table" w:styleId="868">
    <w:name w:val="List Table 2 - Accent 4"/>
    <w:basedOn w:val="904"/>
    <w:pPr>
      <w:spacing w:after="0" w:line="240" w:lineRule="auto"/>
    </w:pPr>
    <w:tblPr>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869">
    <w:name w:val="Grid Table 5 Dark"/>
    <w:basedOn w:val="904"/>
    <w:pPr>
      <w:spacing w:after="0" w:line="240" w:lineRule="auto"/>
    </w:pPr>
    <w:tblPr>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870">
    <w:name w:val="Grid Table 4 - Accent 5"/>
    <w:basedOn w:val="904"/>
    <w:pPr>
      <w:spacing w:after="0" w:line="240" w:lineRule="auto"/>
    </w:pPr>
    <w:tblPr>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871">
    <w:name w:val="Plain Table 3"/>
    <w:basedOn w:val="904"/>
    <w:pPr>
      <w:spacing w:after="0" w:line="240" w:lineRule="auto"/>
    </w:pPr>
  </w:style>
  <w:style w:type="table" w:styleId="872">
    <w:name w:val="Grid Table 2 - Accent 4"/>
    <w:basedOn w:val="904"/>
    <w:pPr>
      <w:spacing w:after="0" w:line="240" w:lineRule="auto"/>
    </w:pPr>
    <w:tblPr>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873">
    <w:name w:val="List Table 5 Dark"/>
    <w:basedOn w:val="904"/>
    <w:pPr>
      <w:spacing w:after="0" w:line="240" w:lineRule="auto"/>
    </w:pPr>
    <w:tblPr>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874">
    <w:name w:val="List Table 3 - Accent 2"/>
    <w:basedOn w:val="904"/>
    <w:pPr>
      <w:spacing w:after="0" w:line="240" w:lineRule="auto"/>
    </w:pPr>
    <w:tblPr>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875">
    <w:name w:val="Bordered &amp; Lined - Accent 4"/>
    <w:basedOn w:val="904"/>
    <w:pPr>
      <w:spacing w:after="0" w:line="240" w:lineRule="auto"/>
    </w:pPr>
    <w:rPr>
      <w:sz w:val="20"/>
    </w:rPr>
    <w:tblPr>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style>
  <w:style w:type="table" w:styleId="876">
    <w:name w:val="Grid Table 4 - Accent 4"/>
    <w:basedOn w:val="904"/>
    <w:pPr>
      <w:spacing w:after="0" w:line="240" w:lineRule="auto"/>
    </w:pPr>
    <w:tblPr>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877">
    <w:name w:val="Grid Table 2 - Accent 3"/>
    <w:basedOn w:val="904"/>
    <w:pPr>
      <w:spacing w:after="0" w:line="240" w:lineRule="auto"/>
    </w:pPr>
    <w:tblPr>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878">
    <w:name w:val="Bordered - Accent 4"/>
    <w:basedOn w:val="904"/>
    <w:pPr>
      <w:spacing w:after="0" w:line="240" w:lineRule="auto"/>
    </w:pPr>
    <w:tblPr>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879">
    <w:name w:val="Grid Table 6 Colorful"/>
    <w:basedOn w:val="904"/>
    <w:pPr>
      <w:spacing w:after="0" w:line="240" w:lineRule="auto"/>
    </w:pPr>
    <w:tblPr>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880">
    <w:name w:val="List Table 4 - Accent 1"/>
    <w:basedOn w:val="904"/>
    <w:pPr>
      <w:spacing w:after="0" w:line="240" w:lineRule="auto"/>
    </w:pPr>
    <w:tblPr>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881">
    <w:name w:val="List Table 7 Colorful - Accent 2"/>
    <w:basedOn w:val="904"/>
    <w:pPr>
      <w:spacing w:after="0" w:line="240" w:lineRule="auto"/>
    </w:pPr>
    <w:tblPr>
      <w:tblBorders>
        <w:right w:val="single" w:color="000000" w:themeColor="accent2" w:themeTint="97" w:sz="4" w:space="0"/>
      </w:tblBorders>
    </w:tblPr>
  </w:style>
  <w:style w:type="table" w:styleId="882">
    <w:name w:val="List Table 7 Colorful"/>
    <w:basedOn w:val="904"/>
    <w:pPr>
      <w:spacing w:after="0" w:line="240" w:lineRule="auto"/>
    </w:pPr>
    <w:tblPr>
      <w:tblBorders>
        <w:right w:val="single" w:color="000000" w:themeColor="text1" w:themeTint="80" w:sz="4" w:space="0"/>
      </w:tblBorders>
    </w:tblPr>
  </w:style>
  <w:style w:type="table" w:styleId="883">
    <w:name w:val="Grid Table 1 Light - Accent 6"/>
    <w:basedOn w:val="904"/>
    <w:pPr>
      <w:spacing w:after="0" w:line="240" w:lineRule="auto"/>
    </w:pPr>
    <w:tblPr>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884">
    <w:name w:val="Bordered - Accent 6"/>
    <w:basedOn w:val="904"/>
    <w:pPr>
      <w:spacing w:after="0" w:line="240" w:lineRule="auto"/>
    </w:pPr>
    <w:tblPr>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885">
    <w:name w:val="List Table 3"/>
    <w:basedOn w:val="904"/>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886">
    <w:name w:val="List Table 7 Colorful - Accent 3"/>
    <w:basedOn w:val="904"/>
    <w:pPr>
      <w:spacing w:after="0" w:line="240" w:lineRule="auto"/>
    </w:pPr>
    <w:tblPr>
      <w:tblBorders>
        <w:right w:val="single" w:color="000000" w:themeColor="accent3" w:themeTint="98" w:sz="4" w:space="0"/>
      </w:tblBorders>
    </w:tblPr>
  </w:style>
  <w:style w:type="table" w:styleId="887">
    <w:name w:val="List Table 3 - Accent 1"/>
    <w:basedOn w:val="904"/>
    <w:pPr>
      <w:spacing w:after="0" w:line="240" w:lineRule="auto"/>
    </w:pPr>
    <w:tblPr>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888">
    <w:name w:val="List Table 3 - Accent 3"/>
    <w:basedOn w:val="904"/>
    <w:pPr>
      <w:spacing w:after="0" w:line="240" w:lineRule="auto"/>
    </w:pPr>
    <w:tblPr>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889">
    <w:name w:val="List Table 4 - Accent 3"/>
    <w:basedOn w:val="904"/>
    <w:pPr>
      <w:spacing w:after="0" w:line="240" w:lineRule="auto"/>
    </w:pPr>
    <w:tblPr>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890">
    <w:name w:val="List Table 5 Dark - Accent 4"/>
    <w:basedOn w:val="904"/>
    <w:pPr>
      <w:spacing w:after="0" w:line="240" w:lineRule="auto"/>
    </w:pPr>
    <w:tblPr>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891">
    <w:name w:val="Grid Table 2 - Accent 2"/>
    <w:basedOn w:val="904"/>
    <w:pPr>
      <w:spacing w:after="0" w:line="240" w:lineRule="auto"/>
    </w:pPr>
    <w:tblPr>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892">
    <w:name w:val="List Table 7 Colorful - Accent 5"/>
    <w:basedOn w:val="904"/>
    <w:pPr>
      <w:spacing w:after="0" w:line="240" w:lineRule="auto"/>
    </w:pPr>
    <w:tblPr>
      <w:tblBorders>
        <w:right w:val="single" w:color="000000" w:themeColor="accent5" w:themeTint="9a" w:sz="4" w:space="0"/>
      </w:tblBorders>
    </w:tblPr>
  </w:style>
  <w:style w:type="table" w:styleId="893">
    <w:name w:val="Grid Table 2 - Accent 6"/>
    <w:basedOn w:val="904"/>
    <w:pPr>
      <w:spacing w:after="0" w:line="240" w:lineRule="auto"/>
    </w:pPr>
    <w:tblPr>
      <w:tblBorders>
        <w:bottom w:val="single" w:color="000000" w:themeColor="accent6" w:sz="4" w:space="0"/>
        <w:insideH w:val="single" w:color="000000" w:themeColor="accent6" w:sz="4" w:space="0"/>
        <w:insideV w:val="single" w:color="000000" w:themeColor="accent6" w:sz="4" w:space="0"/>
      </w:tblBorders>
    </w:tblPr>
  </w:style>
  <w:style w:type="table" w:styleId="894">
    <w:name w:val="List Table 6 Colorful - Accent 2"/>
    <w:basedOn w:val="904"/>
    <w:pPr>
      <w:spacing w:after="0" w:line="240" w:lineRule="auto"/>
    </w:pPr>
    <w:tblPr>
      <w:tblBorders>
        <w:top w:val="single" w:color="000000" w:themeColor="accent2" w:themeTint="97" w:sz="4" w:space="0"/>
        <w:bottom w:val="single" w:color="000000" w:themeColor="accent2" w:themeTint="97" w:sz="4" w:space="0"/>
      </w:tblBorders>
    </w:tblPr>
  </w:style>
  <w:style w:type="table" w:styleId="895">
    <w:name w:val="Grid Table 2 - Accent 5"/>
    <w:basedOn w:val="904"/>
    <w:pPr>
      <w:spacing w:after="0" w:line="240" w:lineRule="auto"/>
    </w:pPr>
    <w:tblPr>
      <w:tblBorders>
        <w:bottom w:val="single" w:color="000000" w:themeColor="accent5" w:sz="4" w:space="0"/>
        <w:insideH w:val="single" w:color="000000" w:themeColor="accent5" w:sz="4" w:space="0"/>
        <w:insideV w:val="single" w:color="000000" w:themeColor="accent5" w:sz="4" w:space="0"/>
      </w:tblBorders>
    </w:tblPr>
  </w:style>
  <w:style w:type="table" w:styleId="896">
    <w:name w:val="Lined - Accent 3"/>
    <w:basedOn w:val="904"/>
    <w:pPr>
      <w:spacing w:after="0" w:line="240" w:lineRule="auto"/>
    </w:pPr>
    <w:rPr>
      <w:sz w:val="20"/>
    </w:rPr>
  </w:style>
  <w:style w:type="table" w:styleId="897">
    <w:name w:val="Bordered &amp; Lined - Accent 3"/>
    <w:basedOn w:val="904"/>
    <w:pPr>
      <w:spacing w:after="0" w:line="240" w:lineRule="auto"/>
    </w:pPr>
    <w:rPr>
      <w:sz w:val="20"/>
    </w:rPr>
    <w:tblPr>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style>
  <w:style w:type="table" w:styleId="898">
    <w:name w:val="Lined - Accent 5"/>
    <w:basedOn w:val="904"/>
    <w:pPr>
      <w:spacing w:after="0" w:line="240" w:lineRule="auto"/>
    </w:pPr>
    <w:rPr>
      <w:sz w:val="20"/>
    </w:rPr>
  </w:style>
  <w:style w:type="table" w:styleId="899">
    <w:name w:val="Grid Table 6 Colorful - Accent 4"/>
    <w:basedOn w:val="904"/>
    <w:pPr>
      <w:spacing w:after="0" w:line="240" w:lineRule="auto"/>
    </w:pPr>
    <w:tblPr>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900">
    <w:name w:val="Grid Table 4"/>
    <w:basedOn w:val="904"/>
    <w:pPr>
      <w:spacing w:after="0" w:line="240" w:lineRule="auto"/>
    </w:pPr>
    <w:tblPr>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901">
    <w:name w:val="List Table 2 - Accent 6"/>
    <w:basedOn w:val="904"/>
    <w:pPr>
      <w:spacing w:after="0" w:line="240" w:lineRule="auto"/>
    </w:pPr>
    <w:tblPr>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table" w:styleId="902">
    <w:name w:val="Grid Table 7 Colorful - Accent 2"/>
    <w:basedOn w:val="904"/>
    <w:pPr>
      <w:spacing w:after="0" w:line="240" w:lineRule="auto"/>
    </w:pPr>
    <w:tblPr>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903">
    <w:name w:val="Grid Table 5 Dark - Accent 3"/>
    <w:basedOn w:val="904"/>
    <w:pPr>
      <w:spacing w:after="0" w:line="240" w:lineRule="auto"/>
    </w:pPr>
    <w:tblPr>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default="1" w:styleId="904">
    <w:name w:val="Normal Table"/>
    <w:tblPr>
      <w:tblCellMar>
        <w:top w:w="0" w:type="dxa"/>
        <w:left w:w="108" w:type="dxa"/>
        <w:bottom w:w="0" w:type="dxa"/>
        <w:right w:w="108" w:type="dxa"/>
      </w:tblCellMar>
    </w:tblPr>
  </w:style>
  <w:style w:type="table" w:styleId="905">
    <w:name w:val="Grid Table 1 Light - Accent 5"/>
    <w:basedOn w:val="904"/>
    <w:pPr>
      <w:spacing w:after="0" w:line="240" w:lineRule="auto"/>
    </w:pPr>
    <w:tblPr>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906">
    <w:name w:val="List Table 5 Dark - Accent 6"/>
    <w:basedOn w:val="904"/>
    <w:pPr>
      <w:spacing w:after="0" w:line="240" w:lineRule="auto"/>
    </w:pPr>
    <w:tblPr>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907">
    <w:name w:val="List Table 6 Colorful - Accent 1"/>
    <w:basedOn w:val="904"/>
    <w:pPr>
      <w:spacing w:after="0" w:line="240" w:lineRule="auto"/>
    </w:pPr>
    <w:tblPr>
      <w:tblBorders>
        <w:top w:val="single" w:color="000000" w:themeColor="accent1" w:sz="4" w:space="0"/>
        <w:bottom w:val="single" w:color="000000" w:themeColor="accent1" w:sz="4" w:space="0"/>
      </w:tblBorders>
    </w:tblPr>
  </w:style>
  <w:style w:type="table" w:styleId="908">
    <w:name w:val="List Table 1 Light - Accent 1"/>
    <w:basedOn w:val="904"/>
    <w:pPr>
      <w:spacing w:after="0" w:line="240" w:lineRule="auto"/>
    </w:pPr>
  </w:style>
  <w:style w:type="table" w:styleId="909">
    <w:name w:val="Bordered"/>
    <w:basedOn w:val="904"/>
    <w:pPr>
      <w:spacing w:after="0" w:line="240" w:lineRule="auto"/>
    </w:pPr>
    <w:tblPr>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910">
    <w:name w:val="Bordered - Accent 1"/>
    <w:basedOn w:val="904"/>
    <w:pPr>
      <w:spacing w:after="0" w:line="240" w:lineRule="auto"/>
    </w:pPr>
    <w:tblPr>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911">
    <w:name w:val="Grid Table 7 Colorful - Accent 3"/>
    <w:basedOn w:val="904"/>
    <w:pPr>
      <w:spacing w:after="0" w:line="240" w:lineRule="auto"/>
    </w:pPr>
    <w:tblPr>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912">
    <w:name w:val="List Table 7 Colorful - Accent 1"/>
    <w:basedOn w:val="904"/>
    <w:pPr>
      <w:spacing w:after="0" w:line="240" w:lineRule="auto"/>
    </w:pPr>
    <w:tblPr>
      <w:tblBorders>
        <w:right w:val="single" w:color="000000" w:themeColor="accent1" w:sz="4" w:space="0"/>
      </w:tblBorders>
    </w:tblPr>
  </w:style>
  <w:style w:type="table" w:styleId="913">
    <w:name w:val="Plain Table 5"/>
    <w:basedOn w:val="904"/>
    <w:pPr>
      <w:spacing w:after="0" w:line="240" w:lineRule="auto"/>
    </w:pPr>
  </w:style>
  <w:style w:type="table" w:styleId="914">
    <w:name w:val="List Table 2 - Accent 2"/>
    <w:basedOn w:val="904"/>
    <w:pPr>
      <w:spacing w:after="0" w:line="240" w:lineRule="auto"/>
    </w:pPr>
    <w:tblPr>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915">
    <w:name w:val="List Table 3 - Accent 6"/>
    <w:basedOn w:val="904"/>
    <w:pPr>
      <w:spacing w:after="0" w:line="240" w:lineRule="auto"/>
    </w:pPr>
    <w:tblPr>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916">
    <w:name w:val="List Table 4 - Accent 2"/>
    <w:basedOn w:val="904"/>
    <w:pPr>
      <w:spacing w:after="0" w:line="240" w:lineRule="auto"/>
    </w:pPr>
    <w:tblPr>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917">
    <w:name w:val="Grid Table 7 Colorful - Accent 1"/>
    <w:basedOn w:val="904"/>
    <w:pPr>
      <w:spacing w:after="0" w:line="240" w:lineRule="auto"/>
    </w:pPr>
    <w:tblPr>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918">
    <w:name w:val="List Table 2"/>
    <w:basedOn w:val="904"/>
    <w:pPr>
      <w:spacing w:after="0" w:line="240" w:lineRule="auto"/>
    </w:pPr>
    <w:tblPr>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919">
    <w:name w:val="Grid Table 4 - Accent 2"/>
    <w:basedOn w:val="904"/>
    <w:pPr>
      <w:spacing w:after="0" w:line="240" w:lineRule="auto"/>
    </w:pPr>
    <w:tblPr>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920">
    <w:name w:val="Table Grid"/>
    <w:basedOn w:val="904"/>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1">
    <w:name w:val="Plain Table 4"/>
    <w:basedOn w:val="904"/>
    <w:pPr>
      <w:spacing w:after="0" w:line="240" w:lineRule="auto"/>
    </w:pPr>
  </w:style>
  <w:style w:type="table" w:styleId="922">
    <w:name w:val="List Table 5 Dark - Accent 1"/>
    <w:basedOn w:val="904"/>
    <w:pPr>
      <w:spacing w:after="0" w:line="240" w:lineRule="auto"/>
    </w:pPr>
    <w:tblPr>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923">
    <w:name w:val="List Table 1 Light - Accent 3"/>
    <w:basedOn w:val="904"/>
    <w:pPr>
      <w:spacing w:after="0" w:line="240" w:lineRule="auto"/>
    </w:pPr>
  </w:style>
  <w:style w:type="table" w:styleId="924">
    <w:name w:val="Plain Table 1"/>
    <w:basedOn w:val="904"/>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style>
  <w:style w:type="table" w:styleId="925">
    <w:name w:val="Grid Table 6 Colorful - Accent 5"/>
    <w:basedOn w:val="904"/>
    <w:pPr>
      <w:spacing w:after="0" w:line="240" w:lineRule="auto"/>
    </w:pPr>
    <w:tblPr>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926">
    <w:name w:val="Bordered - Accent 3"/>
    <w:basedOn w:val="904"/>
    <w:pPr>
      <w:spacing w:after="0" w:line="240" w:lineRule="auto"/>
    </w:pPr>
    <w:tblPr>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927">
    <w:name w:val="Grid Table 7 Colorful - Accent 5"/>
    <w:basedOn w:val="904"/>
    <w:pPr>
      <w:spacing w:after="0" w:line="240" w:lineRule="auto"/>
    </w:pPr>
    <w:tblPr>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928">
    <w:name w:val="Сетка таблицы2"/>
    <w:basedOn w:val="904"/>
    <w:pPr>
      <w:spacing w:after="0" w:line="240" w:lineRule="auto"/>
    </w:pPr>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Grid Table 5 Dark- Accent 1"/>
    <w:basedOn w:val="904"/>
    <w:pPr>
      <w:spacing w:after="0" w:line="240" w:lineRule="auto"/>
    </w:pPr>
    <w:tblPr>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30">
    <w:name w:val="Grid Table 7 Colorful - Accent 4"/>
    <w:basedOn w:val="904"/>
    <w:pPr>
      <w:spacing w:after="0" w:line="240" w:lineRule="auto"/>
    </w:pPr>
    <w:tblPr>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931">
    <w:name w:val="Lined - Accent 2"/>
    <w:basedOn w:val="904"/>
    <w:pPr>
      <w:spacing w:after="0" w:line="240" w:lineRule="auto"/>
    </w:pPr>
    <w:rPr>
      <w:sz w:val="20"/>
    </w:rPr>
  </w:style>
  <w:style w:type="table" w:styleId="932">
    <w:name w:val="Bordered &amp; Lined - Accent 6"/>
    <w:basedOn w:val="904"/>
    <w:pPr>
      <w:spacing w:after="0" w:line="240" w:lineRule="auto"/>
    </w:pPr>
    <w:rPr>
      <w:sz w:val="20"/>
    </w:rPr>
    <w:tblPr>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933">
    <w:name w:val="List Table 3 - Accent 4"/>
    <w:basedOn w:val="904"/>
    <w:pPr>
      <w:spacing w:after="0" w:line="240" w:lineRule="auto"/>
    </w:pPr>
    <w:tblPr>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934">
    <w:name w:val="List Table 6 Colorful - Accent 6"/>
    <w:basedOn w:val="904"/>
    <w:pPr>
      <w:spacing w:after="0" w:line="240" w:lineRule="auto"/>
    </w:pPr>
    <w:tblPr>
      <w:tblBorders>
        <w:top w:val="single" w:color="000000" w:themeColor="accent6" w:themeTint="98" w:sz="4" w:space="0"/>
        <w:bottom w:val="single" w:color="000000" w:themeColor="accent6" w:themeTint="98" w:sz="4" w:space="0"/>
      </w:tblBorders>
    </w:tblPr>
  </w:style>
  <w:style w:type="table" w:styleId="935">
    <w:name w:val="List Table 4 - Accent 5"/>
    <w:basedOn w:val="904"/>
    <w:pPr>
      <w:spacing w:after="0" w:line="240" w:lineRule="auto"/>
    </w:pPr>
    <w:tblPr>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936">
    <w:name w:val="Grid Table 3 - Accent 1"/>
    <w:basedOn w:val="904"/>
    <w:pPr>
      <w:spacing w:after="0" w:line="240" w:lineRule="auto"/>
    </w:pPr>
    <w:tblPr>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937">
    <w:name w:val="List Table 5 Dark - Accent 2"/>
    <w:basedOn w:val="904"/>
    <w:pPr>
      <w:spacing w:after="0" w:line="240" w:lineRule="auto"/>
    </w:pPr>
    <w:tblPr>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938">
    <w:name w:val="List Table 3 - Accent 5"/>
    <w:basedOn w:val="904"/>
    <w:pPr>
      <w:spacing w:after="0" w:line="240" w:lineRule="auto"/>
    </w:pPr>
    <w:tblPr>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939">
    <w:name w:val="Lined - Accent"/>
    <w:basedOn w:val="904"/>
    <w:pPr>
      <w:spacing w:after="0" w:line="240" w:lineRule="auto"/>
    </w:pPr>
    <w:rPr>
      <w:sz w:val="20"/>
    </w:rPr>
  </w:style>
  <w:style w:type="table" w:styleId="940">
    <w:name w:val="Grid Table 5 Dark - Accent 6"/>
    <w:basedOn w:val="904"/>
    <w:pPr>
      <w:spacing w:after="0" w:line="240" w:lineRule="auto"/>
    </w:pPr>
    <w:tblPr>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41">
    <w:name w:val="Grid Table 7 Colorful"/>
    <w:basedOn w:val="904"/>
    <w:pPr>
      <w:spacing w:after="0" w:line="240" w:lineRule="auto"/>
    </w:pPr>
    <w:tblPr>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942">
    <w:name w:val="Grid Table 1 Light - Accent 4"/>
    <w:basedOn w:val="904"/>
    <w:pPr>
      <w:spacing w:after="0" w:line="240" w:lineRule="auto"/>
    </w:pPr>
    <w:tblPr>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943">
    <w:name w:val="Grid Table 1 Light - Accent 2"/>
    <w:basedOn w:val="904"/>
    <w:pPr>
      <w:spacing w:after="0" w:line="240" w:lineRule="auto"/>
    </w:pPr>
    <w:tblPr>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944">
    <w:name w:val="Grid Table 6 Colorful - Accent 2"/>
    <w:basedOn w:val="904"/>
    <w:pPr>
      <w:spacing w:after="0" w:line="240" w:lineRule="auto"/>
    </w:pPr>
    <w:tblPr>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945">
    <w:name w:val="List Table 5 Dark - Accent 3"/>
    <w:basedOn w:val="904"/>
    <w:pPr>
      <w:spacing w:after="0" w:line="240" w:lineRule="auto"/>
    </w:pPr>
    <w:tblPr>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946">
    <w:name w:val="Grid Table 3 - Accent 2"/>
    <w:basedOn w:val="904"/>
    <w:pPr>
      <w:spacing w:after="0" w:line="240" w:lineRule="auto"/>
    </w:pPr>
    <w:tblPr>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947">
    <w:name w:val="Grid Table 4 - Accent 6"/>
    <w:basedOn w:val="904"/>
    <w:pPr>
      <w:spacing w:after="0" w:line="240" w:lineRule="auto"/>
    </w:pPr>
    <w:tblPr>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948">
    <w:name w:val="List Table 2 - Accent 1"/>
    <w:basedOn w:val="904"/>
    <w:pPr>
      <w:spacing w:after="0" w:line="240" w:lineRule="auto"/>
    </w:pPr>
    <w:tblPr>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949">
    <w:name w:val="Table Grid Light"/>
    <w:basedOn w:val="904"/>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style>
  <w:style w:type="table" w:styleId="950">
    <w:name w:val="List Table 5 Dark - Accent 5"/>
    <w:basedOn w:val="904"/>
    <w:pPr>
      <w:spacing w:after="0" w:line="240" w:lineRule="auto"/>
    </w:pPr>
    <w:tblPr>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951">
    <w:name w:val="Bordered &amp; Lined - Accent 1"/>
    <w:basedOn w:val="904"/>
    <w:pPr>
      <w:spacing w:after="0" w:line="240" w:lineRule="auto"/>
    </w:pPr>
    <w:rPr>
      <w:sz w:val="20"/>
    </w:rPr>
    <w:tblPr>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style>
  <w:style w:type="table" w:styleId="952">
    <w:name w:val="List Table 4 - Accent 6"/>
    <w:basedOn w:val="904"/>
    <w:pPr>
      <w:spacing w:after="0" w:line="240" w:lineRule="auto"/>
    </w:pPr>
    <w:tblPr>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953">
    <w:name w:val="Grid Table 7 Colorful - Accent 6"/>
    <w:basedOn w:val="904"/>
    <w:pPr>
      <w:spacing w:after="0" w:line="240" w:lineRule="auto"/>
    </w:pPr>
    <w:tblPr>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954">
    <w:name w:val="List Table 7 Colorful - Accent 6"/>
    <w:basedOn w:val="904"/>
    <w:pPr>
      <w:spacing w:after="0" w:line="240" w:lineRule="auto"/>
    </w:pPr>
    <w:tblPr>
      <w:tblBorders>
        <w:right w:val="single" w:color="000000" w:themeColor="accent6" w:themeTint="98" w:sz="4" w:space="0"/>
      </w:tblBorders>
    </w:tblPr>
  </w:style>
  <w:style w:type="table" w:styleId="955">
    <w:name w:val="List Table 6 Colorful"/>
    <w:basedOn w:val="904"/>
    <w:pPr>
      <w:spacing w:after="0" w:line="240" w:lineRule="auto"/>
    </w:pPr>
    <w:tblPr>
      <w:tblBorders>
        <w:top w:val="single" w:color="000000" w:themeColor="text1" w:themeTint="80" w:sz="4" w:space="0"/>
        <w:bottom w:val="single" w:color="000000" w:themeColor="text1" w:themeTint="80" w:sz="4" w:space="0"/>
      </w:tblBorders>
    </w:tblPr>
  </w:style>
  <w:style w:type="table" w:styleId="956">
    <w:name w:val="Grid Table 6 Colorful - Accent 1"/>
    <w:basedOn w:val="904"/>
    <w:pPr>
      <w:spacing w:after="0" w:line="240" w:lineRule="auto"/>
    </w:pPr>
    <w:tblPr>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957">
    <w:name w:val="Grid Table 1 Light - Accent 3"/>
    <w:basedOn w:val="904"/>
    <w:pPr>
      <w:spacing w:after="0" w:line="240" w:lineRule="auto"/>
    </w:pPr>
    <w:tblPr>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958">
    <w:name w:val="Bordered - Accent 5"/>
    <w:basedOn w:val="904"/>
    <w:pPr>
      <w:spacing w:after="0" w:line="240" w:lineRule="auto"/>
    </w:pPr>
    <w:tblPr>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959">
    <w:name w:val="Plain Table 2"/>
    <w:basedOn w:val="904"/>
    <w:pPr>
      <w:spacing w:after="0" w:line="240" w:lineRule="auto"/>
    </w:pPr>
    <w:tblPr>
      <w:tblBorders>
        <w:top w:val="single" w:color="000000" w:themeColor="text1" w:sz="4" w:space="0"/>
        <w:left w:val="none" w:color="000000" w:sz="4" w:space="0"/>
        <w:bottom w:val="single" w:color="000000" w:themeColor="text1" w:sz="4" w:space="0"/>
        <w:right w:val="none" w:color="000000" w:sz="4" w:space="0"/>
      </w:tblBorders>
    </w:tblPr>
  </w:style>
  <w:style w:type="table" w:styleId="960">
    <w:name w:val="List Table 4"/>
    <w:basedOn w:val="904"/>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961">
    <w:name w:val="List Table 6 Colorful - Accent 3"/>
    <w:basedOn w:val="904"/>
    <w:pPr>
      <w:spacing w:after="0" w:line="240" w:lineRule="auto"/>
    </w:pPr>
    <w:tblPr>
      <w:tblBorders>
        <w:top w:val="single" w:color="000000" w:themeColor="accent3" w:themeTint="98" w:sz="4" w:space="0"/>
        <w:bottom w:val="single" w:color="000000" w:themeColor="accent3" w:themeTint="98" w:sz="4" w:space="0"/>
      </w:tblBorders>
    </w:tblPr>
  </w:style>
  <w:style w:type="table" w:styleId="962">
    <w:name w:val="Grid Table 4 - Accent 1"/>
    <w:basedOn w:val="904"/>
    <w:pPr>
      <w:spacing w:after="0" w:line="240" w:lineRule="auto"/>
    </w:pPr>
    <w:tblPr>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table" w:styleId="963">
    <w:name w:val="Grid Table 3"/>
    <w:basedOn w:val="904"/>
    <w:pPr>
      <w:spacing w:after="0" w:line="240" w:lineRule="auto"/>
    </w:pPr>
    <w:tblPr>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964">
    <w:name w:val="Grid Table 5 Dark - Accent 5"/>
    <w:basedOn w:val="904"/>
    <w:pPr>
      <w:spacing w:after="0" w:line="240" w:lineRule="auto"/>
    </w:pPr>
    <w:tblPr>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65">
    <w:name w:val="Bordered - Accent 2"/>
    <w:basedOn w:val="904"/>
    <w:pPr>
      <w:spacing w:after="0" w:line="240" w:lineRule="auto"/>
    </w:pPr>
    <w:tblPr>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966">
    <w:name w:val="Grid Table 2"/>
    <w:basedOn w:val="904"/>
    <w:pPr>
      <w:spacing w:after="0" w:line="240" w:lineRule="auto"/>
    </w:pPr>
    <w:tblPr>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967">
    <w:name w:val="List Table 7 Colorful - Accent 4"/>
    <w:basedOn w:val="904"/>
    <w:pPr>
      <w:spacing w:after="0" w:line="240" w:lineRule="auto"/>
    </w:pPr>
    <w:tblPr>
      <w:tblBorders>
        <w:right w:val="single" w:color="000000" w:themeColor="accent4" w:themeTint="9a" w:sz="4" w:space="0"/>
      </w:tblBorders>
    </w:tblPr>
  </w:style>
  <w:style w:type="table" w:styleId="968">
    <w:name w:val="List Table 1 Light - Accent 5"/>
    <w:basedOn w:val="904"/>
    <w:pPr>
      <w:spacing w:after="0" w:line="240" w:lineRule="auto"/>
    </w:pPr>
  </w:style>
  <w:style w:type="table" w:styleId="969">
    <w:name w:val="Grid Table 1 Light"/>
    <w:basedOn w:val="904"/>
    <w:pPr>
      <w:spacing w:after="0" w:line="240" w:lineRule="auto"/>
    </w:pPr>
    <w:tblPr>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LibreOffice/26.2.2.2$Linux_X86_64 LibreOffice_project/620$Build-2</Application>
  <AppVersion>15.0000</AppVersion>
  <Pages>15</Pages>
  <Words>4515</Words>
  <Characters>33506</Characters>
  <CharactersWithSpaces>37859</CharactersWithSpaces>
  <Paragraphs>182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2026-08-05T11:30:28Z</dcterms:modified>
  <cp:revision>4</cp:revision>
  <dc:subject/>
  <dc:title/>
</cp:coreProperties>
</file>