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spacing w:after="0" w:line="276" w:lineRule="auto"/>
        <w:ind/>
        <w:rPr>
          <w:rFonts w:ascii="Times New Roman" w:hAnsi="Times New Roman"/>
          <w:sz w:val="28"/>
        </w:rPr>
      </w:pPr>
      <w:r>
        <w:rPr>
          <w:rFonts w:ascii="Times New Roman" w:hAnsi="Times New Roman"/>
          <w:sz w:val="28"/>
        </w:rPr>
        <w:drawing>
          <wp:anchor allowOverlap="true" behindDoc="false" distB="0" distL="114300" distR="114300" distT="0" layoutInCell="true" locked="false" relativeHeight="251658240" simplePos="false">
            <wp:simplePos x="0" y="0"/>
            <wp:positionH relativeFrom="margin">
              <wp:align>center</wp:align>
            </wp:positionH>
            <wp:positionV relativeFrom="paragraph">
              <wp:posOffset>635</wp:posOffset>
            </wp:positionV>
            <wp:extent cx="647700" cy="807720"/>
            <wp:effectExtent b="0" l="0" r="0" t="0"/>
            <wp:wrapTight distL="114300" distR="114300" wrapText="bothSides">
              <wp:wrapPolygon>
                <wp:start x="-14" y="0"/>
                <wp:lineTo x="-14" y="20874"/>
                <wp:lineTo x="20954" y="20874"/>
                <wp:lineTo x="20954" y="0"/>
                <wp:lineTo x="-14" y="0"/>
              </wp:wrapPolygon>
            </wp:wrapTight>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47700" cy="807720"/>
                    </a:xfrm>
                    <a:prstGeom prst="rect"/>
                  </pic:spPr>
                </pic:pic>
              </a:graphicData>
            </a:graphic>
          </wp:anchor>
        </w:drawing>
      </w:r>
    </w:p>
    <w:p w14:paraId="03000000">
      <w:pPr>
        <w:spacing w:after="0" w:line="360" w:lineRule="auto"/>
        <w:ind/>
        <w:jc w:val="center"/>
        <w:rPr>
          <w:rFonts w:ascii="Times New Roman" w:hAnsi="Times New Roman"/>
          <w:sz w:val="32"/>
        </w:rPr>
      </w:pPr>
    </w:p>
    <w:p w14:paraId="04000000">
      <w:pPr>
        <w:spacing w:after="0" w:line="240" w:lineRule="auto"/>
        <w:ind/>
        <w:jc w:val="center"/>
        <w:rPr>
          <w:rFonts w:ascii="Times New Roman" w:hAnsi="Times New Roman"/>
          <w:b w:val="1"/>
          <w:sz w:val="32"/>
        </w:rPr>
      </w:pPr>
    </w:p>
    <w:p w14:paraId="05000000">
      <w:pPr>
        <w:spacing w:after="0" w:line="240" w:lineRule="auto"/>
        <w:ind/>
        <w:rPr>
          <w:rFonts w:ascii="Times New Roman" w:hAnsi="Times New Roman"/>
          <w:b w:val="1"/>
          <w:sz w:val="32"/>
        </w:rPr>
      </w:pPr>
    </w:p>
    <w:p w14:paraId="06000000">
      <w:pPr>
        <w:spacing w:after="0" w:line="240" w:lineRule="auto"/>
        <w:ind/>
        <w:jc w:val="center"/>
        <w:rPr>
          <w:rFonts w:ascii="Times New Roman" w:hAnsi="Times New Roman"/>
          <w:b w:val="1"/>
          <w:sz w:val="28"/>
        </w:rPr>
      </w:pPr>
      <w:r>
        <w:rPr>
          <w:rFonts w:ascii="Times New Roman" w:hAnsi="Times New Roman"/>
          <w:b w:val="1"/>
          <w:sz w:val="28"/>
        </w:rPr>
        <w:t>МИНИСТЕРСТВО ОБРАЗОВАНИЯ</w:t>
      </w:r>
    </w:p>
    <w:p w14:paraId="07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08000000">
      <w:pPr>
        <w:spacing w:after="0" w:line="240" w:lineRule="auto"/>
        <w:ind/>
        <w:jc w:val="center"/>
        <w:rPr>
          <w:rFonts w:ascii="Times New Roman" w:hAnsi="Times New Roman"/>
          <w:sz w:val="24"/>
        </w:rPr>
      </w:pPr>
    </w:p>
    <w:p w14:paraId="09000000">
      <w:pPr>
        <w:spacing w:after="0" w:line="240" w:lineRule="auto"/>
        <w:ind/>
        <w:jc w:val="center"/>
        <w:rPr>
          <w:rFonts w:ascii="Times New Roman" w:hAnsi="Times New Roman"/>
          <w:b w:val="1"/>
          <w:sz w:val="28"/>
        </w:rPr>
      </w:pPr>
      <w:r>
        <w:rPr>
          <w:rFonts w:ascii="Times New Roman" w:hAnsi="Times New Roman"/>
          <w:b w:val="1"/>
          <w:sz w:val="28"/>
        </w:rPr>
        <w:t>ПРИКАЗ</w:t>
      </w:r>
    </w:p>
    <w:p w14:paraId="0A000000">
      <w:pPr>
        <w:spacing w:after="0" w:line="240" w:lineRule="auto"/>
        <w:ind/>
        <w:jc w:val="center"/>
        <w:rPr>
          <w:rFonts w:ascii="Times New Roman" w:hAnsi="Times New Roman"/>
          <w:sz w:val="28"/>
        </w:rPr>
      </w:pPr>
    </w:p>
    <w:p w14:paraId="0B000000">
      <w:pPr>
        <w:spacing w:after="0" w:line="240" w:lineRule="auto"/>
        <w:ind w:firstLine="709" w:left="0"/>
        <w:jc w:val="center"/>
        <w:rPr>
          <w:rFonts w:ascii="Times New Roman" w:hAnsi="Times New Roman"/>
          <w:sz w:val="20"/>
        </w:rPr>
      </w:pPr>
    </w:p>
    <w:tbl>
      <w:tblPr>
        <w:tblStyle w:val="Style_2"/>
        <w:tblW w:type="auto" w:w="0"/>
        <w:tblLayout w:type="fixed"/>
        <w:tblCellMar>
          <w:left w:type="dxa" w:w="0"/>
          <w:right w:type="dxa" w:w="0"/>
        </w:tblCellMar>
      </w:tblPr>
      <w:tblGrid>
        <w:gridCol w:w="4253"/>
      </w:tblGrid>
      <w:tr>
        <w:trPr>
          <w:trHeight w:hRule="atLeast" w:val="232"/>
        </w:trPr>
        <w:tc>
          <w:tcPr>
            <w:tcW w:type="dxa" w:w="4253"/>
            <w:tcMar>
              <w:left w:type="dxa" w:w="0"/>
              <w:right w:type="dxa" w:w="0"/>
            </w:tcMar>
          </w:tcPr>
          <w:p w14:paraId="0C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Mar>
              <w:left w:type="dxa" w:w="0"/>
              <w:right w:type="dxa" w:w="0"/>
            </w:tcMar>
          </w:tcPr>
          <w:p w14:paraId="0D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left w:type="dxa" w:w="0"/>
              <w:right w:type="dxa" w:w="0"/>
            </w:tcMar>
          </w:tcPr>
          <w:p w14:paraId="0E000000">
            <w:pPr>
              <w:spacing w:after="0" w:line="240" w:lineRule="auto"/>
              <w:ind/>
              <w:jc w:val="both"/>
              <w:rPr>
                <w:rFonts w:ascii="Times New Roman" w:hAnsi="Times New Roman"/>
                <w:sz w:val="20"/>
              </w:rPr>
            </w:pPr>
          </w:p>
        </w:tc>
      </w:tr>
    </w:tbl>
    <w:p w14:paraId="0F000000">
      <w:pPr>
        <w:spacing w:after="0" w:line="240" w:lineRule="auto"/>
        <w:ind w:firstLine="709" w:left="0"/>
        <w:jc w:val="both"/>
        <w:rPr>
          <w:rFonts w:ascii="Times New Roman" w:hAnsi="Times New Roman"/>
          <w:sz w:val="28"/>
        </w:rPr>
      </w:pPr>
    </w:p>
    <w:tbl>
      <w:tblPr>
        <w:tblStyle w:val="Style_3"/>
        <w:tblW w:type="auto" w:w="0"/>
        <w:tblLayout w:type="fixed"/>
      </w:tblPr>
      <w:tblGrid>
        <w:gridCol w:w="9639"/>
      </w:tblGrid>
      <w:tr>
        <w:tc>
          <w:tcPr>
            <w:tcW w:type="dxa" w:w="9639"/>
            <w:tcBorders>
              <w:top w:sz="4" w:val="nil"/>
              <w:left w:sz="4" w:val="nil"/>
              <w:bottom w:sz="4" w:val="nil"/>
              <w:right w:sz="4" w:val="nil"/>
            </w:tcBorders>
          </w:tcPr>
          <w:p w14:paraId="10000000">
            <w:pPr>
              <w:spacing w:after="0" w:line="240" w:lineRule="auto"/>
              <w:ind w:firstLine="0" w:left="30"/>
              <w:jc w:val="center"/>
              <w:rPr>
                <w:rFonts w:ascii="Times New Roman" w:hAnsi="Times New Roman"/>
                <w:b w:val="1"/>
                <w:sz w:val="28"/>
              </w:rPr>
            </w:pPr>
            <w:r>
              <w:rPr>
                <w:rFonts w:ascii="Times New Roman" w:hAnsi="Times New Roman"/>
                <w:b w:val="1"/>
                <w:sz w:val="28"/>
              </w:rPr>
              <w:t xml:space="preserve">О внесении изменений в приложение к приказу Министерства образования Камчатского края от 25.12.2020 № 1102 «Об утверждении </w:t>
            </w:r>
            <w:r>
              <w:rPr>
                <w:rFonts w:ascii="Times New Roman" w:hAnsi="Times New Roman"/>
                <w:b w:val="1"/>
                <w:sz w:val="28"/>
              </w:rPr>
              <w:t>Порядка определения объема и условий предоставления краевым государственным бюджетным и автономным учреждениям, подведомственным Министерству образования Камчатского края, субсидий на иные цели»</w:t>
            </w:r>
          </w:p>
        </w:tc>
      </w:tr>
    </w:tbl>
    <w:p w14:paraId="11000000">
      <w:pPr>
        <w:spacing w:after="0" w:line="240" w:lineRule="auto"/>
        <w:ind w:firstLine="709" w:left="0"/>
        <w:jc w:val="both"/>
        <w:rPr>
          <w:rFonts w:ascii="Times New Roman" w:hAnsi="Times New Roman"/>
          <w:sz w:val="28"/>
        </w:rPr>
      </w:pPr>
    </w:p>
    <w:p w14:paraId="12000000">
      <w:pPr>
        <w:spacing w:after="0" w:line="240" w:lineRule="auto"/>
        <w:ind w:firstLine="709" w:left="0"/>
        <w:jc w:val="both"/>
        <w:rPr>
          <w:rFonts w:ascii="Times New Roman" w:hAnsi="Times New Roman"/>
          <w:sz w:val="28"/>
        </w:rPr>
      </w:pPr>
    </w:p>
    <w:p w14:paraId="13000000">
      <w:pPr>
        <w:spacing w:after="0" w:line="240" w:lineRule="auto"/>
        <w:ind w:firstLine="709" w:left="0"/>
        <w:jc w:val="both"/>
        <w:rPr>
          <w:rFonts w:ascii="Times New Roman" w:hAnsi="Times New Roman"/>
          <w:sz w:val="28"/>
        </w:rPr>
      </w:pPr>
      <w:r>
        <w:rPr>
          <w:rFonts w:ascii="Times New Roman" w:hAnsi="Times New Roman"/>
          <w:sz w:val="28"/>
        </w:rPr>
        <w:t>ПРИКАЗЫВАЮ:</w:t>
      </w:r>
    </w:p>
    <w:p w14:paraId="14000000">
      <w:pPr>
        <w:spacing w:after="0" w:line="240" w:lineRule="auto"/>
        <w:ind w:firstLine="709" w:left="0"/>
        <w:jc w:val="both"/>
        <w:rPr>
          <w:rFonts w:ascii="Times New Roman" w:hAnsi="Times New Roman"/>
          <w:sz w:val="28"/>
        </w:rPr>
      </w:pPr>
    </w:p>
    <w:p w14:paraId="15000000">
      <w:pPr>
        <w:spacing w:after="0" w:line="240" w:lineRule="auto"/>
        <w:ind w:firstLine="709" w:left="0"/>
        <w:jc w:val="both"/>
        <w:rPr>
          <w:rFonts w:ascii="Times New Roman" w:hAnsi="Times New Roman"/>
          <w:sz w:val="28"/>
        </w:rPr>
      </w:pPr>
      <w:r>
        <w:rPr>
          <w:rFonts w:ascii="Times New Roman" w:hAnsi="Times New Roman"/>
          <w:sz w:val="28"/>
        </w:rPr>
        <w:t>1. Внести в приложение к приказу Министерства</w:t>
      </w:r>
      <w:r>
        <w:rPr>
          <w:rFonts w:ascii="Times New Roman" w:hAnsi="Times New Roman"/>
          <w:sz w:val="28"/>
        </w:rPr>
        <w:t xml:space="preserve"> образования Камчатского края от 25.12.2020 № 1102 «Об утверждении Порядка определения объема и условий предоставления краевым государственным бюджетным и автономным учреждениям, подведомственным Министерству образования Камчатского края, субсидий на иные </w:t>
      </w:r>
      <w:r>
        <w:rPr>
          <w:rFonts w:ascii="Times New Roman" w:hAnsi="Times New Roman"/>
          <w:sz w:val="28"/>
        </w:rPr>
        <w:t>цели» изменения согласно приложению к настоящему приказу.</w:t>
      </w:r>
    </w:p>
    <w:p w14:paraId="16000000">
      <w:pPr>
        <w:spacing w:after="0" w:line="240" w:lineRule="auto"/>
        <w:ind w:firstLine="709" w:left="0"/>
        <w:jc w:val="both"/>
        <w:rPr>
          <w:rFonts w:ascii="Times New Roman" w:hAnsi="Times New Roman"/>
          <w:sz w:val="28"/>
        </w:rPr>
      </w:pPr>
      <w:r>
        <w:rPr>
          <w:rFonts w:ascii="Times New Roman" w:hAnsi="Times New Roman"/>
          <w:sz w:val="28"/>
        </w:rPr>
        <w:t>2. Настоящий приказ вступает в силу после дня его официального опубликования.</w:t>
      </w:r>
    </w:p>
    <w:p w14:paraId="17000000">
      <w:pPr>
        <w:spacing w:after="0" w:line="240" w:lineRule="auto"/>
        <w:ind w:firstLine="709" w:left="0"/>
        <w:jc w:val="both"/>
        <w:rPr>
          <w:rFonts w:ascii="Times New Roman" w:hAnsi="Times New Roman"/>
          <w:sz w:val="28"/>
        </w:rPr>
      </w:pPr>
    </w:p>
    <w:p w14:paraId="18000000">
      <w:pPr>
        <w:spacing w:after="0" w:line="240" w:lineRule="auto"/>
        <w:ind w:firstLine="709" w:left="0"/>
        <w:jc w:val="both"/>
        <w:rPr>
          <w:rFonts w:ascii="Times New Roman" w:hAnsi="Times New Roman"/>
          <w:sz w:val="28"/>
        </w:rPr>
      </w:pPr>
    </w:p>
    <w:p w14:paraId="19000000">
      <w:pPr>
        <w:spacing w:after="0" w:line="240" w:lineRule="auto"/>
        <w:ind w:firstLine="709" w:left="0"/>
        <w:jc w:val="both"/>
        <w:rPr>
          <w:rFonts w:ascii="Times New Roman" w:hAnsi="Times New Roman"/>
          <w:sz w:val="28"/>
        </w:rPr>
      </w:pPr>
    </w:p>
    <w:tbl>
      <w:tblPr>
        <w:tblStyle w:val="Style_2"/>
        <w:tblW w:type="auto" w:w="0"/>
        <w:tblLayout w:type="fixed"/>
        <w:tblCellMar>
          <w:left w:type="dxa" w:w="0"/>
          <w:right w:type="dxa" w:w="0"/>
        </w:tblCellMar>
      </w:tblPr>
      <w:tblGrid>
        <w:gridCol w:w="2976"/>
        <w:gridCol w:w="4394"/>
        <w:gridCol w:w="2269"/>
      </w:tblGrid>
      <w:tr>
        <w:trPr>
          <w:trHeight w:hRule="atLeast" w:val="2220"/>
        </w:trPr>
        <w:tc>
          <w:tcPr>
            <w:tcW w:type="dxa" w:w="2976"/>
            <w:shd w:fill="auto" w:val="clear"/>
            <w:tcMar>
              <w:left w:type="dxa" w:w="0"/>
              <w:right w:type="dxa" w:w="0"/>
            </w:tcMar>
          </w:tcPr>
          <w:p w14:paraId="1A000000">
            <w:pPr>
              <w:spacing w:after="0" w:line="240" w:lineRule="auto"/>
              <w:ind w:right="27"/>
              <w:rPr>
                <w:rFonts w:ascii="Times New Roman" w:hAnsi="Times New Roman"/>
                <w:sz w:val="28"/>
              </w:rPr>
            </w:pPr>
            <w:r>
              <w:rPr>
                <w:rFonts w:ascii="Times New Roman" w:hAnsi="Times New Roman"/>
                <w:sz w:val="28"/>
              </w:rPr>
              <w:t>Министр</w:t>
            </w:r>
          </w:p>
          <w:p w14:paraId="1B000000">
            <w:pPr>
              <w:spacing w:after="0" w:line="240" w:lineRule="auto"/>
              <w:ind w:firstLine="0" w:left="30" w:right="27"/>
              <w:rPr>
                <w:rFonts w:ascii="Times New Roman" w:hAnsi="Times New Roman"/>
                <w:sz w:val="24"/>
              </w:rPr>
            </w:pPr>
          </w:p>
        </w:tc>
        <w:tc>
          <w:tcPr>
            <w:tcW w:type="dxa" w:w="4394"/>
            <w:shd w:fill="auto" w:val="clear"/>
            <w:tcMar>
              <w:left w:type="dxa" w:w="0"/>
              <w:right w:type="dxa" w:w="0"/>
            </w:tcMar>
          </w:tcPr>
          <w:p w14:paraId="1C000000">
            <w:pPr>
              <w:spacing w:after="0" w:line="240" w:lineRule="auto"/>
              <w:ind/>
              <w:rPr>
                <w:rFonts w:ascii="Times New Roman" w:hAnsi="Times New Roman"/>
                <w:color w:themeColor="text1" w:val="000000"/>
                <w:sz w:val="24"/>
              </w:rPr>
            </w:pPr>
            <w:bookmarkStart w:id="2" w:name="SIGNERSTAMP1"/>
            <w:r>
              <w:rPr>
                <w:rFonts w:ascii="Times New Roman" w:hAnsi="Times New Roman"/>
                <w:color w:themeColor="background1" w:val="FFFFFF"/>
                <w:sz w:val="24"/>
              </w:rPr>
              <w:t>[горизонтальный штамп подписи 1]</w:t>
            </w:r>
            <w:bookmarkEnd w:id="2"/>
          </w:p>
        </w:tc>
        <w:tc>
          <w:tcPr>
            <w:tcW w:type="dxa" w:w="2269"/>
            <w:shd w:fill="auto" w:val="clear"/>
            <w:tcMar>
              <w:left w:type="dxa" w:w="0"/>
              <w:right w:type="dxa" w:w="0"/>
            </w:tcMar>
          </w:tcPr>
          <w:p w14:paraId="1D000000">
            <w:pPr>
              <w:spacing w:after="0" w:line="240" w:lineRule="auto"/>
              <w:ind/>
              <w:jc w:val="right"/>
              <w:rPr>
                <w:rFonts w:ascii="Times New Roman" w:hAnsi="Times New Roman"/>
                <w:sz w:val="24"/>
              </w:rPr>
            </w:pPr>
            <w:r>
              <w:rPr>
                <w:rFonts w:ascii="Times New Roman" w:hAnsi="Times New Roman"/>
                <w:sz w:val="28"/>
              </w:rPr>
              <w:t>А.А. Захаровская</w:t>
            </w:r>
          </w:p>
        </w:tc>
      </w:tr>
    </w:tbl>
    <w:p w14:paraId="1E000000">
      <w:r>
        <w:br w:type="page"/>
      </w:r>
    </w:p>
    <w:p w14:paraId="1F000000">
      <w:pPr>
        <w:widowControl w:val="0"/>
        <w:tabs>
          <w:tab w:leader="none" w:pos="8222" w:val="left"/>
        </w:tabs>
        <w:spacing w:after="0" w:line="240" w:lineRule="auto"/>
        <w:ind w:firstLine="5103" w:left="0" w:right="-2"/>
        <w:rPr>
          <w:rFonts w:ascii="Times New Roman" w:hAnsi="Times New Roman"/>
          <w:sz w:val="28"/>
        </w:rPr>
      </w:pPr>
      <w:r>
        <w:rPr>
          <w:rFonts w:ascii="Times New Roman" w:hAnsi="Times New Roman"/>
          <w:sz w:val="28"/>
        </w:rPr>
        <w:t>Приложение к приказу Министерства</w:t>
      </w:r>
    </w:p>
    <w:p w14:paraId="20000000">
      <w:pPr>
        <w:widowControl w:val="0"/>
        <w:spacing w:after="0" w:line="240" w:lineRule="auto"/>
        <w:ind w:firstLine="0" w:left="5103" w:right="-2"/>
        <w:rPr>
          <w:rFonts w:ascii="Times New Roman" w:hAnsi="Times New Roman"/>
          <w:sz w:val="28"/>
        </w:rPr>
      </w:pPr>
      <w:r>
        <w:rPr>
          <w:rFonts w:ascii="Times New Roman" w:hAnsi="Times New Roman"/>
          <w:sz w:val="28"/>
        </w:rPr>
        <w:t xml:space="preserve">образования </w:t>
      </w:r>
      <w:r>
        <w:rPr>
          <w:rFonts w:ascii="Times New Roman" w:hAnsi="Times New Roman"/>
          <w:sz w:val="28"/>
        </w:rPr>
        <w:t>Камчатского края</w:t>
      </w:r>
    </w:p>
    <w:tbl>
      <w:tblPr>
        <w:tblStyle w:val="Style_3"/>
        <w:tblW w:type="auto" w:w="0"/>
        <w:tblInd w:type="dxa" w:w="5061"/>
        <w:tblLayout w:type="fixed"/>
      </w:tblPr>
      <w:tblGrid>
        <w:gridCol w:w="414"/>
        <w:gridCol w:w="1869"/>
        <w:gridCol w:w="487"/>
        <w:gridCol w:w="1700"/>
      </w:tblGrid>
      <w:tr>
        <w:tc>
          <w:tcPr>
            <w:tcW w:type="dxa" w:w="414"/>
            <w:tcBorders>
              <w:top w:sz="4" w:val="nil"/>
              <w:left w:sz="4" w:val="nil"/>
              <w:bottom w:sz="4" w:val="nil"/>
              <w:right w:sz="4" w:val="nil"/>
            </w:tcBorders>
          </w:tcPr>
          <w:p w14:paraId="21000000">
            <w:pPr>
              <w:spacing w:after="60" w:line="240" w:lineRule="auto"/>
              <w:ind w:firstLine="0" w:left="-65"/>
              <w:jc w:val="right"/>
              <w:rPr>
                <w:rFonts w:ascii="Times New Roman" w:hAnsi="Times New Roman"/>
                <w:sz w:val="28"/>
              </w:rPr>
            </w:pPr>
            <w:r>
              <w:rPr>
                <w:rFonts w:ascii="Times New Roman" w:hAnsi="Times New Roman"/>
                <w:sz w:val="28"/>
              </w:rPr>
              <w:t>от</w:t>
            </w:r>
          </w:p>
        </w:tc>
        <w:tc>
          <w:tcPr>
            <w:tcW w:type="dxa" w:w="1869"/>
            <w:tcBorders>
              <w:top w:sz="4" w:val="nil"/>
              <w:left w:sz="4" w:val="nil"/>
              <w:bottom w:sz="4" w:val="nil"/>
              <w:right w:sz="4" w:val="nil"/>
            </w:tcBorders>
          </w:tcPr>
          <w:p w14:paraId="22000000">
            <w:pPr>
              <w:spacing w:after="60" w:line="240" w:lineRule="auto"/>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EGDATESTAMP]</w:t>
            </w:r>
          </w:p>
        </w:tc>
        <w:tc>
          <w:tcPr>
            <w:tcW w:type="dxa" w:w="487"/>
            <w:tcBorders>
              <w:top w:sz="4" w:val="nil"/>
              <w:left w:sz="4" w:val="nil"/>
              <w:bottom w:sz="4" w:val="nil"/>
              <w:right w:sz="4" w:val="nil"/>
            </w:tcBorders>
          </w:tcPr>
          <w:p w14:paraId="23000000">
            <w:pPr>
              <w:spacing w:after="60" w:line="240" w:lineRule="auto"/>
              <w:ind/>
              <w:jc w:val="right"/>
              <w:rPr>
                <w:rFonts w:ascii="Times New Roman" w:hAnsi="Times New Roman"/>
                <w:sz w:val="28"/>
              </w:rPr>
            </w:pPr>
            <w:r>
              <w:rPr>
                <w:rFonts w:ascii="Times New Roman" w:hAnsi="Times New Roman"/>
                <w:sz w:val="28"/>
              </w:rPr>
              <w:t>№</w:t>
            </w:r>
          </w:p>
        </w:tc>
        <w:tc>
          <w:tcPr>
            <w:tcW w:type="dxa" w:w="1700"/>
            <w:tcBorders>
              <w:top w:sz="4" w:val="nil"/>
              <w:left w:sz="4" w:val="nil"/>
              <w:bottom w:sz="4" w:val="nil"/>
              <w:right w:sz="4" w:val="nil"/>
            </w:tcBorders>
          </w:tcPr>
          <w:p w14:paraId="24000000">
            <w:pPr>
              <w:spacing w:after="60" w:line="240" w:lineRule="auto"/>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EGNUMSTAMP]</w:t>
            </w:r>
          </w:p>
        </w:tc>
      </w:tr>
    </w:tbl>
    <w:p w14:paraId="25000000">
      <w:pPr>
        <w:spacing w:after="0" w:line="240" w:lineRule="auto"/>
        <w:ind/>
        <w:jc w:val="center"/>
        <w:rPr>
          <w:rFonts w:ascii="Times New Roman" w:hAnsi="Times New Roman"/>
          <w:sz w:val="28"/>
        </w:rPr>
      </w:pPr>
    </w:p>
    <w:p w14:paraId="26000000">
      <w:pPr>
        <w:spacing w:after="0" w:line="240" w:lineRule="auto"/>
        <w:ind/>
        <w:jc w:val="center"/>
        <w:rPr>
          <w:rFonts w:ascii="Times New Roman" w:hAnsi="Times New Roman"/>
          <w:sz w:val="28"/>
        </w:rPr>
      </w:pPr>
    </w:p>
    <w:p w14:paraId="27000000">
      <w:pPr>
        <w:spacing w:after="0" w:line="240" w:lineRule="auto"/>
        <w:ind/>
        <w:jc w:val="center"/>
        <w:rPr>
          <w:rFonts w:ascii="Times New Roman" w:hAnsi="Times New Roman"/>
          <w:sz w:val="28"/>
        </w:rPr>
      </w:pPr>
      <w:r>
        <w:rPr>
          <w:rFonts w:ascii="Times New Roman" w:hAnsi="Times New Roman"/>
          <w:sz w:val="28"/>
        </w:rPr>
        <w:t xml:space="preserve">Изменения </w:t>
      </w:r>
    </w:p>
    <w:p w14:paraId="28000000">
      <w:pPr>
        <w:spacing w:after="0" w:line="240" w:lineRule="auto"/>
        <w:ind/>
        <w:jc w:val="center"/>
        <w:rPr>
          <w:rFonts w:ascii="Times New Roman" w:hAnsi="Times New Roman"/>
          <w:sz w:val="28"/>
        </w:rPr>
      </w:pPr>
      <w:r>
        <w:rPr>
          <w:rFonts w:ascii="Times New Roman" w:hAnsi="Times New Roman"/>
          <w:sz w:val="28"/>
        </w:rPr>
        <w:t xml:space="preserve">в приложение к приказу </w:t>
      </w:r>
      <w:r>
        <w:rPr>
          <w:rFonts w:ascii="Times New Roman" w:hAnsi="Times New Roman"/>
          <w:sz w:val="28"/>
        </w:rPr>
        <w:t>Министерства образования Камчатского края от 25.12.2020 № 1102 «Об утверждении Порядка определения объема и условий предоставления краевым государственным бюджетным и а</w:t>
      </w:r>
      <w:r>
        <w:rPr>
          <w:rFonts w:ascii="Times New Roman" w:hAnsi="Times New Roman"/>
          <w:sz w:val="28"/>
        </w:rPr>
        <w:t>втономным учреждениям, подведомственным Министерству образования Камчатского края, субсидий на иные цели»</w:t>
      </w:r>
    </w:p>
    <w:p w14:paraId="29000000">
      <w:pPr>
        <w:spacing w:after="0" w:line="240" w:lineRule="auto"/>
        <w:ind/>
        <w:jc w:val="center"/>
        <w:rPr>
          <w:rFonts w:ascii="Times New Roman" w:hAnsi="Times New Roman"/>
          <w:sz w:val="28"/>
        </w:rPr>
      </w:pPr>
    </w:p>
    <w:p w14:paraId="2A000000">
      <w:pPr>
        <w:spacing w:after="0" w:line="240" w:lineRule="auto"/>
        <w:ind w:firstLine="709" w:left="0"/>
        <w:jc w:val="both"/>
        <w:rPr>
          <w:rFonts w:ascii="Times New Roman" w:hAnsi="Times New Roman"/>
          <w:sz w:val="28"/>
        </w:rPr>
      </w:pPr>
      <w:r>
        <w:rPr>
          <w:rFonts w:ascii="Times New Roman" w:hAnsi="Times New Roman"/>
          <w:sz w:val="28"/>
        </w:rPr>
        <w:t>1. Пункты 1 и 2 части 16 изложить в следующей редакции:</w:t>
      </w:r>
    </w:p>
    <w:p w14:paraId="2B000000">
      <w:pPr>
        <w:spacing w:after="0" w:line="240" w:lineRule="auto"/>
        <w:ind w:firstLine="709" w:left="0"/>
        <w:jc w:val="both"/>
        <w:rPr>
          <w:rFonts w:ascii="Times New Roman" w:hAnsi="Times New Roman"/>
          <w:sz w:val="28"/>
        </w:rPr>
      </w:pPr>
      <w:r>
        <w:rPr>
          <w:rFonts w:ascii="Times New Roman" w:hAnsi="Times New Roman"/>
          <w:sz w:val="28"/>
        </w:rPr>
        <w:t>«1) отсутствие у Учреждения на едином налоговом счете или непревышение размера, определенного</w:t>
      </w:r>
      <w:r>
        <w:rPr>
          <w:rFonts w:ascii="Times New Roman" w:hAnsi="Times New Roman"/>
          <w:sz w:val="28"/>
        </w:rPr>
        <w:t xml:space="preserve"> пунктом 3 статьи 47 Налогового кодекса Российской Федерации, задолжности по уплате налогов, сборов и страховых взносов в бюджеты бюджетной системы Российской Федерации;</w:t>
      </w:r>
    </w:p>
    <w:p w14:paraId="2C000000">
      <w:pPr>
        <w:spacing w:after="0" w:line="240" w:lineRule="auto"/>
        <w:ind w:firstLine="709" w:left="0"/>
        <w:jc w:val="both"/>
        <w:rPr>
          <w:rFonts w:ascii="Times New Roman" w:hAnsi="Times New Roman"/>
          <w:sz w:val="28"/>
        </w:rPr>
      </w:pPr>
      <w:r>
        <w:rPr>
          <w:rFonts w:ascii="Times New Roman" w:hAnsi="Times New Roman"/>
          <w:sz w:val="28"/>
        </w:rPr>
        <w:t xml:space="preserve">2) отсутствие у Учреждения </w:t>
      </w:r>
      <w:r>
        <w:rPr>
          <w:rFonts w:ascii="Times New Roman" w:hAnsi="Times New Roman"/>
          <w:sz w:val="28"/>
        </w:rPr>
        <w:t>просроченной задолженности по возврату в краевой бюджет суб</w:t>
      </w:r>
      <w:r>
        <w:rPr>
          <w:rFonts w:ascii="Times New Roman" w:hAnsi="Times New Roman"/>
          <w:sz w:val="28"/>
        </w:rPr>
        <w:t>сидий, бюджетных инвестиций, предоставленных в том числе в соответствии с иными нормативными правовыми актами Камчатского края, и иной просроченной (неурегулированной) задолжности по денежным обязательствам перед Министерством, за исключением случаев предо</w:t>
      </w:r>
      <w:r>
        <w:rPr>
          <w:rFonts w:ascii="Times New Roman" w:hAnsi="Times New Roman"/>
          <w:sz w:val="28"/>
        </w:rPr>
        <w:t>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w:t>
      </w:r>
      <w:r>
        <w:rPr>
          <w:rFonts w:ascii="Times New Roman" w:hAnsi="Times New Roman"/>
          <w:sz w:val="28"/>
        </w:rPr>
        <w:t>ции, погашение задолженности по судебным актам, вступившим в законную силу, исполнительным документам, а также за исключением иных случаев, установленных федеральными законами, нормативными правовыми актами Правительства Российской Федерации, Правительства</w:t>
      </w:r>
      <w:r>
        <w:rPr>
          <w:rFonts w:ascii="Times New Roman" w:hAnsi="Times New Roman"/>
          <w:sz w:val="28"/>
        </w:rPr>
        <w:t xml:space="preserve"> Камчатского края.»;</w:t>
      </w:r>
    </w:p>
    <w:p w14:paraId="2D000000">
      <w:pPr>
        <w:spacing w:after="0" w:line="240" w:lineRule="auto"/>
        <w:ind w:firstLine="709" w:left="0"/>
        <w:jc w:val="both"/>
        <w:rPr>
          <w:rFonts w:ascii="Times New Roman" w:hAnsi="Times New Roman"/>
          <w:sz w:val="28"/>
        </w:rPr>
      </w:pPr>
      <w:r>
        <w:rPr>
          <w:rFonts w:ascii="Times New Roman" w:hAnsi="Times New Roman"/>
          <w:sz w:val="28"/>
        </w:rPr>
        <w:t>2. Часть 29 изложить в следующей редакции:</w:t>
      </w:r>
    </w:p>
    <w:p w14:paraId="2E000000">
      <w:pPr>
        <w:spacing w:after="0" w:line="240" w:lineRule="auto"/>
        <w:ind w:firstLine="709" w:left="0"/>
        <w:jc w:val="both"/>
        <w:rPr>
          <w:rFonts w:ascii="Times New Roman" w:hAnsi="Times New Roman"/>
          <w:sz w:val="28"/>
        </w:rPr>
      </w:pPr>
      <w:r>
        <w:rPr>
          <w:rFonts w:ascii="Times New Roman" w:hAnsi="Times New Roman"/>
          <w:sz w:val="28"/>
        </w:rPr>
        <w:t>«29. Министерство проводит мониторинг достижения значений результатов предоставления Субсидий и событий, отражающих факт завершения соответствующего мероприятия по получению результата предост</w:t>
      </w:r>
      <w:r>
        <w:rPr>
          <w:rFonts w:ascii="Times New Roman" w:hAnsi="Times New Roman"/>
          <w:sz w:val="28"/>
        </w:rPr>
        <w:t>авления Субсидий (контрольная точка), в порядке, установленном Министерством финансов Российской Федерации (за исключением Субсидий, предоставляемых в порядке возмещения затрат (недополученных доходов), при условии наличия достигнутого результата предостав</w:t>
      </w:r>
      <w:r>
        <w:rPr>
          <w:rFonts w:ascii="Times New Roman" w:hAnsi="Times New Roman"/>
          <w:sz w:val="28"/>
        </w:rPr>
        <w:t>ления Субсидии и единовременного предоставления Субсидии, Субсидий предоставляемых в целях реализации положений нормативных правовых актов Российской Федерации, предусматривающих осуществление выплат физическим лицам, и Субсидий предоставляемых в целях осу</w:t>
      </w:r>
      <w:r>
        <w:rPr>
          <w:rFonts w:ascii="Times New Roman" w:hAnsi="Times New Roman"/>
          <w:sz w:val="28"/>
        </w:rPr>
        <w:t xml:space="preserve">ществления расходов на уплату налогов, в качестве объекта налогообложения по которым признается недвижимое имущество, в том числе земельные участки, и особо ценное </w:t>
      </w:r>
      <w:r>
        <w:rPr>
          <w:rFonts w:ascii="Times New Roman" w:hAnsi="Times New Roman"/>
          <w:sz w:val="28"/>
        </w:rPr>
        <w:t>движимое имущество, закрепленное за Учреждением на праве оперативного управления или постоян</w:t>
      </w:r>
      <w:r>
        <w:rPr>
          <w:rFonts w:ascii="Times New Roman" w:hAnsi="Times New Roman"/>
          <w:sz w:val="28"/>
        </w:rPr>
        <w:t>ного (бессрочного) пользования).»;</w:t>
      </w:r>
    </w:p>
    <w:p w14:paraId="2F000000">
      <w:pPr>
        <w:spacing w:after="0" w:line="240" w:lineRule="auto"/>
        <w:ind w:firstLine="709" w:left="0"/>
        <w:jc w:val="both"/>
        <w:rPr>
          <w:rFonts w:ascii="Times New Roman" w:hAnsi="Times New Roman"/>
          <w:sz w:val="28"/>
        </w:rPr>
      </w:pPr>
      <w:r>
        <w:rPr>
          <w:rFonts w:ascii="Times New Roman" w:hAnsi="Times New Roman"/>
          <w:sz w:val="28"/>
        </w:rPr>
        <w:t>3. В таблице приложения 1 к Порядку определения объема и условий предоставления краевым государственным бюджетным и автономным учреждениям, подведомственным Министерству образования Камчатского края, субсидий на иные цели</w:t>
      </w:r>
      <w:r>
        <w:rPr>
          <w:rFonts w:ascii="Times New Roman" w:hAnsi="Times New Roman"/>
          <w:sz w:val="28"/>
        </w:rPr>
        <w:t>:</w:t>
      </w:r>
    </w:p>
    <w:p w14:paraId="30000000">
      <w:pPr>
        <w:spacing w:after="0" w:line="240" w:lineRule="auto"/>
        <w:ind w:firstLine="709" w:left="0"/>
        <w:jc w:val="both"/>
        <w:rPr>
          <w:rFonts w:ascii="Times New Roman" w:hAnsi="Times New Roman"/>
          <w:sz w:val="28"/>
        </w:rPr>
      </w:pPr>
      <w:r>
        <w:rPr>
          <w:rFonts w:ascii="Times New Roman" w:hAnsi="Times New Roman"/>
          <w:sz w:val="28"/>
        </w:rPr>
        <w:t>1) строки 1.13 и 1.14 изложить в следующей редакции:</w:t>
      </w:r>
    </w:p>
    <w:p w14:paraId="31000000">
      <w:pPr>
        <w:spacing w:after="0" w:line="240" w:lineRule="auto"/>
        <w:ind w:firstLine="709" w:left="-709"/>
        <w:jc w:val="both"/>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606"/>
        <w:gridCol w:w="1703"/>
        <w:gridCol w:w="1915"/>
        <w:gridCol w:w="2131"/>
        <w:gridCol w:w="1504"/>
        <w:gridCol w:w="1779"/>
      </w:tblGrid>
      <w:tr>
        <w:tc>
          <w:tcPr>
            <w:tcW w:type="dxa" w:w="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00000">
            <w:pPr>
              <w:spacing w:after="0" w:line="240" w:lineRule="auto"/>
              <w:ind/>
              <w:jc w:val="both"/>
              <w:rPr>
                <w:rFonts w:ascii="Times New Roman" w:hAnsi="Times New Roman"/>
                <w:sz w:val="20"/>
              </w:rPr>
            </w:pPr>
            <w:r>
              <w:rPr>
                <w:rFonts w:ascii="Times New Roman" w:hAnsi="Times New Roman"/>
                <w:sz w:val="20"/>
              </w:rPr>
              <w:t>1.13.</w:t>
            </w:r>
          </w:p>
        </w:tc>
        <w:tc>
          <w:tcPr>
            <w:tcW w:type="dxa" w:w="17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00000">
            <w:pPr>
              <w:spacing w:after="0" w:line="240" w:lineRule="auto"/>
              <w:ind/>
              <w:jc w:val="both"/>
              <w:rPr>
                <w:rFonts w:ascii="Times New Roman" w:hAnsi="Times New Roman"/>
                <w:sz w:val="20"/>
              </w:rPr>
            </w:pPr>
            <w:r>
              <w:rPr>
                <w:rFonts w:ascii="Times New Roman" w:hAnsi="Times New Roman"/>
                <w:sz w:val="20"/>
              </w:rPr>
              <w:t xml:space="preserve">Финансовое обеспечение приобретения особо ценного движимого имущества, проведения текущего и капитального ремонтов имущества и благоустройство территории подведомственных организаций. </w:t>
            </w:r>
            <w:r>
              <w:rPr>
                <w:rFonts w:ascii="Times New Roman" w:hAnsi="Times New Roman"/>
                <w:sz w:val="20"/>
              </w:rPr>
              <w:t>Проведение текущего и капитального ремонта зданий, сооружений и других объектов инфраструктуры в подведомственных организациях.</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w:t>
            </w:r>
            <w:r>
              <w:rPr>
                <w:rFonts w:ascii="Times New Roman" w:hAnsi="Times New Roman"/>
                <w:sz w:val="20"/>
              </w:rPr>
              <w:t>и</w:t>
            </w:r>
            <w:r>
              <w:rPr>
                <w:rFonts w:ascii="Times New Roman" w:hAnsi="Times New Roman"/>
                <w:sz w:val="20"/>
              </w:rPr>
              <w:t xml:space="preserve"> сметной документации.</w:t>
            </w:r>
          </w:p>
          <w:p w14:paraId="35000000">
            <w:pPr>
              <w:spacing w:after="0" w:line="240" w:lineRule="auto"/>
              <w:ind/>
              <w:jc w:val="both"/>
              <w:rPr>
                <w:rFonts w:ascii="Times New Roman" w:hAnsi="Times New Roman"/>
                <w:sz w:val="20"/>
              </w:rPr>
            </w:pPr>
            <w:r>
              <w:rPr>
                <w:rFonts w:ascii="Times New Roman" w:hAnsi="Times New Roman"/>
                <w:sz w:val="20"/>
              </w:rPr>
              <w:t xml:space="preserve">В целях </w:t>
            </w:r>
            <w:r>
              <w:rPr>
                <w:rFonts w:ascii="Times New Roman" w:hAnsi="Times New Roman"/>
                <w:sz w:val="20"/>
              </w:rPr>
              <w:t>изготовления проектно-сметной документации</w:t>
            </w:r>
            <w:r>
              <w:rPr>
                <w:rFonts w:ascii="Times New Roman" w:hAnsi="Times New Roman"/>
                <w:sz w:val="20"/>
              </w:rPr>
              <w:t xml:space="preserve"> размер субсидии рассчитывается на основании коммерческих предложений (не менее трех), которые подтверждаются расчетом ПИР (проектно-изыскательных работ).</w:t>
            </w:r>
          </w:p>
          <w:p w14:paraId="36000000">
            <w:pPr>
              <w:spacing w:after="0" w:line="240" w:lineRule="auto"/>
              <w:ind/>
              <w:jc w:val="both"/>
              <w:rPr>
                <w:rFonts w:ascii="Times New Roman" w:hAnsi="Times New Roman"/>
                <w:sz w:val="20"/>
              </w:rPr>
            </w:pPr>
            <w:r>
              <w:rPr>
                <w:rFonts w:ascii="Times New Roman" w:hAnsi="Times New Roman"/>
                <w:sz w:val="20"/>
              </w:rPr>
              <w:t xml:space="preserve">В целях приобретения </w:t>
            </w:r>
            <w:r>
              <w:rPr>
                <w:rFonts w:ascii="Times New Roman" w:hAnsi="Times New Roman"/>
                <w:sz w:val="20"/>
              </w:rPr>
              <w:t>имущес</w:t>
            </w:r>
            <w:r>
              <w:rPr>
                <w:rFonts w:ascii="Times New Roman" w:hAnsi="Times New Roman"/>
                <w:sz w:val="20"/>
              </w:rPr>
              <w:t>тва</w:t>
            </w:r>
            <w:r>
              <w:rPr>
                <w:rFonts w:ascii="Times New Roman" w:hAnsi="Times New Roman"/>
                <w:sz w:val="20"/>
              </w:rPr>
              <w:t xml:space="preserve"> размер субсидии рассчитывается на основании коммерческих предложений (не менее трех)</w:t>
            </w:r>
          </w:p>
          <w:p w14:paraId="37000000">
            <w:pPr>
              <w:spacing w:after="0" w:line="240" w:lineRule="auto"/>
              <w:ind/>
              <w:jc w:val="both"/>
              <w:rPr>
                <w:rFonts w:ascii="Times New Roman" w:hAnsi="Times New Roman"/>
                <w:sz w:val="20"/>
              </w:rPr>
            </w:pPr>
          </w:p>
          <w:p w14:paraId="38000000">
            <w:pPr>
              <w:spacing w:after="0" w:line="240" w:lineRule="auto"/>
              <w:ind/>
              <w:jc w:val="both"/>
              <w:rPr>
                <w:rFonts w:ascii="Times New Roman" w:hAnsi="Times New Roman"/>
                <w:sz w:val="20"/>
              </w:rPr>
            </w:pPr>
          </w:p>
        </w:tc>
        <w:tc>
          <w:tcPr>
            <w:tcW w:type="dxa" w:w="21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00000">
            <w:pPr>
              <w:spacing w:after="0" w:line="240" w:lineRule="auto"/>
              <w:ind/>
              <w:jc w:val="both"/>
              <w:rPr>
                <w:rFonts w:ascii="Times New Roman" w:hAnsi="Times New Roman"/>
                <w:sz w:val="20"/>
              </w:rPr>
            </w:pPr>
            <w:r>
              <w:rPr>
                <w:rFonts w:ascii="Times New Roman" w:hAnsi="Times New Roman"/>
                <w:sz w:val="20"/>
              </w:rPr>
              <w:t xml:space="preserve">В целях проведение текущего ремонта, </w:t>
            </w:r>
            <w:r>
              <w:rPr>
                <w:rFonts w:ascii="Times New Roman" w:hAnsi="Times New Roman"/>
                <w:sz w:val="20"/>
              </w:rPr>
              <w:t>капитального ремонта, благоустройства территории: с</w:t>
            </w:r>
            <w:r>
              <w:rPr>
                <w:rFonts w:ascii="Times New Roman" w:hAnsi="Times New Roman"/>
                <w:sz w:val="20"/>
              </w:rPr>
              <w:t>метная документация</w:t>
            </w:r>
            <w:r>
              <w:rPr>
                <w:rFonts w:ascii="Times New Roman" w:hAnsi="Times New Roman"/>
                <w:sz w:val="20"/>
              </w:rPr>
              <w:t xml:space="preserve"> со сроком не позднее четвертого квартала предшествующего </w:t>
            </w:r>
            <w:r>
              <w:rPr>
                <w:rFonts w:ascii="Times New Roman" w:hAnsi="Times New Roman"/>
                <w:sz w:val="20"/>
              </w:rPr>
              <w:t>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w:t>
            </w:r>
            <w:r>
              <w:rPr>
                <w:rFonts w:ascii="Times New Roman" w:hAnsi="Times New Roman"/>
                <w:sz w:val="20"/>
              </w:rPr>
              <w:t>ной экспертизы.</w:t>
            </w:r>
          </w:p>
          <w:p w14:paraId="3A000000">
            <w:pPr>
              <w:spacing w:after="0" w:line="240" w:lineRule="auto"/>
              <w:ind/>
              <w:jc w:val="both"/>
              <w:rPr>
                <w:rFonts w:ascii="Times New Roman" w:hAnsi="Times New Roman"/>
                <w:sz w:val="20"/>
              </w:rPr>
            </w:pPr>
            <w:r>
              <w:rPr>
                <w:rFonts w:ascii="Times New Roman" w:hAnsi="Times New Roman"/>
                <w:sz w:val="20"/>
              </w:rPr>
              <w:t xml:space="preserve">В целях изготовления </w:t>
            </w:r>
            <w:r>
              <w:rPr>
                <w:rFonts w:ascii="Times New Roman" w:hAnsi="Times New Roman"/>
                <w:sz w:val="20"/>
              </w:rPr>
              <w:t>проектно-сметной документации</w:t>
            </w:r>
            <w:r>
              <w:rPr>
                <w:rFonts w:ascii="Times New Roman" w:hAnsi="Times New Roman"/>
                <w:sz w:val="20"/>
              </w:rPr>
              <w:t>: не менее трех коммерческих предложений, подтвержденных расчетом ПИР (проектно-изыскательных работ.</w:t>
            </w:r>
          </w:p>
          <w:p w14:paraId="3B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00000">
            <w:pPr>
              <w:spacing w:after="0" w:line="240" w:lineRule="auto"/>
              <w:ind/>
              <w:jc w:val="both"/>
              <w:rPr>
                <w:rFonts w:ascii="Times New Roman" w:hAnsi="Times New Roman"/>
                <w:sz w:val="20"/>
              </w:rPr>
            </w:pPr>
            <w:r>
              <w:rPr>
                <w:rFonts w:ascii="Times New Roman" w:hAnsi="Times New Roman"/>
                <w:sz w:val="20"/>
              </w:rPr>
              <w:t>Ко</w:t>
            </w:r>
            <w:r>
              <w:rPr>
                <w:rFonts w:ascii="Times New Roman" w:hAnsi="Times New Roman"/>
                <w:sz w:val="20"/>
              </w:rPr>
              <w:t>личество единиц имущества, количество выполненных работ/услуг, количество объектов</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00000">
            <w:pPr>
              <w:spacing w:after="0"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построенных объектов от общего объема работ,  услуг, товаров, объектов, указанных в Соглашении</w:t>
            </w:r>
          </w:p>
        </w:tc>
      </w:tr>
      <w:tr>
        <w:tc>
          <w:tcPr>
            <w:tcW w:type="dxa" w:w="6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00000">
            <w:pPr>
              <w:spacing w:after="0" w:line="240" w:lineRule="auto"/>
              <w:ind/>
              <w:jc w:val="both"/>
              <w:rPr>
                <w:rFonts w:ascii="Times New Roman" w:hAnsi="Times New Roman"/>
                <w:sz w:val="20"/>
              </w:rPr>
            </w:pPr>
            <w:r>
              <w:rPr>
                <w:rFonts w:ascii="Times New Roman" w:hAnsi="Times New Roman"/>
                <w:sz w:val="20"/>
              </w:rPr>
              <w:t>1.14.</w:t>
            </w:r>
          </w:p>
        </w:tc>
        <w:tc>
          <w:tcPr>
            <w:tcW w:type="dxa" w:w="17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00000">
            <w:pPr>
              <w:spacing w:after="0" w:line="240" w:lineRule="auto"/>
              <w:ind/>
              <w:jc w:val="both"/>
              <w:rPr>
                <w:rFonts w:ascii="Times New Roman" w:hAnsi="Times New Roman"/>
                <w:sz w:val="20"/>
              </w:rPr>
            </w:pPr>
            <w:r>
              <w:rPr>
                <w:rFonts w:ascii="Times New Roman" w:hAnsi="Times New Roman"/>
                <w:sz w:val="20"/>
              </w:rPr>
              <w:t xml:space="preserve">Финансовое обеспечение приобретения дорогостоящих основных средств, проведения капитального ремонта имущества и благоустройства территории подведомственных организаций, выполняющих работы по формированию единой информационно-образовательной информационной </w:t>
            </w:r>
            <w:r>
              <w:rPr>
                <w:rFonts w:ascii="Times New Roman" w:hAnsi="Times New Roman"/>
                <w:sz w:val="20"/>
              </w:rPr>
              <w:t>среды и региональной системы оценки качества образования</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w:t>
            </w:r>
            <w:r>
              <w:rPr>
                <w:rFonts w:ascii="Times New Roman" w:hAnsi="Times New Roman"/>
                <w:sz w:val="20"/>
              </w:rPr>
              <w:t xml:space="preserve"> сметной документации.</w:t>
            </w:r>
          </w:p>
          <w:p w14:paraId="41000000">
            <w:pPr>
              <w:spacing w:after="0" w:line="240" w:lineRule="auto"/>
              <w:ind/>
              <w:jc w:val="both"/>
              <w:rPr>
                <w:rFonts w:ascii="Times New Roman" w:hAnsi="Times New Roman"/>
                <w:sz w:val="20"/>
              </w:rPr>
            </w:pPr>
            <w:r>
              <w:rPr>
                <w:rFonts w:ascii="Times New Roman" w:hAnsi="Times New Roman"/>
                <w:sz w:val="20"/>
              </w:rPr>
              <w:t xml:space="preserve">В целях приобретения имущества размер субсидии </w:t>
            </w:r>
            <w:r>
              <w:rPr>
                <w:rFonts w:ascii="Times New Roman" w:hAnsi="Times New Roman"/>
                <w:sz w:val="20"/>
              </w:rPr>
              <w:t>рассчитывается на основании коммерческих предложений (не менее трех)</w:t>
            </w:r>
          </w:p>
          <w:p w14:paraId="42000000">
            <w:pPr>
              <w:spacing w:after="0" w:line="240" w:lineRule="auto"/>
              <w:ind/>
              <w:jc w:val="both"/>
              <w:rPr>
                <w:rFonts w:ascii="Times New Roman" w:hAnsi="Times New Roman"/>
                <w:sz w:val="20"/>
              </w:rPr>
            </w:pPr>
          </w:p>
          <w:p w14:paraId="43000000">
            <w:pPr>
              <w:spacing w:after="0" w:line="240" w:lineRule="auto"/>
              <w:ind/>
              <w:jc w:val="both"/>
              <w:rPr>
                <w:rFonts w:ascii="Times New Roman" w:hAnsi="Times New Roman"/>
                <w:sz w:val="20"/>
              </w:rPr>
            </w:pPr>
          </w:p>
        </w:tc>
        <w:tc>
          <w:tcPr>
            <w:tcW w:type="dxa" w:w="21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00000">
            <w:pPr>
              <w:spacing w:after="0" w:line="240" w:lineRule="auto"/>
              <w:ind/>
              <w:jc w:val="both"/>
              <w:rPr>
                <w:rFonts w:ascii="Times New Roman" w:hAnsi="Times New Roman"/>
                <w:sz w:val="20"/>
              </w:rPr>
            </w:pPr>
            <w:r>
              <w:rPr>
                <w:rFonts w:ascii="Times New Roman" w:hAnsi="Times New Roman"/>
                <w:sz w:val="20"/>
              </w:rPr>
              <w:t xml:space="preserve">В целях проведение текущего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предшествующего финансового года, ве</w:t>
            </w:r>
            <w:r>
              <w:rPr>
                <w:rFonts w:ascii="Times New Roman" w:hAnsi="Times New Roman"/>
                <w:sz w:val="20"/>
              </w:rPr>
              <w:t>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45000000">
            <w:pPr>
              <w:spacing w:after="0" w:line="240" w:lineRule="auto"/>
              <w:ind/>
              <w:jc w:val="both"/>
              <w:rPr>
                <w:rFonts w:ascii="Times New Roman" w:hAnsi="Times New Roman"/>
                <w:sz w:val="20"/>
              </w:rPr>
            </w:pPr>
            <w:r>
              <w:rPr>
                <w:rFonts w:ascii="Times New Roman" w:hAnsi="Times New Roman"/>
                <w:sz w:val="20"/>
              </w:rPr>
              <w:t>В це</w:t>
            </w:r>
            <w:r>
              <w:rPr>
                <w:rFonts w:ascii="Times New Roman" w:hAnsi="Times New Roman"/>
                <w:sz w:val="20"/>
              </w:rPr>
              <w:t>лях приобретения имущества: коммерческие предложения текущего года (не менее трех)</w:t>
            </w:r>
          </w:p>
        </w:tc>
        <w:tc>
          <w:tcPr>
            <w:tcW w:type="dxa" w:w="150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00000">
            <w:pPr>
              <w:spacing w:after="0"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 количество объектов</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00000">
            <w:pPr>
              <w:spacing w:after="0"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построенных объектов от об</w:t>
            </w:r>
            <w:r>
              <w:rPr>
                <w:rFonts w:ascii="Times New Roman" w:hAnsi="Times New Roman"/>
                <w:sz w:val="20"/>
              </w:rPr>
              <w:t>щего объема работ,  услуг, товаров, объектов, указанных в Соглашении</w:t>
            </w:r>
          </w:p>
        </w:tc>
      </w:tr>
    </w:tbl>
    <w:p w14:paraId="48000000">
      <w:pPr>
        <w:spacing w:after="0" w:line="240" w:lineRule="auto"/>
        <w:ind w:firstLine="709" w:left="-709"/>
        <w:jc w:val="right"/>
        <w:rPr>
          <w:rFonts w:ascii="Times New Roman" w:hAnsi="Times New Roman"/>
          <w:sz w:val="28"/>
        </w:rPr>
      </w:pPr>
      <w:r>
        <w:rPr>
          <w:rFonts w:ascii="Times New Roman" w:hAnsi="Times New Roman"/>
          <w:sz w:val="28"/>
        </w:rPr>
        <w:t>»;</w:t>
      </w:r>
    </w:p>
    <w:p w14:paraId="49000000">
      <w:pPr>
        <w:spacing w:after="0" w:line="240" w:lineRule="auto"/>
        <w:ind w:firstLine="709" w:left="0"/>
        <w:jc w:val="both"/>
        <w:rPr>
          <w:rFonts w:ascii="Times New Roman" w:hAnsi="Times New Roman"/>
          <w:sz w:val="28"/>
        </w:rPr>
      </w:pPr>
      <w:r>
        <w:rPr>
          <w:rFonts w:ascii="Times New Roman" w:hAnsi="Times New Roman"/>
          <w:sz w:val="28"/>
        </w:rPr>
        <w:t>2) строки 1.24</w:t>
      </w:r>
      <w:r>
        <w:rPr>
          <w:rFonts w:ascii="Times New Roman" w:hAnsi="Times New Roman"/>
          <w:sz w:val="28"/>
        </w:rPr>
        <w:t xml:space="preserve"> и 1.25 изложить </w:t>
      </w:r>
      <w:r>
        <w:rPr>
          <w:rFonts w:ascii="Times New Roman" w:hAnsi="Times New Roman"/>
          <w:sz w:val="28"/>
        </w:rPr>
        <w:t>в следующей редакции:</w:t>
      </w:r>
    </w:p>
    <w:p w14:paraId="4A000000">
      <w:pPr>
        <w:spacing w:after="0" w:line="240" w:lineRule="auto"/>
        <w:ind/>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590"/>
        <w:gridCol w:w="1705"/>
        <w:gridCol w:w="1915"/>
        <w:gridCol w:w="2147"/>
        <w:gridCol w:w="1502"/>
        <w:gridCol w:w="1779"/>
      </w:tblGrid>
      <w:tr>
        <w:tc>
          <w:tcPr>
            <w:tcW w:type="dxa" w:w="5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00000">
            <w:pPr>
              <w:spacing w:after="0" w:line="240" w:lineRule="auto"/>
              <w:ind/>
              <w:jc w:val="both"/>
              <w:rPr>
                <w:rFonts w:ascii="Times New Roman" w:hAnsi="Times New Roman"/>
                <w:sz w:val="20"/>
              </w:rPr>
            </w:pPr>
            <w:r>
              <w:rPr>
                <w:rFonts w:ascii="Times New Roman" w:hAnsi="Times New Roman"/>
                <w:sz w:val="20"/>
              </w:rPr>
              <w:t>1.24.</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00000">
            <w:pPr>
              <w:spacing w:after="0" w:line="240" w:lineRule="auto"/>
              <w:ind/>
              <w:jc w:val="both"/>
              <w:rPr>
                <w:rFonts w:ascii="Times New Roman" w:hAnsi="Times New Roman"/>
                <w:sz w:val="20"/>
              </w:rPr>
            </w:pPr>
            <w:r>
              <w:rPr>
                <w:rFonts w:ascii="Times New Roman" w:hAnsi="Times New Roman"/>
                <w:sz w:val="20"/>
              </w:rPr>
              <w:t xml:space="preserve">Выполнение ремонтных работ. Модернизация инфраструктуры системы профессионального образования. Проведение текущего и </w:t>
            </w:r>
            <w:r>
              <w:rPr>
                <w:rFonts w:ascii="Times New Roman" w:hAnsi="Times New Roman"/>
                <w:sz w:val="20"/>
              </w:rPr>
              <w:t>капитального ремонта учебно-производственных зданий, мастерских, лабораторий, столовых и других объектов, благоустройство территорий в рамках модернизации подведомственных организаций дополнительного профессионального образования и профессиональных образов</w:t>
            </w:r>
            <w:r>
              <w:rPr>
                <w:rFonts w:ascii="Times New Roman" w:hAnsi="Times New Roman"/>
                <w:sz w:val="20"/>
              </w:rPr>
              <w:t>ательных организаций</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4E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w:t>
            </w:r>
            <w:r>
              <w:rPr>
                <w:rFonts w:ascii="Times New Roman" w:hAnsi="Times New Roman"/>
                <w:sz w:val="20"/>
              </w:rPr>
              <w:t>ских предложений (не менее трех)</w:t>
            </w:r>
          </w:p>
          <w:p w14:paraId="4F000000">
            <w:pPr>
              <w:spacing w:after="0" w:line="240" w:lineRule="auto"/>
              <w:ind/>
              <w:jc w:val="both"/>
              <w:rPr>
                <w:rFonts w:ascii="Times New Roman" w:hAnsi="Times New Roman"/>
                <w:sz w:val="20"/>
              </w:rPr>
            </w:pPr>
          </w:p>
          <w:p w14:paraId="50000000">
            <w:pPr>
              <w:spacing w:after="0" w:line="240" w:lineRule="auto"/>
              <w:ind/>
              <w:jc w:val="both"/>
              <w:rPr>
                <w:rFonts w:ascii="Times New Roman" w:hAnsi="Times New Roman"/>
                <w:sz w:val="20"/>
              </w:rPr>
            </w:pPr>
          </w:p>
        </w:tc>
        <w:tc>
          <w:tcPr>
            <w:tcW w:type="dxa" w:w="21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w:t>
            </w:r>
            <w:r>
              <w:rPr>
                <w:rFonts w:ascii="Times New Roman" w:hAnsi="Times New Roman"/>
                <w:sz w:val="20"/>
              </w:rPr>
              <w:t xml:space="preserve">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52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w:t>
            </w:r>
            <w:r>
              <w:rPr>
                <w:rFonts w:ascii="Times New Roman" w:hAnsi="Times New Roman"/>
                <w:sz w:val="20"/>
              </w:rPr>
              <w:t>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00000">
            <w:pPr>
              <w:spacing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от общего объема работ, услуг, товаров, указанных в Соглашении</w:t>
            </w:r>
          </w:p>
        </w:tc>
      </w:tr>
      <w:tr>
        <w:tc>
          <w:tcPr>
            <w:tcW w:type="dxa" w:w="5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00000">
            <w:pPr>
              <w:spacing w:after="0" w:line="240" w:lineRule="auto"/>
              <w:ind/>
              <w:jc w:val="both"/>
              <w:rPr>
                <w:rFonts w:ascii="Times New Roman" w:hAnsi="Times New Roman"/>
                <w:sz w:val="20"/>
              </w:rPr>
            </w:pPr>
            <w:r>
              <w:rPr>
                <w:rFonts w:ascii="Times New Roman" w:hAnsi="Times New Roman"/>
                <w:sz w:val="20"/>
              </w:rPr>
              <w:t>1.25.</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spacing w:after="0" w:line="240" w:lineRule="auto"/>
              <w:ind/>
              <w:jc w:val="both"/>
              <w:rPr>
                <w:rFonts w:ascii="Times New Roman" w:hAnsi="Times New Roman"/>
                <w:sz w:val="20"/>
              </w:rPr>
            </w:pPr>
            <w:r>
              <w:rPr>
                <w:rFonts w:ascii="Times New Roman" w:hAnsi="Times New Roman"/>
                <w:sz w:val="20"/>
              </w:rPr>
              <w:t>Финансовое о</w:t>
            </w:r>
            <w:r>
              <w:rPr>
                <w:rFonts w:ascii="Times New Roman" w:hAnsi="Times New Roman"/>
                <w:sz w:val="20"/>
              </w:rPr>
              <w:t>беспечение приобретения материальных ценностей (за исключением особо ценного движимого имущества), работ, услуг подведомственных организаций в рамках реализации значимых мероприятий, а также расходы, связанные с осуществлением иных разовых и (или) значимых</w:t>
            </w:r>
            <w:r>
              <w:rPr>
                <w:rFonts w:ascii="Times New Roman" w:hAnsi="Times New Roman"/>
                <w:sz w:val="20"/>
              </w:rPr>
              <w:t xml:space="preserve"> расходов (изготовление проектно-сметной документации, проведение государственной экспертизы, сопровождение ремонтных работ)</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w:t>
            </w:r>
            <w:r>
              <w:rPr>
                <w:rFonts w:ascii="Times New Roman" w:hAnsi="Times New Roman"/>
                <w:sz w:val="20"/>
              </w:rPr>
              <w:t>метной документации.</w:t>
            </w:r>
          </w:p>
          <w:p w14:paraId="58000000">
            <w:pPr>
              <w:widowControl w:val="0"/>
              <w:spacing w:after="0" w:line="240" w:lineRule="auto"/>
              <w:ind/>
              <w:jc w:val="both"/>
              <w:rPr>
                <w:rFonts w:ascii="Times New Roman" w:hAnsi="Times New Roman"/>
                <w:sz w:val="20"/>
              </w:rPr>
            </w:pPr>
            <w:r>
              <w:rPr>
                <w:rFonts w:ascii="Times New Roman" w:hAnsi="Times New Roman"/>
                <w:sz w:val="20"/>
              </w:rPr>
              <w:t xml:space="preserve">В целях проведения государственной экспертизы размер субсидии рассчитывается в соответствии с частью 56 приложения к постановлению Правительства Российской Федерации от 05.03.2007 № 145 «О порядке организации и проведения </w:t>
            </w:r>
            <w:r>
              <w:rPr>
                <w:rFonts w:ascii="Times New Roman" w:hAnsi="Times New Roman"/>
                <w:sz w:val="20"/>
              </w:rPr>
              <w:t>государственной экспертизы проектной документации и результатов инженерных изысканий»</w:t>
            </w:r>
            <w:r>
              <w:rPr>
                <w:rFonts w:ascii="Times New Roman" w:hAnsi="Times New Roman"/>
                <w:sz w:val="20"/>
              </w:rPr>
              <w:t>.</w:t>
            </w:r>
          </w:p>
          <w:p w14:paraId="59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 (не менее трех)</w:t>
            </w:r>
          </w:p>
        </w:tc>
        <w:tc>
          <w:tcPr>
            <w:tcW w:type="dxa" w:w="21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00000">
            <w:pPr>
              <w:spacing w:after="0" w:line="240" w:lineRule="auto"/>
              <w:ind/>
              <w:jc w:val="both"/>
              <w:rPr>
                <w:rFonts w:ascii="Times New Roman" w:hAnsi="Times New Roman"/>
                <w:sz w:val="20"/>
              </w:rPr>
            </w:pPr>
            <w:r>
              <w:rPr>
                <w:rFonts w:ascii="Times New Roman" w:hAnsi="Times New Roman"/>
                <w:sz w:val="20"/>
              </w:rPr>
              <w:t xml:space="preserve">В целях проведение текущего ремонта, </w:t>
            </w:r>
            <w:r>
              <w:rPr>
                <w:rFonts w:ascii="Times New Roman" w:hAnsi="Times New Roman"/>
                <w:sz w:val="20"/>
              </w:rPr>
              <w:t>капитального рем</w:t>
            </w:r>
            <w:r>
              <w:rPr>
                <w:rFonts w:ascii="Times New Roman" w:hAnsi="Times New Roman"/>
                <w:sz w:val="20"/>
              </w:rPr>
              <w:t>онта,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w:t>
            </w:r>
            <w:r>
              <w:rPr>
                <w:rFonts w:ascii="Times New Roman" w:hAnsi="Times New Roman"/>
                <w:sz w:val="20"/>
              </w:rPr>
              <w:t>яч рублей для ремонтов, свыше 15 000,00 тысяч рублей для благоустройства предоставляется заключение государственной экспертизы.</w:t>
            </w:r>
          </w:p>
          <w:p w14:paraId="5B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p w14:paraId="5C000000">
            <w:pPr>
              <w:spacing w:after="0" w:line="240" w:lineRule="auto"/>
              <w:ind/>
              <w:jc w:val="both"/>
              <w:rPr>
                <w:rFonts w:ascii="Times New Roman" w:hAnsi="Times New Roman"/>
                <w:sz w:val="20"/>
              </w:rPr>
            </w:pPr>
          </w:p>
          <w:p w14:paraId="5D000000">
            <w:pPr>
              <w:spacing w:after="0" w:line="240" w:lineRule="auto"/>
              <w:ind/>
              <w:jc w:val="both"/>
              <w:rPr>
                <w:rFonts w:ascii="Times New Roman" w:hAnsi="Times New Roman"/>
                <w:sz w:val="20"/>
              </w:rPr>
            </w:pP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w:t>
            </w:r>
            <w:r>
              <w:rPr>
                <w:rFonts w:ascii="Times New Roman" w:hAnsi="Times New Roman"/>
                <w:sz w:val="20"/>
              </w:rPr>
              <w:t xml:space="preserve"> выполненных работ/услуг</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spacing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от общего объема работ, услуг, товаров, указанного в Соглашении</w:t>
            </w:r>
          </w:p>
        </w:tc>
      </w:tr>
    </w:tbl>
    <w:p w14:paraId="60000000">
      <w:pPr>
        <w:spacing w:after="0" w:line="240" w:lineRule="auto"/>
        <w:ind w:firstLine="709" w:left="0"/>
        <w:jc w:val="right"/>
        <w:rPr>
          <w:rFonts w:ascii="Times New Roman" w:hAnsi="Times New Roman"/>
          <w:sz w:val="28"/>
        </w:rPr>
      </w:pPr>
      <w:r>
        <w:rPr>
          <w:rFonts w:ascii="Times New Roman" w:hAnsi="Times New Roman"/>
          <w:sz w:val="28"/>
        </w:rPr>
        <w:t>»;</w:t>
      </w:r>
    </w:p>
    <w:p w14:paraId="61000000">
      <w:pPr>
        <w:spacing w:after="0" w:line="240" w:lineRule="auto"/>
        <w:ind w:firstLine="709" w:left="0"/>
        <w:jc w:val="both"/>
        <w:rPr>
          <w:rFonts w:ascii="Times New Roman" w:hAnsi="Times New Roman"/>
          <w:sz w:val="28"/>
        </w:rPr>
      </w:pPr>
      <w:r>
        <w:rPr>
          <w:rFonts w:ascii="Times New Roman" w:hAnsi="Times New Roman"/>
          <w:sz w:val="28"/>
        </w:rPr>
        <w:t>3) строку 1.35.1 изложить в следующей редакции:</w:t>
      </w:r>
    </w:p>
    <w:p w14:paraId="62000000">
      <w:pPr>
        <w:spacing w:after="0" w:line="240" w:lineRule="auto"/>
        <w:ind/>
        <w:jc w:val="both"/>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681"/>
        <w:gridCol w:w="1705"/>
        <w:gridCol w:w="1915"/>
        <w:gridCol w:w="2056"/>
        <w:gridCol w:w="1502"/>
        <w:gridCol w:w="1779"/>
      </w:tblGrid>
      <w:tr>
        <w:tc>
          <w:tcPr>
            <w:tcW w:type="dxa" w:w="6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spacing w:after="0" w:line="240" w:lineRule="auto"/>
              <w:ind/>
              <w:jc w:val="both"/>
              <w:rPr>
                <w:rFonts w:ascii="Times New Roman" w:hAnsi="Times New Roman"/>
                <w:sz w:val="20"/>
              </w:rPr>
            </w:pPr>
            <w:r>
              <w:rPr>
                <w:rFonts w:ascii="Times New Roman" w:hAnsi="Times New Roman"/>
                <w:sz w:val="20"/>
              </w:rPr>
              <w:t>1.35.1.</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00000">
            <w:pPr>
              <w:spacing w:after="0" w:line="240" w:lineRule="auto"/>
              <w:ind/>
              <w:jc w:val="both"/>
              <w:rPr>
                <w:rFonts w:ascii="Times New Roman" w:hAnsi="Times New Roman"/>
                <w:sz w:val="20"/>
              </w:rPr>
            </w:pPr>
            <w:r>
              <w:rPr>
                <w:rFonts w:ascii="Times New Roman" w:hAnsi="Times New Roman"/>
                <w:sz w:val="20"/>
              </w:rPr>
              <w:t xml:space="preserve">Осуществление мероприятий, направленных на </w:t>
            </w:r>
            <w:r>
              <w:rPr>
                <w:rFonts w:ascii="Times New Roman" w:hAnsi="Times New Roman"/>
                <w:sz w:val="20"/>
              </w:rPr>
              <w:t>создание некапитальных объектов (быстровозводимых конструкций) отдыха детей и их оздоровления. Выполнение подготовительных работ для возведения жилого модульного корпуса (организация технологического проезда и подъездной дороги; подготовка площадки под кор</w:t>
            </w:r>
            <w:r>
              <w:rPr>
                <w:rFonts w:ascii="Times New Roman" w:hAnsi="Times New Roman"/>
                <w:sz w:val="20"/>
              </w:rPr>
              <w:t>пус с подведением коммуникаций), а также его возведение</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66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w:t>
            </w:r>
            <w:r>
              <w:rPr>
                <w:rFonts w:ascii="Times New Roman" w:hAnsi="Times New Roman"/>
                <w:sz w:val="20"/>
              </w:rPr>
              <w:t>ии размер субсидии рассчитывается на основании коммерческих предложений (не менее трех), которые подтверждаются расчетом ПИР (проектно-изыскательных работ).</w:t>
            </w:r>
          </w:p>
          <w:p w14:paraId="67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w:t>
            </w:r>
            <w:r>
              <w:rPr>
                <w:rFonts w:ascii="Times New Roman" w:hAnsi="Times New Roman"/>
                <w:sz w:val="20"/>
              </w:rPr>
              <w:t xml:space="preserve"> (не менее трех)</w:t>
            </w:r>
          </w:p>
          <w:p w14:paraId="68000000">
            <w:pPr>
              <w:spacing w:after="0" w:line="240" w:lineRule="auto"/>
              <w:ind/>
              <w:jc w:val="both"/>
              <w:rPr>
                <w:rFonts w:ascii="Times New Roman" w:hAnsi="Times New Roman"/>
                <w:sz w:val="20"/>
              </w:rPr>
            </w:pPr>
          </w:p>
          <w:p w14:paraId="69000000">
            <w:pPr>
              <w:spacing w:after="0" w:line="240" w:lineRule="auto"/>
              <w:ind/>
              <w:jc w:val="both"/>
              <w:rPr>
                <w:rFonts w:ascii="Times New Roman" w:hAnsi="Times New Roman"/>
                <w:sz w:val="20"/>
              </w:rPr>
            </w:pPr>
          </w:p>
        </w:tc>
        <w:tc>
          <w:tcPr>
            <w:tcW w:type="dxa" w:w="20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 учреждения, зак</w:t>
            </w:r>
            <w:r>
              <w:rPr>
                <w:rFonts w:ascii="Times New Roman" w:hAnsi="Times New Roman"/>
                <w:sz w:val="20"/>
              </w:rPr>
              <w:t>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6B000000">
            <w:pPr>
              <w:spacing w:after="0" w:line="240" w:lineRule="auto"/>
              <w:ind/>
              <w:jc w:val="both"/>
              <w:rPr>
                <w:rFonts w:ascii="Times New Roman" w:hAnsi="Times New Roman"/>
                <w:sz w:val="20"/>
              </w:rPr>
            </w:pPr>
            <w:r>
              <w:rPr>
                <w:rFonts w:ascii="Times New Roman" w:hAnsi="Times New Roman"/>
                <w:sz w:val="20"/>
              </w:rPr>
              <w:t xml:space="preserve">В целях изготовления проектно-сметной документации: не </w:t>
            </w:r>
            <w:r>
              <w:rPr>
                <w:rFonts w:ascii="Times New Roman" w:hAnsi="Times New Roman"/>
                <w:sz w:val="20"/>
              </w:rPr>
              <w:t>менее трех коммерческих предложений, подтвержденных расчетом ПИР (проектно-изыскательных работ.</w:t>
            </w:r>
          </w:p>
          <w:p w14:paraId="6C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 количест</w:t>
            </w:r>
            <w:r>
              <w:rPr>
                <w:rFonts w:ascii="Times New Roman" w:hAnsi="Times New Roman"/>
                <w:sz w:val="20"/>
              </w:rPr>
              <w:t>во объектов</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spacing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построенных объектов от общего объема работ,  услуг, товаров, объектов, указанных в Соглашении</w:t>
            </w:r>
          </w:p>
        </w:tc>
      </w:tr>
    </w:tbl>
    <w:p w14:paraId="6F000000">
      <w:pPr>
        <w:spacing w:after="0" w:line="240" w:lineRule="auto"/>
        <w:ind/>
        <w:jc w:val="right"/>
        <w:rPr>
          <w:rFonts w:ascii="Times New Roman" w:hAnsi="Times New Roman"/>
          <w:sz w:val="28"/>
        </w:rPr>
      </w:pPr>
      <w:r>
        <w:rPr>
          <w:rFonts w:ascii="Times New Roman" w:hAnsi="Times New Roman"/>
          <w:sz w:val="28"/>
        </w:rPr>
        <w:t>»;</w:t>
      </w:r>
    </w:p>
    <w:p w14:paraId="70000000">
      <w:pPr>
        <w:spacing w:after="0" w:line="240" w:lineRule="auto"/>
        <w:ind w:firstLine="709" w:left="0"/>
        <w:jc w:val="both"/>
        <w:rPr>
          <w:rFonts w:ascii="Times New Roman" w:hAnsi="Times New Roman"/>
          <w:sz w:val="28"/>
        </w:rPr>
      </w:pPr>
      <w:r>
        <w:rPr>
          <w:rFonts w:ascii="Times New Roman" w:hAnsi="Times New Roman"/>
          <w:sz w:val="28"/>
        </w:rPr>
        <w:t>4) строку 1.36 признать утратившей силу;</w:t>
      </w:r>
    </w:p>
    <w:p w14:paraId="71000000">
      <w:pPr>
        <w:spacing w:after="0" w:line="240" w:lineRule="auto"/>
        <w:ind w:firstLine="709" w:left="0"/>
        <w:jc w:val="both"/>
        <w:rPr>
          <w:rFonts w:ascii="Times New Roman" w:hAnsi="Times New Roman"/>
          <w:sz w:val="28"/>
        </w:rPr>
      </w:pPr>
      <w:r>
        <w:rPr>
          <w:rFonts w:ascii="Times New Roman" w:hAnsi="Times New Roman"/>
          <w:sz w:val="28"/>
        </w:rPr>
        <w:t>5) строки 1.51 и 1.52 изложить в следующей</w:t>
      </w:r>
      <w:r>
        <w:rPr>
          <w:rFonts w:ascii="Times New Roman" w:hAnsi="Times New Roman"/>
          <w:sz w:val="28"/>
        </w:rPr>
        <w:t xml:space="preserve"> редакции:</w:t>
      </w:r>
    </w:p>
    <w:p w14:paraId="72000000">
      <w:pPr>
        <w:spacing w:after="0" w:line="240" w:lineRule="auto"/>
        <w:ind/>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576"/>
        <w:gridCol w:w="1705"/>
        <w:gridCol w:w="1915"/>
        <w:gridCol w:w="2161"/>
        <w:gridCol w:w="1502"/>
        <w:gridCol w:w="1779"/>
      </w:tblGrid>
      <w:tr>
        <w:tc>
          <w:tcPr>
            <w:tcW w:type="dxa" w:w="5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spacing w:after="0" w:line="240" w:lineRule="auto"/>
              <w:ind/>
              <w:jc w:val="both"/>
              <w:rPr>
                <w:rFonts w:ascii="Times New Roman" w:hAnsi="Times New Roman"/>
                <w:sz w:val="20"/>
              </w:rPr>
            </w:pPr>
            <w:r>
              <w:rPr>
                <w:rFonts w:ascii="Times New Roman" w:hAnsi="Times New Roman"/>
                <w:sz w:val="20"/>
              </w:rPr>
              <w:t>1.51.</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spacing w:after="0" w:line="240" w:lineRule="auto"/>
              <w:ind/>
              <w:jc w:val="both"/>
              <w:rPr>
                <w:rFonts w:ascii="Times New Roman" w:hAnsi="Times New Roman"/>
                <w:sz w:val="20"/>
              </w:rPr>
            </w:pPr>
            <w:r>
              <w:rPr>
                <w:rFonts w:ascii="Times New Roman" w:hAnsi="Times New Roman"/>
                <w:sz w:val="20"/>
              </w:rPr>
              <w:t>Реализация мероприятий по модернизации школьных систем образования</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76000000">
            <w:pPr>
              <w:spacing w:after="0" w:line="240" w:lineRule="auto"/>
              <w:ind/>
              <w:jc w:val="both"/>
              <w:rPr>
                <w:rFonts w:ascii="Times New Roman" w:hAnsi="Times New Roman"/>
                <w:sz w:val="20"/>
              </w:rPr>
            </w:pPr>
            <w:r>
              <w:rPr>
                <w:rFonts w:ascii="Times New Roman" w:hAnsi="Times New Roman"/>
                <w:sz w:val="20"/>
              </w:rPr>
              <w:t xml:space="preserve">В целях </w:t>
            </w:r>
            <w:r>
              <w:rPr>
                <w:rFonts w:ascii="Times New Roman" w:hAnsi="Times New Roman"/>
                <w:sz w:val="20"/>
              </w:rPr>
              <w:t>изготовления проектно-сметной документации размер субсидии рассчитывается на основании коммерческих предложений (не менее трех), которые подтверждаются расчетом ПИР (проектно-изыскательных работ).</w:t>
            </w:r>
          </w:p>
          <w:p w14:paraId="77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w:t>
            </w:r>
            <w:r>
              <w:rPr>
                <w:rFonts w:ascii="Times New Roman" w:hAnsi="Times New Roman"/>
                <w:sz w:val="20"/>
              </w:rPr>
              <w:t>ся на основании коммерческих предложений (не менее трех)</w:t>
            </w:r>
          </w:p>
        </w:tc>
        <w:tc>
          <w:tcPr>
            <w:tcW w:type="dxa" w:w="21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предшествующего финансового года, ведомость объем</w:t>
            </w:r>
            <w:r>
              <w:rPr>
                <w:rFonts w:ascii="Times New Roman" w:hAnsi="Times New Roman"/>
                <w:sz w:val="20"/>
              </w:rPr>
              <w:t>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79000000">
            <w:pPr>
              <w:spacing w:after="0" w:line="240" w:lineRule="auto"/>
              <w:ind/>
              <w:jc w:val="both"/>
              <w:rPr>
                <w:rFonts w:ascii="Times New Roman" w:hAnsi="Times New Roman"/>
                <w:sz w:val="20"/>
              </w:rPr>
            </w:pPr>
            <w:r>
              <w:rPr>
                <w:rFonts w:ascii="Times New Roman" w:hAnsi="Times New Roman"/>
                <w:sz w:val="20"/>
              </w:rPr>
              <w:t>В целях изготовле</w:t>
            </w:r>
            <w:r>
              <w:rPr>
                <w:rFonts w:ascii="Times New Roman" w:hAnsi="Times New Roman"/>
                <w:sz w:val="20"/>
              </w:rPr>
              <w:t>ния проектно-сметной документации: не менее трех коммерческих предложений, подтвержденных расчетом ПИР (проектно-изыскательных работ.</w:t>
            </w:r>
          </w:p>
          <w:p w14:paraId="7A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spacing w:line="240" w:lineRule="auto"/>
              <w:ind/>
              <w:jc w:val="both"/>
              <w:rPr>
                <w:rFonts w:ascii="Times New Roman" w:hAnsi="Times New Roman"/>
                <w:sz w:val="20"/>
              </w:rPr>
            </w:pPr>
            <w:r>
              <w:rPr>
                <w:rFonts w:ascii="Times New Roman" w:hAnsi="Times New Roman"/>
                <w:sz w:val="20"/>
              </w:rPr>
              <w:t xml:space="preserve">Количество единиц имущества, </w:t>
            </w:r>
            <w:r>
              <w:rPr>
                <w:rFonts w:ascii="Times New Roman" w:hAnsi="Times New Roman"/>
                <w:sz w:val="20"/>
              </w:rPr>
              <w:t>количество выполненных работ/услуг, количество объектов</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spacing w:line="240" w:lineRule="auto"/>
              <w:ind/>
              <w:jc w:val="both"/>
              <w:rPr>
                <w:rFonts w:ascii="Times New Roman" w:hAnsi="Times New Roman"/>
                <w:sz w:val="20"/>
              </w:rPr>
            </w:pPr>
            <w:r>
              <w:rPr>
                <w:rFonts w:ascii="Times New Roman" w:hAnsi="Times New Roman"/>
                <w:sz w:val="20"/>
              </w:rPr>
              <w:t>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p>
        </w:tc>
      </w:tr>
      <w:tr>
        <w:tc>
          <w:tcPr>
            <w:tcW w:type="dxa" w:w="5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00000">
            <w:pPr>
              <w:spacing w:after="0" w:line="240" w:lineRule="auto"/>
              <w:ind/>
              <w:jc w:val="both"/>
              <w:rPr>
                <w:rFonts w:ascii="Times New Roman" w:hAnsi="Times New Roman"/>
                <w:sz w:val="20"/>
              </w:rPr>
            </w:pPr>
            <w:r>
              <w:rPr>
                <w:rFonts w:ascii="Times New Roman" w:hAnsi="Times New Roman"/>
                <w:sz w:val="20"/>
              </w:rPr>
              <w:t>1.52.</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00000">
            <w:pPr>
              <w:spacing w:after="0" w:line="240" w:lineRule="auto"/>
              <w:ind/>
              <w:jc w:val="both"/>
              <w:rPr>
                <w:rFonts w:ascii="Times New Roman" w:hAnsi="Times New Roman"/>
                <w:sz w:val="20"/>
              </w:rPr>
            </w:pPr>
            <w:r>
              <w:rPr>
                <w:rFonts w:ascii="Times New Roman" w:hAnsi="Times New Roman"/>
                <w:sz w:val="20"/>
              </w:rPr>
              <w:t>Преобразование учебных корпусов и</w:t>
            </w:r>
            <w:r>
              <w:rPr>
                <w:rFonts w:ascii="Times New Roman" w:hAnsi="Times New Roman"/>
                <w:sz w:val="20"/>
              </w:rPr>
              <w:t xml:space="preserve"> общежитий колледжей как неотъемлемой части учебно-производственного комплекса</w:t>
            </w:r>
          </w:p>
        </w:tc>
        <w:tc>
          <w:tcPr>
            <w:tcW w:type="dxa" w:w="191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80000000">
            <w:pPr>
              <w:spacing w:after="0" w:line="240" w:lineRule="auto"/>
              <w:ind/>
              <w:jc w:val="both"/>
              <w:rPr>
                <w:rFonts w:ascii="Times New Roman" w:hAnsi="Times New Roman"/>
                <w:sz w:val="20"/>
              </w:rPr>
            </w:pPr>
            <w:r>
              <w:rPr>
                <w:rFonts w:ascii="Times New Roman" w:hAnsi="Times New Roman"/>
                <w:sz w:val="20"/>
              </w:rPr>
              <w:t>В целях приобретения имущ</w:t>
            </w:r>
            <w:r>
              <w:rPr>
                <w:rFonts w:ascii="Times New Roman" w:hAnsi="Times New Roman"/>
                <w:sz w:val="20"/>
              </w:rPr>
              <w:t>ества размер субсидии рассчитывается на основании коммерческих предложений (не менее трех)</w:t>
            </w:r>
          </w:p>
          <w:p w14:paraId="81000000">
            <w:pPr>
              <w:spacing w:after="0" w:line="240" w:lineRule="auto"/>
              <w:ind/>
              <w:jc w:val="both"/>
              <w:rPr>
                <w:rFonts w:ascii="Times New Roman" w:hAnsi="Times New Roman"/>
                <w:sz w:val="20"/>
              </w:rPr>
            </w:pPr>
          </w:p>
          <w:p w14:paraId="82000000">
            <w:pPr>
              <w:spacing w:after="0" w:line="240" w:lineRule="auto"/>
              <w:ind/>
              <w:jc w:val="both"/>
              <w:rPr>
                <w:rFonts w:ascii="Times New Roman" w:hAnsi="Times New Roman"/>
                <w:sz w:val="20"/>
              </w:rPr>
            </w:pPr>
          </w:p>
        </w:tc>
        <w:tc>
          <w:tcPr>
            <w:tcW w:type="dxa" w:w="21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w:t>
            </w:r>
            <w:r>
              <w:rPr>
                <w:rFonts w:ascii="Times New Roman" w:hAnsi="Times New Roman"/>
                <w:sz w:val="20"/>
              </w:rPr>
              <w:t>го 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w:t>
            </w:r>
            <w:r>
              <w:rPr>
                <w:rFonts w:ascii="Times New Roman" w:hAnsi="Times New Roman"/>
                <w:sz w:val="20"/>
              </w:rPr>
              <w:t>венной экспертизы.</w:t>
            </w:r>
          </w:p>
          <w:p w14:paraId="84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spacing w:line="240" w:lineRule="auto"/>
              <w:ind/>
              <w:jc w:val="both"/>
              <w:rPr>
                <w:rFonts w:ascii="Times New Roman" w:hAnsi="Times New Roman"/>
                <w:sz w:val="20"/>
              </w:rPr>
            </w:pPr>
            <w:r>
              <w:rPr>
                <w:rFonts w:ascii="Times New Roman" w:hAnsi="Times New Roman"/>
                <w:sz w:val="20"/>
              </w:rPr>
              <w:t>Обеспечено преобразование учебных корпусов и общежитий колледжей как неотъемлемой част</w:t>
            </w:r>
            <w:r>
              <w:rPr>
                <w:rFonts w:ascii="Times New Roman" w:hAnsi="Times New Roman"/>
                <w:sz w:val="20"/>
              </w:rPr>
              <w:t>и учебно-производственного комплекса</w:t>
            </w:r>
          </w:p>
        </w:tc>
      </w:tr>
    </w:tbl>
    <w:p w14:paraId="87000000">
      <w:pPr>
        <w:spacing w:after="0" w:line="240" w:lineRule="auto"/>
        <w:ind w:firstLine="709" w:left="0"/>
        <w:jc w:val="right"/>
        <w:rPr>
          <w:rFonts w:ascii="Times New Roman" w:hAnsi="Times New Roman"/>
          <w:sz w:val="28"/>
        </w:rPr>
      </w:pPr>
      <w:r>
        <w:rPr>
          <w:rFonts w:ascii="Times New Roman" w:hAnsi="Times New Roman"/>
          <w:sz w:val="28"/>
        </w:rPr>
        <w:t>»;</w:t>
      </w:r>
    </w:p>
    <w:p w14:paraId="88000000">
      <w:pPr>
        <w:spacing w:after="0" w:line="240" w:lineRule="auto"/>
        <w:ind w:firstLine="709" w:left="0"/>
        <w:jc w:val="both"/>
        <w:rPr>
          <w:rFonts w:ascii="Times New Roman" w:hAnsi="Times New Roman"/>
          <w:sz w:val="28"/>
        </w:rPr>
      </w:pPr>
      <w:r>
        <w:rPr>
          <w:rFonts w:ascii="Times New Roman" w:hAnsi="Times New Roman"/>
          <w:sz w:val="28"/>
        </w:rPr>
        <w:t>6) строку 1.57 изложить в следующей редакции:</w:t>
      </w:r>
    </w:p>
    <w:p w14:paraId="89000000">
      <w:pPr>
        <w:spacing w:after="0" w:line="240" w:lineRule="auto"/>
        <w:ind/>
        <w:jc w:val="both"/>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560"/>
        <w:gridCol w:w="1705"/>
        <w:gridCol w:w="1916"/>
        <w:gridCol w:w="2176"/>
        <w:gridCol w:w="1502"/>
        <w:gridCol w:w="1779"/>
      </w:tblGrid>
      <w:t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00000">
            <w:pPr>
              <w:spacing w:after="0" w:line="240" w:lineRule="auto"/>
              <w:ind/>
              <w:jc w:val="both"/>
              <w:rPr>
                <w:rFonts w:ascii="Times New Roman" w:hAnsi="Times New Roman"/>
                <w:sz w:val="20"/>
              </w:rPr>
            </w:pPr>
            <w:r>
              <w:rPr>
                <w:rFonts w:ascii="Times New Roman" w:hAnsi="Times New Roman"/>
                <w:sz w:val="20"/>
              </w:rPr>
              <w:t>1.57.</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00000">
            <w:pPr>
              <w:spacing w:after="0" w:line="240" w:lineRule="auto"/>
              <w:ind/>
              <w:jc w:val="both"/>
              <w:rPr>
                <w:rFonts w:ascii="Times New Roman" w:hAnsi="Times New Roman"/>
                <w:sz w:val="20"/>
              </w:rPr>
            </w:pPr>
            <w:r>
              <w:rPr>
                <w:rFonts w:ascii="Times New Roman" w:hAnsi="Times New Roman"/>
                <w:sz w:val="20"/>
              </w:rPr>
              <w:t>Реализация мероприятий, направленных на строительство и сопровождение строительства объектов различного типа</w:t>
            </w:r>
          </w:p>
        </w:tc>
        <w:tc>
          <w:tcPr>
            <w:tcW w:type="dxa" w:w="1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00000">
            <w:pPr>
              <w:spacing w:after="0" w:line="240" w:lineRule="auto"/>
              <w:ind/>
              <w:jc w:val="both"/>
              <w:rPr>
                <w:rFonts w:ascii="Times New Roman" w:hAnsi="Times New Roman"/>
                <w:sz w:val="20"/>
              </w:rPr>
            </w:pPr>
            <w:r>
              <w:rPr>
                <w:rFonts w:ascii="Times New Roman" w:hAnsi="Times New Roman"/>
                <w:sz w:val="20"/>
              </w:rPr>
              <w:t xml:space="preserve">В целях проведение текущего ремонта, капитального </w:t>
            </w:r>
            <w:r>
              <w:rPr>
                <w:rFonts w:ascii="Times New Roman" w:hAnsi="Times New Roman"/>
                <w:sz w:val="20"/>
              </w:rPr>
              <w:t>ремонта, благоустройства территории размер субсидии рассчитывается на основании сметной документации.</w:t>
            </w:r>
          </w:p>
          <w:p w14:paraId="8D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размер субсидии рассчитывается на основании коммерческих предложений (не менее трех), которые подтвержд</w:t>
            </w:r>
            <w:r>
              <w:rPr>
                <w:rFonts w:ascii="Times New Roman" w:hAnsi="Times New Roman"/>
                <w:sz w:val="20"/>
              </w:rPr>
              <w:t>аются расчетом ПИР (проектно-изыскательных работ).</w:t>
            </w:r>
          </w:p>
          <w:p w14:paraId="8E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 (не менее трех)</w:t>
            </w:r>
          </w:p>
          <w:p w14:paraId="8F000000">
            <w:pPr>
              <w:spacing w:after="0" w:line="240" w:lineRule="auto"/>
              <w:ind/>
              <w:jc w:val="both"/>
              <w:rPr>
                <w:rFonts w:ascii="Times New Roman" w:hAnsi="Times New Roman"/>
                <w:sz w:val="20"/>
              </w:rPr>
            </w:pPr>
          </w:p>
          <w:p w14:paraId="90000000">
            <w:pPr>
              <w:spacing w:after="0" w:line="240" w:lineRule="auto"/>
              <w:ind/>
              <w:jc w:val="both"/>
              <w:rPr>
                <w:rFonts w:ascii="Times New Roman" w:hAnsi="Times New Roman"/>
                <w:sz w:val="20"/>
              </w:rPr>
            </w:pPr>
          </w:p>
        </w:tc>
        <w:tc>
          <w:tcPr>
            <w:tcW w:type="dxa" w:w="21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ремонта, благоустройства территории:</w:t>
            </w:r>
            <w:r>
              <w:rPr>
                <w:rFonts w:ascii="Times New Roman" w:hAnsi="Times New Roman"/>
                <w:sz w:val="20"/>
              </w:rPr>
              <w:t xml:space="preserve"> сметная документация со сроком не позднее четвертого квартала предшествующего 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рублей для ремонтов, свыше 15 </w:t>
            </w:r>
            <w:r>
              <w:rPr>
                <w:rFonts w:ascii="Times New Roman" w:hAnsi="Times New Roman"/>
                <w:sz w:val="20"/>
              </w:rPr>
              <w:t>000,00 тысяч рублей для благоустройства предоставляется заключение государственной экспертизы.</w:t>
            </w:r>
          </w:p>
          <w:p w14:paraId="92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не менее трех коммерческих предложений, подтвержденных расчетом ПИР (проектно-изыскательных работ.</w:t>
            </w:r>
          </w:p>
          <w:p w14:paraId="93000000">
            <w:pPr>
              <w:spacing w:after="0" w:line="240" w:lineRule="auto"/>
              <w:ind/>
              <w:jc w:val="both"/>
              <w:rPr>
                <w:rFonts w:ascii="Times New Roman" w:hAnsi="Times New Roman"/>
                <w:sz w:val="20"/>
              </w:rPr>
            </w:pPr>
            <w:r>
              <w:rPr>
                <w:rFonts w:ascii="Times New Roman" w:hAnsi="Times New Roman"/>
                <w:sz w:val="20"/>
              </w:rPr>
              <w:t>В целях пр</w:t>
            </w:r>
            <w:r>
              <w:rPr>
                <w:rFonts w:ascii="Times New Roman" w:hAnsi="Times New Roman"/>
                <w:sz w:val="20"/>
              </w:rPr>
              <w:t>иобретения имущества: коммерческие предложения текущего года (не менее трех)</w:t>
            </w:r>
          </w:p>
          <w:p w14:paraId="94000000">
            <w:pPr>
              <w:spacing w:after="0" w:line="240" w:lineRule="auto"/>
              <w:ind/>
              <w:jc w:val="both"/>
              <w:rPr>
                <w:rFonts w:ascii="Times New Roman" w:hAnsi="Times New Roman"/>
                <w:sz w:val="20"/>
              </w:rPr>
            </w:pPr>
          </w:p>
          <w:p w14:paraId="95000000">
            <w:pPr>
              <w:spacing w:after="0" w:line="240" w:lineRule="auto"/>
              <w:ind/>
              <w:jc w:val="both"/>
              <w:rPr>
                <w:rFonts w:ascii="Times New Roman" w:hAnsi="Times New Roman"/>
                <w:sz w:val="20"/>
              </w:rPr>
            </w:pP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 количество объектов</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00000">
            <w:pPr>
              <w:spacing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построенных объектов от общего</w:t>
            </w:r>
            <w:r>
              <w:rPr>
                <w:rFonts w:ascii="Times New Roman" w:hAnsi="Times New Roman"/>
                <w:sz w:val="20"/>
              </w:rPr>
              <w:t xml:space="preserve"> объема работ,  услуг, товаров, объектов, указанных в Соглашении</w:t>
            </w:r>
          </w:p>
        </w:tc>
      </w:tr>
    </w:tbl>
    <w:p w14:paraId="98000000">
      <w:pPr>
        <w:spacing w:after="0" w:line="240" w:lineRule="auto"/>
        <w:ind/>
        <w:jc w:val="right"/>
        <w:rPr>
          <w:rFonts w:ascii="Times New Roman" w:hAnsi="Times New Roman"/>
          <w:sz w:val="28"/>
        </w:rPr>
      </w:pPr>
      <w:r>
        <w:rPr>
          <w:rFonts w:ascii="Times New Roman" w:hAnsi="Times New Roman"/>
          <w:sz w:val="28"/>
        </w:rPr>
        <w:t>»;</w:t>
      </w:r>
    </w:p>
    <w:p w14:paraId="99000000">
      <w:pPr>
        <w:spacing w:after="0" w:line="240" w:lineRule="auto"/>
        <w:ind w:firstLine="709" w:left="0"/>
        <w:jc w:val="both"/>
        <w:rPr>
          <w:rFonts w:ascii="Times New Roman" w:hAnsi="Times New Roman"/>
          <w:sz w:val="28"/>
        </w:rPr>
      </w:pPr>
      <w:r>
        <w:rPr>
          <w:rFonts w:ascii="Times New Roman" w:hAnsi="Times New Roman"/>
          <w:sz w:val="28"/>
        </w:rPr>
        <w:t>7) дополнить строками 1.66–1.69</w:t>
      </w:r>
      <w:r>
        <w:rPr>
          <w:rFonts w:ascii="Times New Roman" w:hAnsi="Times New Roman"/>
          <w:sz w:val="28"/>
        </w:rPr>
        <w:t xml:space="preserve"> следующего содержания:</w:t>
      </w:r>
    </w:p>
    <w:p w14:paraId="9A000000">
      <w:pPr>
        <w:spacing w:after="0" w:line="240" w:lineRule="auto"/>
        <w:ind/>
        <w:jc w:val="both"/>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560"/>
        <w:gridCol w:w="1705"/>
        <w:gridCol w:w="1916"/>
        <w:gridCol w:w="2176"/>
        <w:gridCol w:w="1502"/>
        <w:gridCol w:w="1779"/>
      </w:tblGrid>
      <w:t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00000">
            <w:pPr>
              <w:spacing w:after="0" w:line="240" w:lineRule="auto"/>
              <w:ind/>
              <w:jc w:val="both"/>
              <w:rPr>
                <w:rFonts w:ascii="Times New Roman" w:hAnsi="Times New Roman"/>
                <w:sz w:val="20"/>
              </w:rPr>
            </w:pPr>
            <w:r>
              <w:rPr>
                <w:rFonts w:ascii="Times New Roman" w:hAnsi="Times New Roman"/>
                <w:sz w:val="20"/>
              </w:rPr>
              <w:t>1.66.</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00000">
            <w:pPr>
              <w:spacing w:after="0" w:line="240" w:lineRule="auto"/>
              <w:ind/>
              <w:jc w:val="both"/>
              <w:rPr>
                <w:rFonts w:ascii="Times New Roman" w:hAnsi="Times New Roman"/>
                <w:sz w:val="20"/>
              </w:rPr>
            </w:pPr>
            <w:r>
              <w:rPr>
                <w:rFonts w:ascii="Times New Roman" w:hAnsi="Times New Roman"/>
                <w:sz w:val="20"/>
              </w:rPr>
              <w:t xml:space="preserve">Изготовление и распространение светоотражающих приспособлений в среде дошкольников и учащихся младших классов </w:t>
            </w:r>
            <w:r>
              <w:rPr>
                <w:rFonts w:ascii="Times New Roman" w:hAnsi="Times New Roman"/>
                <w:sz w:val="20"/>
              </w:rPr>
              <w:t>общеобразовательных учреждений Камчатского края. Мероприятия, направленные на профилактику правонарушений, преступлений и повышение безопасности дорожного движения, с целью профилактики детского дорожно-транспортного травматизма</w:t>
            </w:r>
          </w:p>
        </w:tc>
        <w:tc>
          <w:tcPr>
            <w:tcW w:type="dxa" w:w="1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00000">
            <w:pPr>
              <w:spacing w:after="0" w:line="240" w:lineRule="auto"/>
              <w:ind/>
              <w:jc w:val="both"/>
              <w:rPr>
                <w:rFonts w:ascii="Times New Roman" w:hAnsi="Times New Roman"/>
                <w:sz w:val="20"/>
              </w:rPr>
            </w:pPr>
            <w:r>
              <w:rPr>
                <w:rFonts w:ascii="Times New Roman" w:hAnsi="Times New Roman"/>
                <w:sz w:val="20"/>
              </w:rPr>
              <w:t>Размер субсидии рассчитывае</w:t>
            </w:r>
            <w:r>
              <w:rPr>
                <w:rFonts w:ascii="Times New Roman" w:hAnsi="Times New Roman"/>
                <w:sz w:val="20"/>
              </w:rPr>
              <w:t>тся на основании сметных расчетов и/или коммерческих предложений (не менее трех) в пределах лимитов бюджетных обязательств, доведенных Министерству как получателю средств краевого бюджета на очередной финансовый год и на плановый период</w:t>
            </w:r>
          </w:p>
        </w:tc>
        <w:tc>
          <w:tcPr>
            <w:tcW w:type="dxa" w:w="21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00000">
            <w:pPr>
              <w:spacing w:after="0" w:line="240" w:lineRule="auto"/>
              <w:ind/>
              <w:jc w:val="both"/>
              <w:rPr>
                <w:rFonts w:ascii="Times New Roman" w:hAnsi="Times New Roman"/>
                <w:sz w:val="20"/>
              </w:rPr>
            </w:pPr>
            <w:r>
              <w:rPr>
                <w:rFonts w:ascii="Times New Roman" w:hAnsi="Times New Roman"/>
                <w:sz w:val="20"/>
              </w:rPr>
              <w:t>Сметные расчеты, и/</w:t>
            </w:r>
            <w:r>
              <w:rPr>
                <w:rFonts w:ascii="Times New Roman" w:hAnsi="Times New Roman"/>
                <w:sz w:val="20"/>
              </w:rPr>
              <w:t>или коммерческие предложения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00000">
            <w:pPr>
              <w:spacing w:after="0"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w:t>
            </w:r>
          </w:p>
          <w:p w14:paraId="A0000000">
            <w:pPr>
              <w:spacing w:after="0" w:line="240" w:lineRule="auto"/>
              <w:ind/>
              <w:jc w:val="both"/>
              <w:rPr>
                <w:rFonts w:ascii="Times New Roman" w:hAnsi="Times New Roman"/>
                <w:sz w:val="20"/>
              </w:rPr>
            </w:pPr>
            <w:r>
              <w:rPr>
                <w:rFonts w:ascii="Times New Roman" w:hAnsi="Times New Roman"/>
                <w:sz w:val="20"/>
              </w:rPr>
              <w:t>Количество участников мероприятий</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00000">
            <w:pPr>
              <w:spacing w:after="0"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от общего объема работ, услуг, товаров, указанного</w:t>
            </w:r>
            <w:r>
              <w:rPr>
                <w:rFonts w:ascii="Times New Roman" w:hAnsi="Times New Roman"/>
                <w:sz w:val="20"/>
              </w:rPr>
              <w:t xml:space="preserve"> в Соглашении. Доля участников мероприятия от общего количества, указанного в Соглашении </w:t>
            </w:r>
          </w:p>
          <w:p w14:paraId="A2000000">
            <w:pPr>
              <w:spacing w:after="0" w:line="240" w:lineRule="auto"/>
              <w:ind/>
              <w:jc w:val="both"/>
              <w:rPr>
                <w:rFonts w:ascii="Times New Roman" w:hAnsi="Times New Roman"/>
                <w:sz w:val="20"/>
                <w:shd w:fill="11DF2A" w:val="clear"/>
              </w:rPr>
            </w:pPr>
          </w:p>
        </w:tc>
      </w:tr>
      <w:tr>
        <w:tc>
          <w:tcPr>
            <w:tcW w:type="dxa" w:w="5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00000">
            <w:pPr>
              <w:spacing w:after="0" w:line="240" w:lineRule="auto"/>
              <w:ind/>
              <w:jc w:val="both"/>
              <w:rPr>
                <w:rFonts w:ascii="Times New Roman" w:hAnsi="Times New Roman"/>
                <w:sz w:val="20"/>
              </w:rPr>
            </w:pPr>
            <w:r>
              <w:rPr>
                <w:rFonts w:ascii="Times New Roman" w:hAnsi="Times New Roman"/>
                <w:sz w:val="20"/>
              </w:rPr>
              <w:t>1.67.</w:t>
            </w:r>
          </w:p>
        </w:tc>
        <w:tc>
          <w:tcPr>
            <w:tcW w:type="dxa" w:w="1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00000">
            <w:pPr>
              <w:spacing w:after="0" w:line="240" w:lineRule="auto"/>
              <w:ind/>
              <w:jc w:val="both"/>
              <w:rPr>
                <w:rFonts w:ascii="Times New Roman" w:hAnsi="Times New Roman"/>
                <w:sz w:val="20"/>
              </w:rPr>
            </w:pPr>
            <w:r>
              <w:rPr>
                <w:rFonts w:ascii="Times New Roman" w:hAnsi="Times New Roman"/>
                <w:sz w:val="20"/>
              </w:rPr>
              <w:t xml:space="preserve">Укрепление материально-технической базы, поддержка, развитие и благоустройство автогородка на базе краевого государственного бюджетного образовательного учреждения дополнительного образования детей </w:t>
            </w:r>
          </w:p>
          <w:p w14:paraId="A5000000">
            <w:pPr>
              <w:spacing w:after="0" w:line="240" w:lineRule="auto"/>
              <w:ind/>
              <w:jc w:val="both"/>
              <w:rPr>
                <w:rFonts w:ascii="Times New Roman" w:hAnsi="Times New Roman"/>
                <w:sz w:val="20"/>
              </w:rPr>
            </w:pPr>
            <w:r>
              <w:rPr>
                <w:rFonts w:ascii="Times New Roman" w:hAnsi="Times New Roman"/>
                <w:sz w:val="20"/>
              </w:rPr>
              <w:t>«Камчатский центр детского и юношеского технического твор</w:t>
            </w:r>
            <w:r>
              <w:rPr>
                <w:rFonts w:ascii="Times New Roman" w:hAnsi="Times New Roman"/>
                <w:sz w:val="20"/>
              </w:rPr>
              <w:t xml:space="preserve">чества» </w:t>
            </w:r>
          </w:p>
        </w:tc>
        <w:tc>
          <w:tcPr>
            <w:tcW w:type="dxa" w:w="1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A7000000">
            <w:pPr>
              <w:spacing w:after="0" w:line="240" w:lineRule="auto"/>
              <w:ind/>
              <w:jc w:val="both"/>
              <w:rPr>
                <w:rFonts w:ascii="Times New Roman" w:hAnsi="Times New Roman"/>
                <w:sz w:val="20"/>
              </w:rPr>
            </w:pPr>
            <w:r>
              <w:rPr>
                <w:rFonts w:ascii="Times New Roman" w:hAnsi="Times New Roman"/>
                <w:sz w:val="20"/>
              </w:rPr>
              <w:t xml:space="preserve">В целях изготовления проектно-сметной документации размер субсидии рассчитывается на основании </w:t>
            </w:r>
            <w:r>
              <w:rPr>
                <w:rFonts w:ascii="Times New Roman" w:hAnsi="Times New Roman"/>
                <w:sz w:val="20"/>
              </w:rPr>
              <w:t>коммерческих предложений (не менее трех), которые подтверждаются расчетом ПИР (проектно-изыскательных работ).</w:t>
            </w:r>
          </w:p>
          <w:p w14:paraId="A8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 (не менее трех)</w:t>
            </w:r>
          </w:p>
          <w:p w14:paraId="A9000000">
            <w:pPr>
              <w:spacing w:after="0" w:line="240" w:lineRule="auto"/>
              <w:ind/>
              <w:jc w:val="both"/>
              <w:rPr>
                <w:rFonts w:ascii="Times New Roman" w:hAnsi="Times New Roman"/>
                <w:sz w:val="20"/>
              </w:rPr>
            </w:pPr>
          </w:p>
          <w:p w14:paraId="AA000000">
            <w:pPr>
              <w:spacing w:after="0" w:line="240" w:lineRule="auto"/>
              <w:ind/>
              <w:jc w:val="both"/>
              <w:rPr>
                <w:rFonts w:ascii="Times New Roman" w:hAnsi="Times New Roman"/>
                <w:sz w:val="20"/>
              </w:rPr>
            </w:pPr>
          </w:p>
        </w:tc>
        <w:tc>
          <w:tcPr>
            <w:tcW w:type="dxa" w:w="21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w:t>
            </w:r>
            <w:r>
              <w:rPr>
                <w:rFonts w:ascii="Times New Roman" w:hAnsi="Times New Roman"/>
                <w:sz w:val="20"/>
              </w:rPr>
              <w:t xml:space="preserve"> ремонта, </w:t>
            </w:r>
            <w:r>
              <w:rPr>
                <w:rFonts w:ascii="Times New Roman" w:hAnsi="Times New Roman"/>
                <w:sz w:val="20"/>
              </w:rPr>
              <w:t>капитального ремонта,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w:t>
            </w:r>
            <w:r>
              <w:rPr>
                <w:rFonts w:ascii="Times New Roman" w:hAnsi="Times New Roman"/>
                <w:sz w:val="20"/>
              </w:rPr>
              <w:t>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AC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не менее трех коммерческих предложений, подтвержде</w:t>
            </w:r>
            <w:r>
              <w:rPr>
                <w:rFonts w:ascii="Times New Roman" w:hAnsi="Times New Roman"/>
                <w:sz w:val="20"/>
              </w:rPr>
              <w:t>нных расчетом ПИР (проектно-изыскательных работ.</w:t>
            </w:r>
          </w:p>
          <w:p w14:paraId="AD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spacing w:after="0"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spacing w:after="0"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w:t>
            </w:r>
            <w:r>
              <w:rPr>
                <w:rFonts w:ascii="Times New Roman" w:hAnsi="Times New Roman"/>
                <w:sz w:val="20"/>
              </w:rPr>
              <w:t>варов, от общего объема работ, услуг, товаров, указанного в Соглашении</w:t>
            </w:r>
          </w:p>
        </w:tc>
      </w:tr>
      <w:tr>
        <w:tc>
          <w:tcPr>
            <w:tcW w:type="dxa" w:w="560"/>
            <w:tcBorders>
              <w:left w:color="000000" w:sz="4" w:val="single"/>
              <w:bottom w:color="000000" w:sz="4" w:val="single"/>
              <w:right w:color="000000" w:sz="4" w:val="single"/>
            </w:tcBorders>
            <w:tcMar>
              <w:top w:type="dxa" w:w="102"/>
              <w:left w:type="dxa" w:w="62"/>
              <w:bottom w:type="dxa" w:w="102"/>
              <w:right w:type="dxa" w:w="62"/>
            </w:tcMar>
          </w:tcPr>
          <w:p w14:paraId="B0000000">
            <w:pPr>
              <w:spacing w:after="0" w:line="240" w:lineRule="auto"/>
              <w:ind/>
              <w:jc w:val="both"/>
              <w:rPr>
                <w:rFonts w:ascii="Times New Roman" w:hAnsi="Times New Roman"/>
                <w:sz w:val="20"/>
              </w:rPr>
            </w:pPr>
            <w:r>
              <w:rPr>
                <w:rFonts w:ascii="Times New Roman" w:hAnsi="Times New Roman"/>
                <w:sz w:val="20"/>
              </w:rPr>
              <w:t>1.68.</w:t>
            </w:r>
          </w:p>
        </w:tc>
        <w:tc>
          <w:tcPr>
            <w:tcW w:type="dxa" w:w="1705"/>
            <w:tcBorders>
              <w:left w:color="000000" w:sz="4" w:val="single"/>
              <w:bottom w:color="000000" w:sz="4" w:val="single"/>
              <w:right w:color="000000" w:sz="4" w:val="single"/>
            </w:tcBorders>
            <w:tcMar>
              <w:top w:type="dxa" w:w="102"/>
              <w:left w:type="dxa" w:w="62"/>
              <w:bottom w:type="dxa" w:w="102"/>
              <w:right w:type="dxa" w:w="62"/>
            </w:tcMar>
          </w:tcPr>
          <w:p w14:paraId="B1000000">
            <w:pPr>
              <w:spacing w:after="0" w:line="240" w:lineRule="auto"/>
              <w:ind/>
              <w:jc w:val="both"/>
              <w:rPr>
                <w:rFonts w:ascii="Times New Roman" w:hAnsi="Times New Roman"/>
                <w:sz w:val="20"/>
              </w:rPr>
            </w:pPr>
            <w:r>
              <w:rPr>
                <w:rFonts w:ascii="Times New Roman" w:hAnsi="Times New Roman"/>
                <w:sz w:val="20"/>
              </w:rPr>
              <w:t>Ликвидация последствий стихийных бедствий (землетрясений), предотвращение аварийной (чрезвычайной) ситуации, ликвидация последствий и осуществление восстановительных работ в случае наступления аварийной (чрезвычайной) ситуации. Прочие расходы в целях восстановления социально значимых объектов Камчатского края, пострадавших в результате землетрясения</w:t>
            </w:r>
          </w:p>
        </w:tc>
        <w:tc>
          <w:tcPr>
            <w:tcW w:type="dxa" w:w="1916"/>
            <w:tcBorders>
              <w:left w:color="000000" w:sz="4" w:val="single"/>
              <w:bottom w:color="000000" w:sz="4" w:val="single"/>
              <w:right w:color="000000" w:sz="4" w:val="single"/>
            </w:tcBorders>
            <w:tcMar>
              <w:top w:type="dxa" w:w="102"/>
              <w:left w:type="dxa" w:w="62"/>
              <w:bottom w:type="dxa" w:w="102"/>
              <w:right w:type="dxa" w:w="62"/>
            </w:tcMar>
          </w:tcPr>
          <w:p w14:paraId="B2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размер субсидии рассчитывается на основании сметной документации.</w:t>
            </w:r>
          </w:p>
          <w:p w14:paraId="B3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размер субсидии рассчитывается на основании коммерческих предложений (не менее трех), которые подтверждаются расчетом ПИР (проектно-изыскательных работ).</w:t>
            </w:r>
          </w:p>
          <w:p w14:paraId="B4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 (не менее трех)</w:t>
            </w:r>
          </w:p>
        </w:tc>
        <w:tc>
          <w:tcPr>
            <w:tcW w:type="dxa" w:w="2176"/>
            <w:tcBorders>
              <w:left w:color="000000" w:sz="4" w:val="single"/>
              <w:bottom w:color="000000" w:sz="4" w:val="single"/>
              <w:right w:color="000000" w:sz="4" w:val="single"/>
            </w:tcBorders>
            <w:tcMar>
              <w:top w:type="dxa" w:w="102"/>
              <w:left w:type="dxa" w:w="62"/>
              <w:bottom w:type="dxa" w:w="102"/>
              <w:right w:type="dxa" w:w="62"/>
            </w:tcMar>
          </w:tcPr>
          <w:p w14:paraId="B5000000">
            <w:pPr>
              <w:spacing w:after="0" w:line="240" w:lineRule="auto"/>
              <w:ind/>
              <w:jc w:val="both"/>
              <w:rPr>
                <w:rFonts w:ascii="Times New Roman" w:hAnsi="Times New Roman"/>
                <w:sz w:val="20"/>
              </w:rPr>
            </w:pPr>
            <w:r>
              <w:rPr>
                <w:rFonts w:ascii="Times New Roman" w:hAnsi="Times New Roman"/>
                <w:sz w:val="20"/>
              </w:rPr>
              <w:t>В целях проведение текущего ремонта, капитального ремонта,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 учреждения, заключение государственной экспертизы. При стоимости работ свыше 5500,00 тысяч рублей для ремонтов, свыше 15 000,00 тысяч рублей для благоустройства предоставляется заключение государственной экспертизы.</w:t>
            </w:r>
          </w:p>
          <w:p w14:paraId="B6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не менее трех коммерческих предложений, подтвержденных расчетом ПИР (проектно-изыскательных работ.</w:t>
            </w:r>
          </w:p>
          <w:p w14:paraId="B7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left w:color="000000" w:sz="4" w:val="single"/>
              <w:bottom w:color="000000" w:sz="4" w:val="single"/>
              <w:right w:color="000000" w:sz="4" w:val="single"/>
            </w:tcBorders>
            <w:tcMar>
              <w:top w:type="dxa" w:w="102"/>
              <w:left w:type="dxa" w:w="62"/>
              <w:bottom w:type="dxa" w:w="102"/>
              <w:right w:type="dxa" w:w="62"/>
            </w:tcMar>
          </w:tcPr>
          <w:p w14:paraId="B8000000">
            <w:pPr>
              <w:spacing w:after="0" w:line="240" w:lineRule="auto"/>
              <w:ind/>
              <w:jc w:val="both"/>
              <w:rPr>
                <w:rFonts w:ascii="Times New Roman" w:hAnsi="Times New Roman"/>
                <w:sz w:val="20"/>
              </w:rPr>
            </w:pPr>
            <w:r>
              <w:rPr>
                <w:rFonts w:ascii="Times New Roman" w:hAnsi="Times New Roman"/>
                <w:sz w:val="20"/>
              </w:rPr>
              <w:t>Количество восстановленых объектов</w:t>
            </w:r>
          </w:p>
        </w:tc>
        <w:tc>
          <w:tcPr>
            <w:tcW w:type="dxa" w:w="1779"/>
            <w:tcBorders>
              <w:left w:color="000000" w:sz="4" w:val="single"/>
              <w:bottom w:color="000000" w:sz="4" w:val="single"/>
              <w:right w:color="000000" w:sz="4" w:val="single"/>
            </w:tcBorders>
            <w:tcMar>
              <w:top w:type="dxa" w:w="102"/>
              <w:left w:type="dxa" w:w="62"/>
              <w:bottom w:type="dxa" w:w="102"/>
              <w:right w:type="dxa" w:w="62"/>
            </w:tcMar>
          </w:tcPr>
          <w:p w14:paraId="B9000000">
            <w:pPr>
              <w:spacing w:after="0" w:line="240" w:lineRule="auto"/>
              <w:ind/>
              <w:jc w:val="both"/>
              <w:rPr>
                <w:rFonts w:ascii="Times New Roman" w:hAnsi="Times New Roman"/>
                <w:sz w:val="20"/>
              </w:rPr>
            </w:pPr>
            <w:r>
              <w:rPr>
                <w:rFonts w:ascii="Times New Roman" w:hAnsi="Times New Roman"/>
                <w:sz w:val="20"/>
              </w:rPr>
              <w:t>Доля востановленных объектов от общего количества объектов, указанных в Соглашении</w:t>
            </w:r>
          </w:p>
        </w:tc>
      </w:tr>
      <w:tr>
        <w:trPr>
          <w:trHeight w:hRule="atLeast" w:val="4045"/>
        </w:trPr>
        <w:tc>
          <w:tcPr>
            <w:tcW w:type="dxa" w:w="560"/>
            <w:tcBorders>
              <w:left w:color="000000" w:sz="4" w:val="single"/>
              <w:bottom w:color="000000" w:sz="4" w:val="single"/>
              <w:right w:color="000000" w:sz="4" w:val="single"/>
            </w:tcBorders>
            <w:tcMar>
              <w:top w:type="dxa" w:w="102"/>
              <w:left w:type="dxa" w:w="62"/>
              <w:bottom w:type="dxa" w:w="102"/>
              <w:right w:type="dxa" w:w="62"/>
            </w:tcMar>
          </w:tcPr>
          <w:p w14:paraId="BA000000">
            <w:pPr>
              <w:spacing w:after="0" w:line="240" w:lineRule="auto"/>
              <w:ind/>
              <w:jc w:val="both"/>
              <w:rPr>
                <w:rFonts w:ascii="Times New Roman" w:hAnsi="Times New Roman"/>
                <w:sz w:val="20"/>
              </w:rPr>
            </w:pPr>
            <w:r>
              <w:rPr>
                <w:rFonts w:ascii="Times New Roman" w:hAnsi="Times New Roman"/>
                <w:sz w:val="20"/>
              </w:rPr>
              <w:t>1.69.</w:t>
            </w:r>
          </w:p>
        </w:tc>
        <w:tc>
          <w:tcPr>
            <w:tcW w:type="dxa" w:w="1705"/>
            <w:tcBorders>
              <w:left w:color="000000" w:sz="4" w:val="single"/>
              <w:bottom w:color="000000" w:sz="4" w:val="single"/>
              <w:right w:color="000000" w:sz="4" w:val="single"/>
            </w:tcBorders>
            <w:tcMar>
              <w:top w:type="dxa" w:w="102"/>
              <w:left w:type="dxa" w:w="62"/>
              <w:bottom w:type="dxa" w:w="102"/>
              <w:right w:type="dxa" w:w="62"/>
            </w:tcMar>
          </w:tcPr>
          <w:p w14:paraId="BB000000">
            <w:pPr>
              <w:spacing w:after="0" w:line="240" w:lineRule="auto"/>
              <w:ind/>
              <w:jc w:val="both"/>
              <w:rPr>
                <w:rFonts w:ascii="Times New Roman" w:hAnsi="Times New Roman"/>
                <w:sz w:val="20"/>
              </w:rPr>
            </w:pPr>
            <w:r>
              <w:rPr>
                <w:rFonts w:ascii="Times New Roman" w:hAnsi="Times New Roman"/>
                <w:sz w:val="20"/>
              </w:rPr>
              <w:t>Экспертное сопровождение результатов инженерных изысканий и (или) разделов проектной документации объекта капитального строительства</w:t>
            </w:r>
          </w:p>
        </w:tc>
        <w:tc>
          <w:tcPr>
            <w:tcW w:type="dxa" w:w="1916"/>
            <w:tcBorders>
              <w:left w:color="000000" w:sz="4" w:val="single"/>
              <w:bottom w:color="000000" w:sz="4" w:val="single"/>
              <w:right w:color="000000" w:sz="4" w:val="single"/>
            </w:tcBorders>
            <w:tcMar>
              <w:top w:type="dxa" w:w="102"/>
              <w:left w:type="dxa" w:w="62"/>
              <w:bottom w:type="dxa" w:w="102"/>
              <w:right w:type="dxa" w:w="62"/>
            </w:tcMar>
          </w:tcPr>
          <w:p w14:paraId="BC000000">
            <w:pPr>
              <w:spacing w:after="0" w:line="240" w:lineRule="auto"/>
              <w:ind/>
              <w:jc w:val="both"/>
              <w:rPr>
                <w:rFonts w:ascii="Times New Roman" w:hAnsi="Times New Roman"/>
                <w:sz w:val="20"/>
              </w:rPr>
            </w:pPr>
            <w:r>
              <w:rPr>
                <w:rFonts w:ascii="Times New Roman" w:hAnsi="Times New Roman"/>
                <w:sz w:val="20"/>
              </w:rPr>
              <w:t xml:space="preserve">Размер </w:t>
            </w:r>
            <w:r>
              <w:rPr>
                <w:rFonts w:ascii="Times New Roman" w:hAnsi="Times New Roman"/>
                <w:sz w:val="20"/>
              </w:rPr>
              <w:t>субсидии рассчитывается</w:t>
            </w:r>
            <w:r>
              <w:rPr>
                <w:rFonts w:ascii="Times New Roman" w:hAnsi="Times New Roman"/>
                <w:sz w:val="20"/>
              </w:rPr>
              <w:tab/>
            </w:r>
            <w:r>
              <w:rPr>
                <w:rFonts w:ascii="Times New Roman" w:hAnsi="Times New Roman"/>
                <w:sz w:val="20"/>
              </w:rPr>
              <w:t>в соответствии с пунктами 35-36 Постановления Правительства Российской Федерации от 06.05.2023 № 717 “Об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w:t>
            </w:r>
          </w:p>
        </w:tc>
        <w:tc>
          <w:tcPr>
            <w:tcW w:type="dxa" w:w="2176"/>
            <w:tcBorders>
              <w:left w:color="000000" w:sz="4" w:val="single"/>
              <w:bottom w:color="000000" w:sz="4" w:val="single"/>
              <w:right w:color="000000" w:sz="4" w:val="single"/>
            </w:tcBorders>
            <w:tcMar>
              <w:top w:type="dxa" w:w="102"/>
              <w:left w:type="dxa" w:w="62"/>
              <w:bottom w:type="dxa" w:w="102"/>
              <w:right w:type="dxa" w:w="62"/>
            </w:tcMar>
          </w:tcPr>
          <w:p w14:paraId="BD000000">
            <w:pPr>
              <w:spacing w:after="0" w:line="240" w:lineRule="auto"/>
              <w:ind/>
              <w:jc w:val="both"/>
              <w:rPr>
                <w:rFonts w:ascii="Times New Roman" w:hAnsi="Times New Roman"/>
                <w:sz w:val="20"/>
              </w:rPr>
            </w:pPr>
            <w:r>
              <w:rPr>
                <w:rFonts w:ascii="Times New Roman" w:hAnsi="Times New Roman"/>
                <w:sz w:val="20"/>
              </w:rPr>
              <w:t>Предварительный расчет</w:t>
            </w:r>
          </w:p>
        </w:tc>
        <w:tc>
          <w:tcPr>
            <w:tcW w:type="dxa" w:w="1502"/>
            <w:tcBorders>
              <w:left w:color="000000" w:sz="4" w:val="single"/>
              <w:bottom w:color="000000" w:sz="4" w:val="single"/>
              <w:right w:color="000000" w:sz="4" w:val="single"/>
            </w:tcBorders>
            <w:tcMar>
              <w:top w:type="dxa" w:w="102"/>
              <w:left w:type="dxa" w:w="62"/>
              <w:bottom w:type="dxa" w:w="102"/>
              <w:right w:type="dxa" w:w="62"/>
            </w:tcMar>
          </w:tcPr>
          <w:p w14:paraId="BE000000">
            <w:pPr>
              <w:spacing w:after="0" w:line="240" w:lineRule="auto"/>
              <w:ind/>
              <w:jc w:val="both"/>
              <w:rPr>
                <w:rFonts w:ascii="Times New Roman" w:hAnsi="Times New Roman"/>
                <w:sz w:val="20"/>
              </w:rPr>
            </w:pPr>
            <w:r>
              <w:rPr>
                <w:rFonts w:ascii="Times New Roman" w:hAnsi="Times New Roman"/>
                <w:sz w:val="20"/>
              </w:rPr>
              <w:t>Количество проведенных экспертных сопровождений</w:t>
            </w:r>
          </w:p>
        </w:tc>
        <w:tc>
          <w:tcPr>
            <w:tcW w:type="dxa" w:w="1779"/>
            <w:tcBorders>
              <w:left w:color="000000" w:sz="4" w:val="single"/>
              <w:bottom w:color="000000" w:sz="4" w:val="single"/>
              <w:right w:color="000000" w:sz="4" w:val="single"/>
            </w:tcBorders>
            <w:tcMar>
              <w:top w:type="dxa" w:w="102"/>
              <w:left w:type="dxa" w:w="62"/>
              <w:bottom w:type="dxa" w:w="102"/>
              <w:right w:type="dxa" w:w="62"/>
            </w:tcMar>
          </w:tcPr>
          <w:p w14:paraId="BF000000">
            <w:pPr>
              <w:spacing w:after="0" w:line="240" w:lineRule="auto"/>
              <w:ind/>
              <w:jc w:val="both"/>
              <w:rPr>
                <w:rFonts w:ascii="Times New Roman" w:hAnsi="Times New Roman"/>
                <w:sz w:val="20"/>
              </w:rPr>
            </w:pPr>
            <w:r>
              <w:rPr>
                <w:rFonts w:ascii="Times New Roman" w:hAnsi="Times New Roman"/>
                <w:sz w:val="20"/>
              </w:rPr>
              <w:t>Доля проведенных экспертных сопровождений от общего количества экспертных сопровождений, указанных в Соглашении</w:t>
            </w:r>
            <w:bookmarkStart w:id="3" w:name="_GoBack"/>
            <w:bookmarkEnd w:id="3"/>
          </w:p>
        </w:tc>
      </w:tr>
    </w:tbl>
    <w:p w14:paraId="C0000000">
      <w:pPr>
        <w:spacing w:after="0" w:line="240" w:lineRule="auto"/>
        <w:ind w:firstLine="709" w:left="0"/>
        <w:jc w:val="right"/>
        <w:rPr>
          <w:rFonts w:ascii="Times New Roman" w:hAnsi="Times New Roman"/>
          <w:sz w:val="28"/>
        </w:rPr>
      </w:pPr>
      <w:r>
        <w:rPr>
          <w:rFonts w:ascii="Times New Roman" w:hAnsi="Times New Roman"/>
          <w:sz w:val="28"/>
        </w:rPr>
        <w:t>»;</w:t>
      </w:r>
    </w:p>
    <w:p w14:paraId="C1000000">
      <w:pPr>
        <w:spacing w:after="0" w:line="240" w:lineRule="auto"/>
        <w:ind w:firstLine="709" w:left="0"/>
        <w:jc w:val="both"/>
        <w:rPr>
          <w:rFonts w:ascii="Times New Roman" w:hAnsi="Times New Roman"/>
          <w:sz w:val="28"/>
        </w:rPr>
      </w:pPr>
      <w:r>
        <w:rPr>
          <w:rFonts w:ascii="Times New Roman" w:hAnsi="Times New Roman"/>
          <w:sz w:val="28"/>
        </w:rPr>
        <w:t>8) строки 4.1 и 4.2 признать утратившими силу;</w:t>
      </w:r>
    </w:p>
    <w:p w14:paraId="C2000000">
      <w:pPr>
        <w:spacing w:after="0" w:line="240" w:lineRule="auto"/>
        <w:ind w:firstLine="709" w:left="0"/>
        <w:jc w:val="both"/>
        <w:rPr>
          <w:rFonts w:ascii="Times New Roman" w:hAnsi="Times New Roman"/>
          <w:sz w:val="28"/>
        </w:rPr>
      </w:pPr>
      <w:r>
        <w:rPr>
          <w:rFonts w:ascii="Times New Roman" w:hAnsi="Times New Roman"/>
          <w:sz w:val="28"/>
        </w:rPr>
        <w:t xml:space="preserve">9) сроку </w:t>
      </w:r>
      <w:r>
        <w:rPr>
          <w:rFonts w:ascii="Times New Roman" w:hAnsi="Times New Roman"/>
          <w:sz w:val="28"/>
        </w:rPr>
        <w:t>4.3 изложить в следующей редакции:</w:t>
      </w:r>
    </w:p>
    <w:p w14:paraId="C3000000">
      <w:pPr>
        <w:spacing w:after="0" w:line="240" w:lineRule="auto"/>
        <w:ind/>
        <w:jc w:val="both"/>
        <w:rPr>
          <w:rFonts w:ascii="Times New Roman" w:hAnsi="Times New Roman"/>
          <w:sz w:val="28"/>
        </w:rPr>
      </w:pPr>
      <w:r>
        <w:rPr>
          <w:rFonts w:ascii="Times New Roman" w:hAnsi="Times New Roman"/>
          <w:sz w:val="28"/>
        </w:rPr>
        <w:t>«</w:t>
      </w:r>
    </w:p>
    <w:tbl>
      <w:tblPr>
        <w:tblStyle w:val="Style_2"/>
        <w:tblW w:type="auto" w:w="0"/>
        <w:tblLayout w:type="fixed"/>
        <w:tblCellMar>
          <w:top w:type="dxa" w:w="102"/>
          <w:left w:type="dxa" w:w="62"/>
          <w:bottom w:type="dxa" w:w="102"/>
          <w:right w:type="dxa" w:w="62"/>
        </w:tblCellMar>
      </w:tblPr>
      <w:tblGrid>
        <w:gridCol w:w="545"/>
        <w:gridCol w:w="1706"/>
        <w:gridCol w:w="1914"/>
        <w:gridCol w:w="2192"/>
        <w:gridCol w:w="1502"/>
        <w:gridCol w:w="1779"/>
      </w:tblGrid>
      <w:tr>
        <w:tc>
          <w:tcPr>
            <w:tcW w:type="dxa" w:w="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00000">
            <w:pPr>
              <w:spacing w:after="0" w:line="240" w:lineRule="auto"/>
              <w:ind/>
              <w:jc w:val="both"/>
              <w:rPr>
                <w:rFonts w:ascii="Times New Roman" w:hAnsi="Times New Roman"/>
                <w:sz w:val="20"/>
              </w:rPr>
            </w:pPr>
            <w:r>
              <w:rPr>
                <w:rFonts w:ascii="Times New Roman" w:hAnsi="Times New Roman"/>
                <w:sz w:val="20"/>
              </w:rPr>
              <w:t>4.3.</w:t>
            </w:r>
          </w:p>
        </w:tc>
        <w:tc>
          <w:tcPr>
            <w:tcW w:type="dxa" w:w="1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00000">
            <w:pPr>
              <w:spacing w:after="0" w:line="240" w:lineRule="auto"/>
              <w:ind/>
              <w:jc w:val="both"/>
              <w:rPr>
                <w:rFonts w:ascii="Times New Roman" w:hAnsi="Times New Roman"/>
                <w:sz w:val="20"/>
              </w:rPr>
            </w:pPr>
            <w:r>
              <w:rPr>
                <w:rFonts w:ascii="Times New Roman" w:hAnsi="Times New Roman"/>
                <w:sz w:val="20"/>
              </w:rPr>
              <w:t>Мероприятия, направленные на обеспечение комплексной безопасности краевых государственных учреждений социальной сферы. Обеспечение требований к антитеррористической защищенности объектов (территорий) образования. Мероприятия, направленные на снижени</w:t>
            </w:r>
            <w:r>
              <w:rPr>
                <w:rFonts w:ascii="Times New Roman" w:hAnsi="Times New Roman"/>
                <w:sz w:val="20"/>
              </w:rPr>
              <w:t>е рисков и смягчение последствий чрезвычайных ситуаций. Мероприятия, направленные на обеспечение защиты населения и территории Камчатского края от чрезвычайных ситуаций, обеспечение пожарной безопасности и развитие гражданской обороны</w:t>
            </w:r>
          </w:p>
        </w:tc>
        <w:tc>
          <w:tcPr>
            <w:tcW w:type="dxa" w:w="19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spacing w:after="0" w:line="240" w:lineRule="auto"/>
              <w:ind/>
              <w:jc w:val="both"/>
              <w:rPr>
                <w:rFonts w:ascii="Times New Roman" w:hAnsi="Times New Roman"/>
                <w:sz w:val="20"/>
              </w:rPr>
            </w:pPr>
            <w:r>
              <w:rPr>
                <w:rFonts w:ascii="Times New Roman" w:hAnsi="Times New Roman"/>
                <w:sz w:val="20"/>
              </w:rPr>
              <w:t>В целях проведение те</w:t>
            </w:r>
            <w:r>
              <w:rPr>
                <w:rFonts w:ascii="Times New Roman" w:hAnsi="Times New Roman"/>
                <w:sz w:val="20"/>
              </w:rPr>
              <w:t>кущего ремонта, капитального ремонта, благоустройства территории размер субсидии рассчитывается на основании сметной документации.</w:t>
            </w:r>
          </w:p>
          <w:p w14:paraId="C7000000">
            <w:pPr>
              <w:spacing w:after="0" w:line="240" w:lineRule="auto"/>
              <w:ind/>
              <w:jc w:val="both"/>
              <w:rPr>
                <w:rFonts w:ascii="Times New Roman" w:hAnsi="Times New Roman"/>
                <w:sz w:val="20"/>
              </w:rPr>
            </w:pPr>
            <w:r>
              <w:rPr>
                <w:rFonts w:ascii="Times New Roman" w:hAnsi="Times New Roman"/>
                <w:sz w:val="20"/>
              </w:rPr>
              <w:t xml:space="preserve">В целях изготовления проектно-сметной документации размер субсидии рассчитывается на основании коммерческих предложений (не </w:t>
            </w:r>
            <w:r>
              <w:rPr>
                <w:rFonts w:ascii="Times New Roman" w:hAnsi="Times New Roman"/>
                <w:sz w:val="20"/>
              </w:rPr>
              <w:t>менее трех), которые подтверждаются расчетом ПИР (проектно-изыскательных работ).</w:t>
            </w:r>
          </w:p>
          <w:p w14:paraId="C8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размер субсидии рассчитывается на основании коммерческих предложений (не менее трех)</w:t>
            </w:r>
          </w:p>
          <w:p w14:paraId="C9000000">
            <w:pPr>
              <w:spacing w:after="0" w:line="240" w:lineRule="auto"/>
              <w:ind/>
              <w:jc w:val="both"/>
              <w:rPr>
                <w:rFonts w:ascii="Times New Roman" w:hAnsi="Times New Roman"/>
                <w:sz w:val="20"/>
              </w:rPr>
            </w:pPr>
          </w:p>
          <w:p w14:paraId="CA000000">
            <w:pPr>
              <w:spacing w:after="0" w:line="240" w:lineRule="auto"/>
              <w:ind/>
              <w:jc w:val="both"/>
              <w:rPr>
                <w:rFonts w:ascii="Times New Roman" w:hAnsi="Times New Roman"/>
                <w:sz w:val="20"/>
              </w:rPr>
            </w:pPr>
          </w:p>
        </w:tc>
        <w:tc>
          <w:tcPr>
            <w:tcW w:type="dxa" w:w="21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spacing w:after="0" w:line="240" w:lineRule="auto"/>
              <w:ind/>
              <w:jc w:val="both"/>
              <w:rPr>
                <w:rFonts w:ascii="Times New Roman" w:hAnsi="Times New Roman"/>
                <w:sz w:val="20"/>
              </w:rPr>
            </w:pPr>
            <w:r>
              <w:rPr>
                <w:rFonts w:ascii="Times New Roman" w:hAnsi="Times New Roman"/>
                <w:sz w:val="20"/>
              </w:rPr>
              <w:t xml:space="preserve"> В целях проведение текущего ремонта, </w:t>
            </w:r>
            <w:r>
              <w:rPr>
                <w:rFonts w:ascii="Times New Roman" w:hAnsi="Times New Roman"/>
                <w:sz w:val="20"/>
              </w:rPr>
              <w:t>капитального ремонт</w:t>
            </w:r>
            <w:r>
              <w:rPr>
                <w:rFonts w:ascii="Times New Roman" w:hAnsi="Times New Roman"/>
                <w:sz w:val="20"/>
              </w:rPr>
              <w:t>а, благоустройства территории: сметная документация со сроком не позднее четвертого квартала предшествующего финансового года, ведомость объема работ, дефектный акт учреждения, заключение</w:t>
            </w:r>
            <w:r>
              <w:rPr>
                <w:rFonts w:ascii="Times New Roman" w:hAnsi="Times New Roman"/>
                <w:sz w:val="20"/>
              </w:rPr>
              <w:t xml:space="preserve"> государственной экспертизы. При стоимости работ свыше 5500,00 тысяч </w:t>
            </w:r>
            <w:r>
              <w:rPr>
                <w:rFonts w:ascii="Times New Roman" w:hAnsi="Times New Roman"/>
                <w:sz w:val="20"/>
              </w:rPr>
              <w:t>рублей для ремонтов, свыше 15 000,00 тысяч рублей для благоустройства предоставляется заключение государственной экспертизы.</w:t>
            </w:r>
          </w:p>
          <w:p w14:paraId="CC000000">
            <w:pPr>
              <w:spacing w:after="0" w:line="240" w:lineRule="auto"/>
              <w:ind/>
              <w:jc w:val="both"/>
              <w:rPr>
                <w:rFonts w:ascii="Times New Roman" w:hAnsi="Times New Roman"/>
                <w:sz w:val="20"/>
              </w:rPr>
            </w:pPr>
            <w:r>
              <w:rPr>
                <w:rFonts w:ascii="Times New Roman" w:hAnsi="Times New Roman"/>
                <w:sz w:val="20"/>
              </w:rPr>
              <w:t>В целях изготовления проектно-сметной документации: не менее трех коммерческих предложений, подтвержденных расчетом ПИР (проектно-и</w:t>
            </w:r>
            <w:r>
              <w:rPr>
                <w:rFonts w:ascii="Times New Roman" w:hAnsi="Times New Roman"/>
                <w:sz w:val="20"/>
              </w:rPr>
              <w:t>зыскательных работ.</w:t>
            </w:r>
          </w:p>
          <w:p w14:paraId="CD000000">
            <w:pPr>
              <w:spacing w:after="0" w:line="240" w:lineRule="auto"/>
              <w:ind/>
              <w:jc w:val="both"/>
              <w:rPr>
                <w:rFonts w:ascii="Times New Roman" w:hAnsi="Times New Roman"/>
                <w:sz w:val="20"/>
              </w:rPr>
            </w:pPr>
            <w:r>
              <w:rPr>
                <w:rFonts w:ascii="Times New Roman" w:hAnsi="Times New Roman"/>
                <w:sz w:val="20"/>
              </w:rPr>
              <w:t>В целях приобретения имущества: коммерческие предложения текущего года (не менее трех)</w:t>
            </w:r>
          </w:p>
        </w:tc>
        <w:tc>
          <w:tcPr>
            <w:tcW w:type="dxa" w:w="15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spacing w:line="240" w:lineRule="auto"/>
              <w:ind/>
              <w:jc w:val="both"/>
              <w:rPr>
                <w:rFonts w:ascii="Times New Roman" w:hAnsi="Times New Roman"/>
                <w:sz w:val="20"/>
              </w:rPr>
            </w:pPr>
            <w:r>
              <w:rPr>
                <w:rFonts w:ascii="Times New Roman" w:hAnsi="Times New Roman"/>
                <w:sz w:val="20"/>
              </w:rPr>
              <w:t>Количество единиц имущества, количество выполненных работ/услуг.</w:t>
            </w:r>
          </w:p>
        </w:tc>
        <w:tc>
          <w:tcPr>
            <w:tcW w:type="dxa" w:w="17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spacing w:after="0" w:line="240" w:lineRule="auto"/>
              <w:ind/>
              <w:jc w:val="both"/>
              <w:rPr>
                <w:rFonts w:ascii="Times New Roman" w:hAnsi="Times New Roman"/>
                <w:sz w:val="20"/>
              </w:rPr>
            </w:pPr>
            <w:r>
              <w:rPr>
                <w:rFonts w:ascii="Times New Roman" w:hAnsi="Times New Roman"/>
                <w:sz w:val="20"/>
              </w:rPr>
              <w:t>Доля принятых работ, полученных услуг, приобретенных товаров, от общего объема работ</w:t>
            </w:r>
            <w:r>
              <w:rPr>
                <w:rFonts w:ascii="Times New Roman" w:hAnsi="Times New Roman"/>
                <w:sz w:val="20"/>
              </w:rPr>
              <w:t xml:space="preserve">, услуг, товаров, указанного в Соглашении. Доля участников мероприятия указанного в Соглашении </w:t>
            </w:r>
          </w:p>
          <w:p w14:paraId="D0000000">
            <w:pPr>
              <w:spacing w:line="240" w:lineRule="auto"/>
              <w:ind/>
              <w:jc w:val="both"/>
              <w:rPr>
                <w:rFonts w:ascii="Times New Roman" w:hAnsi="Times New Roman"/>
                <w:sz w:val="20"/>
              </w:rPr>
            </w:pPr>
          </w:p>
        </w:tc>
      </w:tr>
    </w:tbl>
    <w:p w14:paraId="D1000000">
      <w:pPr>
        <w:spacing w:after="0" w:line="240" w:lineRule="auto"/>
        <w:ind/>
        <w:jc w:val="right"/>
        <w:rPr>
          <w:rFonts w:ascii="Times New Roman" w:hAnsi="Times New Roman"/>
          <w:sz w:val="28"/>
        </w:rPr>
      </w:pPr>
      <w:r>
        <w:rPr>
          <w:rFonts w:ascii="Times New Roman" w:hAnsi="Times New Roman"/>
          <w:sz w:val="28"/>
        </w:rPr>
        <w:t>»;</w:t>
      </w:r>
    </w:p>
    <w:p w14:paraId="D2000000">
      <w:pPr>
        <w:spacing w:after="0" w:line="240" w:lineRule="auto"/>
        <w:ind w:firstLine="709" w:left="0"/>
        <w:jc w:val="both"/>
        <w:rPr>
          <w:rFonts w:ascii="Times New Roman" w:hAnsi="Times New Roman"/>
          <w:sz w:val="28"/>
        </w:rPr>
      </w:pPr>
      <w:r>
        <w:rPr>
          <w:rFonts w:ascii="Times New Roman" w:hAnsi="Times New Roman"/>
          <w:sz w:val="28"/>
        </w:rPr>
        <w:t>10) строки 7 и 7.1 признать утратившими силу.</w:t>
      </w:r>
    </w:p>
    <w:sectPr>
      <w:headerReference r:id="rId1" w:type="default"/>
      <w:pgSz w:h="16838" w:orient="portrait" w:w="11906"/>
      <w:pgMar w:bottom="1134" w:footer="0" w:gutter="0" w:header="709" w:left="1418"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160" w:line="264" w:lineRule="auto"/>
      <w:ind/>
    </w:pPr>
  </w:style>
  <w:style w:default="1" w:styleId="Style_4_ch" w:type="character">
    <w:name w:val="Normal"/>
    <w:link w:val="Style_4"/>
  </w:style>
  <w:style w:styleId="Style_5" w:type="paragraph">
    <w:name w:val="toc 2"/>
    <w:next w:val="Style_4"/>
    <w:link w:val="Style_5_ch"/>
    <w:uiPriority w:val="39"/>
    <w:pPr>
      <w:spacing w:after="160" w:line="264" w:lineRule="auto"/>
      <w:ind w:firstLine="0" w:left="200"/>
    </w:pPr>
    <w:rPr>
      <w:rFonts w:ascii="XO Thames" w:hAnsi="XO Thames"/>
      <w:sz w:val="28"/>
    </w:rPr>
  </w:style>
  <w:style w:styleId="Style_5_ch" w:type="character">
    <w:name w:val="toc 2"/>
    <w:link w:val="Style_5"/>
    <w:rPr>
      <w:rFonts w:ascii="XO Thames" w:hAnsi="XO Thames"/>
      <w:sz w:val="28"/>
    </w:rPr>
  </w:style>
  <w:style w:styleId="Style_6" w:type="paragraph">
    <w:name w:val="Contents 9"/>
    <w:link w:val="Style_6_ch"/>
    <w:rPr>
      <w:rFonts w:ascii="XO Thames" w:hAnsi="XO Thames"/>
      <w:sz w:val="28"/>
    </w:rPr>
  </w:style>
  <w:style w:styleId="Style_6_ch" w:type="character">
    <w:name w:val="Contents 9"/>
    <w:link w:val="Style_6"/>
    <w:rPr>
      <w:rFonts w:ascii="XO Thames" w:hAnsi="XO Thames"/>
      <w:sz w:val="28"/>
    </w:rPr>
  </w:style>
  <w:style w:styleId="Style_7" w:type="paragraph">
    <w:name w:val="Endnote1"/>
    <w:link w:val="Style_7_ch"/>
    <w:pPr>
      <w:spacing w:after="160" w:line="264" w:lineRule="auto"/>
      <w:ind w:firstLine="851" w:left="0"/>
      <w:jc w:val="both"/>
    </w:pPr>
    <w:rPr>
      <w:rFonts w:ascii="XO Thames" w:hAnsi="XO Thames"/>
    </w:rPr>
  </w:style>
  <w:style w:styleId="Style_7_ch" w:type="character">
    <w:name w:val="Endnote1"/>
    <w:link w:val="Style_7"/>
    <w:rPr>
      <w:rFonts w:ascii="XO Thames" w:hAnsi="XO Thames"/>
    </w:rPr>
  </w:style>
  <w:style w:styleId="Style_8" w:type="paragraph">
    <w:name w:val="toc 4"/>
    <w:next w:val="Style_4"/>
    <w:link w:val="Style_8_ch"/>
    <w:uiPriority w:val="39"/>
    <w:pPr>
      <w:spacing w:after="160" w:line="264" w:lineRule="auto"/>
      <w:ind w:firstLine="0" w:left="600"/>
    </w:pPr>
    <w:rPr>
      <w:rFonts w:ascii="XO Thames" w:hAnsi="XO Thames"/>
      <w:sz w:val="28"/>
    </w:rPr>
  </w:style>
  <w:style w:styleId="Style_8_ch" w:type="character">
    <w:name w:val="toc 4"/>
    <w:link w:val="Style_8"/>
    <w:rPr>
      <w:rFonts w:ascii="XO Thames" w:hAnsi="XO Thames"/>
      <w:sz w:val="28"/>
    </w:rPr>
  </w:style>
  <w:style w:styleId="Style_9" w:type="paragraph">
    <w:name w:val="Heading 11"/>
    <w:link w:val="Style_9_ch"/>
    <w:rPr>
      <w:rFonts w:ascii="XO Thames" w:hAnsi="XO Thames"/>
      <w:b w:val="1"/>
      <w:sz w:val="32"/>
    </w:rPr>
  </w:style>
  <w:style w:styleId="Style_9_ch" w:type="character">
    <w:name w:val="Heading 11"/>
    <w:link w:val="Style_9"/>
    <w:rPr>
      <w:rFonts w:ascii="XO Thames" w:hAnsi="XO Thames"/>
      <w:b w:val="1"/>
      <w:sz w:val="32"/>
    </w:rPr>
  </w:style>
  <w:style w:styleId="Style_10" w:type="paragraph">
    <w:name w:val="toc 6"/>
    <w:next w:val="Style_4"/>
    <w:link w:val="Style_10_ch"/>
    <w:uiPriority w:val="39"/>
    <w:pPr>
      <w:spacing w:after="160" w:line="264" w:lineRule="auto"/>
      <w:ind w:firstLine="0"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4"/>
    <w:link w:val="Style_11_ch"/>
    <w:uiPriority w:val="39"/>
    <w:pPr>
      <w:spacing w:after="160" w:line="264" w:lineRule="auto"/>
      <w:ind w:firstLine="0" w:left="1200"/>
    </w:pPr>
    <w:rPr>
      <w:rFonts w:ascii="XO Thames" w:hAnsi="XO Thames"/>
      <w:sz w:val="28"/>
    </w:rPr>
  </w:style>
  <w:style w:styleId="Style_11_ch" w:type="character">
    <w:name w:val="toc 7"/>
    <w:link w:val="Style_11"/>
    <w:rPr>
      <w:rFonts w:ascii="XO Thames" w:hAnsi="XO Thames"/>
      <w:sz w:val="28"/>
    </w:rPr>
  </w:style>
  <w:style w:styleId="Style_12" w:type="paragraph">
    <w:name w:val="Title1"/>
    <w:link w:val="Style_12_ch"/>
    <w:rPr>
      <w:rFonts w:ascii="XO Thames" w:hAnsi="XO Thames"/>
      <w:b w:val="1"/>
      <w:caps w:val="1"/>
      <w:sz w:val="40"/>
    </w:rPr>
  </w:style>
  <w:style w:styleId="Style_12_ch" w:type="character">
    <w:name w:val="Title1"/>
    <w:link w:val="Style_12"/>
    <w:rPr>
      <w:rFonts w:ascii="XO Thames" w:hAnsi="XO Thames"/>
      <w:b w:val="1"/>
      <w:caps w:val="1"/>
      <w:sz w:val="40"/>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4"/>
    <w:link w:val="Style_14_ch"/>
    <w:uiPriority w:val="9"/>
    <w:qFormat/>
    <w:pPr>
      <w:spacing w:after="120" w:before="120" w:line="264" w:lineRule="auto"/>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Plain Text1"/>
    <w:basedOn w:val="Style_4"/>
    <w:link w:val="Style_15_ch"/>
    <w:pPr>
      <w:spacing w:after="0" w:line="240" w:lineRule="auto"/>
      <w:ind/>
    </w:pPr>
    <w:rPr>
      <w:rFonts w:ascii="Calibri" w:hAnsi="Calibri"/>
    </w:rPr>
  </w:style>
  <w:style w:styleId="Style_15_ch" w:type="character">
    <w:name w:val="Plain Text1"/>
    <w:basedOn w:val="Style_4_ch"/>
    <w:link w:val="Style_15"/>
    <w:rPr>
      <w:rFonts w:ascii="Calibri" w:hAnsi="Calibri"/>
    </w:rPr>
  </w:style>
  <w:style w:styleId="Style_16" w:type="paragraph">
    <w:name w:val="Contents 7"/>
    <w:link w:val="Style_16_ch"/>
    <w:rPr>
      <w:rFonts w:ascii="XO Thames" w:hAnsi="XO Thames"/>
      <w:sz w:val="28"/>
    </w:rPr>
  </w:style>
  <w:style w:styleId="Style_16_ch" w:type="character">
    <w:name w:val="Contents 7"/>
    <w:link w:val="Style_16"/>
    <w:rPr>
      <w:rFonts w:ascii="XO Thames" w:hAnsi="XO Thames"/>
      <w:sz w:val="28"/>
    </w:rPr>
  </w:style>
  <w:style w:styleId="Style_17" w:type="paragraph">
    <w:name w:val="index heading"/>
    <w:basedOn w:val="Style_4"/>
    <w:link w:val="Style_17_ch"/>
  </w:style>
  <w:style w:styleId="Style_17_ch" w:type="character">
    <w:name w:val="index heading"/>
    <w:basedOn w:val="Style_4_ch"/>
    <w:link w:val="Style_17"/>
  </w:style>
  <w:style w:styleId="Style_18" w:type="paragraph">
    <w:name w:val="Колонтитул"/>
    <w:link w:val="Style_18_ch"/>
    <w:pPr>
      <w:spacing w:after="160"/>
      <w:ind/>
      <w:jc w:val="both"/>
    </w:pPr>
    <w:rPr>
      <w:rFonts w:ascii="XO Thames" w:hAnsi="XO Thames"/>
      <w:sz w:val="28"/>
    </w:rPr>
  </w:style>
  <w:style w:styleId="Style_18_ch" w:type="character">
    <w:name w:val="Колонтитул"/>
    <w:link w:val="Style_18"/>
    <w:rPr>
      <w:rFonts w:ascii="XO Thames" w:hAnsi="XO Thames"/>
      <w:sz w:val="28"/>
    </w:rPr>
  </w:style>
  <w:style w:styleId="Style_19" w:type="paragraph">
    <w:name w:val="Contents 1"/>
    <w:link w:val="Style_19_ch"/>
    <w:rPr>
      <w:rFonts w:ascii="XO Thames" w:hAnsi="XO Thames"/>
      <w:b w:val="1"/>
      <w:sz w:val="28"/>
    </w:rPr>
  </w:style>
  <w:style w:styleId="Style_19_ch" w:type="character">
    <w:name w:val="Contents 1"/>
    <w:link w:val="Style_19"/>
    <w:rPr>
      <w:rFonts w:ascii="XO Thames" w:hAnsi="XO Thames"/>
      <w:b w:val="1"/>
      <w:sz w:val="28"/>
    </w:rPr>
  </w:style>
  <w:style w:styleId="Style_20" w:type="paragraph">
    <w:name w:val="Contents 4"/>
    <w:link w:val="Style_20_ch"/>
    <w:rPr>
      <w:rFonts w:ascii="XO Thames" w:hAnsi="XO Thames"/>
      <w:sz w:val="28"/>
    </w:rPr>
  </w:style>
  <w:style w:styleId="Style_20_ch" w:type="character">
    <w:name w:val="Contents 4"/>
    <w:link w:val="Style_20"/>
    <w:rPr>
      <w:rFonts w:ascii="XO Thames" w:hAnsi="XO Thames"/>
      <w:sz w:val="28"/>
    </w:rPr>
  </w:style>
  <w:style w:styleId="Style_21" w:type="paragraph">
    <w:name w:val="Heading 41"/>
    <w:link w:val="Style_21_ch"/>
    <w:rPr>
      <w:rFonts w:ascii="XO Thames" w:hAnsi="XO Thames"/>
      <w:b w:val="1"/>
      <w:sz w:val="24"/>
    </w:rPr>
  </w:style>
  <w:style w:styleId="Style_21_ch" w:type="character">
    <w:name w:val="Heading 41"/>
    <w:link w:val="Style_21"/>
    <w:rPr>
      <w:rFonts w:ascii="XO Thames" w:hAnsi="XO Thames"/>
      <w:b w:val="1"/>
      <w:sz w:val="24"/>
    </w:rPr>
  </w:style>
  <w:style w:styleId="Style_22" w:type="paragraph">
    <w:name w:val="Balloon Text1"/>
    <w:basedOn w:val="Style_4"/>
    <w:link w:val="Style_22_ch"/>
    <w:pPr>
      <w:spacing w:after="0" w:line="240" w:lineRule="auto"/>
      <w:ind/>
    </w:pPr>
    <w:rPr>
      <w:rFonts w:ascii="Segoe UI" w:hAnsi="Segoe UI"/>
      <w:sz w:val="18"/>
    </w:rPr>
  </w:style>
  <w:style w:styleId="Style_22_ch" w:type="character">
    <w:name w:val="Balloon Text1"/>
    <w:basedOn w:val="Style_4_ch"/>
    <w:link w:val="Style_22"/>
    <w:rPr>
      <w:rFonts w:ascii="Segoe UI" w:hAnsi="Segoe UI"/>
      <w:sz w:val="18"/>
    </w:rPr>
  </w:style>
  <w:style w:styleId="Style_23" w:type="paragraph">
    <w:name w:val="Footer1"/>
    <w:link w:val="Style_23_ch"/>
    <w:rPr>
      <w:rFonts w:ascii="Times New Roman" w:hAnsi="Times New Roman"/>
      <w:sz w:val="28"/>
    </w:rPr>
  </w:style>
  <w:style w:styleId="Style_23_ch" w:type="character">
    <w:name w:val="Footer1"/>
    <w:link w:val="Style_23"/>
    <w:rPr>
      <w:rFonts w:ascii="Times New Roman" w:hAnsi="Times New Roman"/>
      <w:sz w:val="28"/>
    </w:rPr>
  </w:style>
  <w:style w:styleId="Style_24" w:type="paragraph">
    <w:name w:val="toc 3"/>
    <w:next w:val="Style_4"/>
    <w:link w:val="Style_24_ch"/>
    <w:uiPriority w:val="39"/>
    <w:pPr>
      <w:spacing w:after="160" w:line="264" w:lineRule="auto"/>
      <w:ind w:firstLine="0" w:left="400"/>
    </w:pPr>
    <w:rPr>
      <w:rFonts w:ascii="XO Thames" w:hAnsi="XO Thames"/>
      <w:sz w:val="28"/>
    </w:rPr>
  </w:style>
  <w:style w:styleId="Style_24_ch" w:type="character">
    <w:name w:val="toc 3"/>
    <w:link w:val="Style_24"/>
    <w:rPr>
      <w:rFonts w:ascii="XO Thames" w:hAnsi="XO Thames"/>
      <w:sz w:val="28"/>
    </w:rPr>
  </w:style>
  <w:style w:styleId="Style_25" w:type="paragraph">
    <w:name w:val="Contents 5"/>
    <w:link w:val="Style_25_ch"/>
    <w:rPr>
      <w:rFonts w:ascii="XO Thames" w:hAnsi="XO Thames"/>
      <w:sz w:val="28"/>
    </w:rPr>
  </w:style>
  <w:style w:styleId="Style_25_ch" w:type="character">
    <w:name w:val="Contents 5"/>
    <w:link w:val="Style_25"/>
    <w:rPr>
      <w:rFonts w:ascii="XO Thames" w:hAnsi="XO Thames"/>
      <w:sz w:val="28"/>
    </w:rPr>
  </w:style>
  <w:style w:styleId="Style_26" w:type="paragraph">
    <w:name w:val="Contents 6"/>
    <w:link w:val="Style_26_ch"/>
    <w:rPr>
      <w:rFonts w:ascii="XO Thames" w:hAnsi="XO Thames"/>
      <w:sz w:val="28"/>
    </w:rPr>
  </w:style>
  <w:style w:styleId="Style_26_ch" w:type="character">
    <w:name w:val="Contents 6"/>
    <w:link w:val="Style_26"/>
    <w:rPr>
      <w:rFonts w:ascii="XO Thames" w:hAnsi="XO Thames"/>
      <w:sz w:val="28"/>
    </w:rPr>
  </w:style>
  <w:style w:styleId="Style_27" w:type="paragraph">
    <w:name w:val="Heading 21"/>
    <w:link w:val="Style_27_ch"/>
    <w:rPr>
      <w:rFonts w:ascii="XO Thames" w:hAnsi="XO Thames"/>
      <w:b w:val="1"/>
      <w:sz w:val="28"/>
    </w:rPr>
  </w:style>
  <w:style w:styleId="Style_27_ch" w:type="character">
    <w:name w:val="Heading 21"/>
    <w:link w:val="Style_27"/>
    <w:rPr>
      <w:rFonts w:ascii="XO Thames" w:hAnsi="XO Thames"/>
      <w:b w:val="1"/>
      <w:sz w:val="28"/>
    </w:rPr>
  </w:style>
  <w:style w:styleId="Style_28" w:type="paragraph">
    <w:name w:val="heading 5"/>
    <w:next w:val="Style_4"/>
    <w:link w:val="Style_28_ch"/>
    <w:uiPriority w:val="9"/>
    <w:qFormat/>
    <w:pPr>
      <w:spacing w:after="120" w:before="120" w:line="264" w:lineRule="auto"/>
      <w:ind/>
      <w:jc w:val="both"/>
      <w:outlineLvl w:val="4"/>
    </w:pPr>
    <w:rPr>
      <w:rFonts w:ascii="XO Thames" w:hAnsi="XO Thames"/>
      <w:b w:val="1"/>
    </w:rPr>
  </w:style>
  <w:style w:styleId="Style_28_ch" w:type="character">
    <w:name w:val="heading 5"/>
    <w:link w:val="Style_28"/>
    <w:rPr>
      <w:rFonts w:ascii="XO Thames" w:hAnsi="XO Thames"/>
      <w:b w:val="1"/>
    </w:rPr>
  </w:style>
  <w:style w:styleId="Style_29" w:type="paragraph">
    <w:name w:val="heading 1"/>
    <w:next w:val="Style_4"/>
    <w:link w:val="Style_29_ch"/>
    <w:uiPriority w:val="9"/>
    <w:qFormat/>
    <w:pPr>
      <w:spacing w:after="120" w:before="120" w:line="264" w:lineRule="auto"/>
      <w:ind/>
      <w:jc w:val="both"/>
      <w:outlineLvl w:val="0"/>
    </w:pPr>
    <w:rPr>
      <w:rFonts w:ascii="XO Thames" w:hAnsi="XO Thames"/>
      <w:b w:val="1"/>
      <w:sz w:val="32"/>
    </w:rPr>
  </w:style>
  <w:style w:styleId="Style_29_ch" w:type="character">
    <w:name w:val="heading 1"/>
    <w:link w:val="Style_29"/>
    <w:rPr>
      <w:rFonts w:ascii="XO Thames" w:hAnsi="XO Thames"/>
      <w:b w:val="1"/>
      <w:sz w:val="32"/>
    </w:rPr>
  </w:style>
  <w:style w:styleId="Style_1" w:type="paragraph">
    <w:name w:val="header"/>
    <w:basedOn w:val="Style_4"/>
    <w:link w:val="Style_1_ch"/>
    <w:pPr>
      <w:tabs>
        <w:tab w:leader="none" w:pos="4677" w:val="center"/>
        <w:tab w:leader="none" w:pos="9355" w:val="right"/>
      </w:tabs>
      <w:spacing w:after="0" w:line="240" w:lineRule="auto"/>
      <w:ind/>
    </w:pPr>
  </w:style>
  <w:style w:styleId="Style_1_ch" w:type="character">
    <w:name w:val="header"/>
    <w:basedOn w:val="Style_4_ch"/>
    <w:link w:val="Style_1"/>
  </w:style>
  <w:style w:styleId="Style_30" w:type="paragraph">
    <w:name w:val="Hyperlink"/>
    <w:basedOn w:val="Style_31"/>
    <w:link w:val="Style_30_ch"/>
    <w:rPr>
      <w:color w:themeColor="hyperlink" w:val="0563C1"/>
      <w:u w:val="single"/>
    </w:rPr>
  </w:style>
  <w:style w:styleId="Style_30_ch" w:type="character">
    <w:name w:val="Hyperlink"/>
    <w:basedOn w:val="Style_31_ch"/>
    <w:link w:val="Style_30"/>
    <w:rPr>
      <w:color w:themeColor="hyperlink" w:val="0563C1"/>
      <w:u w:val="single"/>
    </w:rPr>
  </w:style>
  <w:style w:styleId="Style_32" w:type="paragraph">
    <w:name w:val="Footnote"/>
    <w:link w:val="Style_32_ch"/>
    <w:pPr>
      <w:ind w:firstLine="851" w:left="0"/>
      <w:jc w:val="both"/>
    </w:pPr>
    <w:rPr>
      <w:rFonts w:ascii="XO Thames" w:hAnsi="XO Thames"/>
      <w:sz w:val="22"/>
    </w:rPr>
  </w:style>
  <w:style w:styleId="Style_32_ch" w:type="character">
    <w:name w:val="Footnote"/>
    <w:link w:val="Style_32"/>
    <w:rPr>
      <w:rFonts w:ascii="XO Thames" w:hAnsi="XO Thames"/>
      <w:sz w:val="22"/>
    </w:rPr>
  </w:style>
  <w:style w:styleId="Style_33" w:type="paragraph">
    <w:name w:val="Footnote1"/>
    <w:link w:val="Style_33_ch"/>
    <w:pPr>
      <w:spacing w:after="160" w:line="264" w:lineRule="auto"/>
      <w:ind w:firstLine="851" w:left="0"/>
      <w:jc w:val="both"/>
    </w:pPr>
    <w:rPr>
      <w:rFonts w:ascii="XO Thames" w:hAnsi="XO Thames"/>
    </w:rPr>
  </w:style>
  <w:style w:styleId="Style_33_ch" w:type="character">
    <w:name w:val="Footnote1"/>
    <w:link w:val="Style_33"/>
    <w:rPr>
      <w:rFonts w:ascii="XO Thames" w:hAnsi="XO Thames"/>
    </w:rPr>
  </w:style>
  <w:style w:styleId="Style_34" w:type="paragraph">
    <w:name w:val="Заголовок"/>
    <w:basedOn w:val="Style_4"/>
    <w:next w:val="Style_35"/>
    <w:link w:val="Style_34_ch"/>
    <w:pPr>
      <w:keepNext w:val="1"/>
      <w:spacing w:after="120" w:before="240"/>
      <w:ind/>
    </w:pPr>
    <w:rPr>
      <w:rFonts w:ascii="Open Sans" w:hAnsi="Open Sans"/>
      <w:sz w:val="28"/>
    </w:rPr>
  </w:style>
  <w:style w:styleId="Style_34_ch" w:type="character">
    <w:name w:val="Заголовок"/>
    <w:basedOn w:val="Style_4_ch"/>
    <w:link w:val="Style_34"/>
    <w:rPr>
      <w:rFonts w:ascii="Open Sans" w:hAnsi="Open Sans"/>
      <w:sz w:val="28"/>
    </w:rPr>
  </w:style>
  <w:style w:styleId="Style_36" w:type="paragraph">
    <w:name w:val="toc 1"/>
    <w:next w:val="Style_4"/>
    <w:link w:val="Style_36_ch"/>
    <w:uiPriority w:val="39"/>
    <w:pPr>
      <w:spacing w:after="160" w:line="264" w:lineRule="auto"/>
      <w:ind/>
    </w:pPr>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Header and Footer"/>
    <w:link w:val="Style_37_ch"/>
    <w:rPr>
      <w:rFonts w:ascii="XO Thames" w:hAnsi="XO Thames"/>
      <w:sz w:val="28"/>
    </w:rPr>
  </w:style>
  <w:style w:styleId="Style_37_ch" w:type="character">
    <w:name w:val="Header and Footer"/>
    <w:link w:val="Style_37"/>
    <w:rPr>
      <w:rFonts w:ascii="XO Thames" w:hAnsi="XO Thames"/>
      <w:sz w:val="28"/>
    </w:rPr>
  </w:style>
  <w:style w:styleId="Style_38" w:type="paragraph">
    <w:name w:val="Contents 3"/>
    <w:link w:val="Style_38_ch"/>
    <w:rPr>
      <w:rFonts w:ascii="XO Thames" w:hAnsi="XO Thames"/>
      <w:sz w:val="28"/>
    </w:rPr>
  </w:style>
  <w:style w:styleId="Style_38_ch" w:type="character">
    <w:name w:val="Contents 3"/>
    <w:link w:val="Style_38"/>
    <w:rPr>
      <w:rFonts w:ascii="XO Thames" w:hAnsi="XO Thames"/>
      <w:sz w:val="28"/>
    </w:rPr>
  </w:style>
  <w:style w:styleId="Style_39" w:type="paragraph">
    <w:name w:val="Subtitle1"/>
    <w:link w:val="Style_39_ch"/>
    <w:rPr>
      <w:rFonts w:ascii="XO Thames" w:hAnsi="XO Thames"/>
      <w:i w:val="1"/>
      <w:sz w:val="24"/>
    </w:rPr>
  </w:style>
  <w:style w:styleId="Style_39_ch" w:type="character">
    <w:name w:val="Subtitle1"/>
    <w:link w:val="Style_39"/>
    <w:rPr>
      <w:rFonts w:ascii="XO Thames" w:hAnsi="XO Thames"/>
      <w:i w:val="1"/>
      <w:sz w:val="24"/>
    </w:rPr>
  </w:style>
  <w:style w:styleId="Style_40" w:type="paragraph">
    <w:name w:val="Heading 31"/>
    <w:link w:val="Style_40_ch"/>
    <w:rPr>
      <w:rFonts w:ascii="XO Thames" w:hAnsi="XO Thames"/>
      <w:b w:val="1"/>
      <w:sz w:val="26"/>
    </w:rPr>
  </w:style>
  <w:style w:styleId="Style_40_ch" w:type="character">
    <w:name w:val="Heading 31"/>
    <w:link w:val="Style_40"/>
    <w:rPr>
      <w:rFonts w:ascii="XO Thames" w:hAnsi="XO Thames"/>
      <w:b w:val="1"/>
      <w:sz w:val="26"/>
    </w:rPr>
  </w:style>
  <w:style w:styleId="Style_41" w:type="paragraph">
    <w:name w:val="toc 9"/>
    <w:next w:val="Style_4"/>
    <w:link w:val="Style_41_ch"/>
    <w:uiPriority w:val="39"/>
    <w:pPr>
      <w:spacing w:after="160" w:line="264" w:lineRule="auto"/>
      <w:ind w:firstLine="0" w:left="1600"/>
    </w:pPr>
    <w:rPr>
      <w:rFonts w:ascii="XO Thames" w:hAnsi="XO Thames"/>
      <w:sz w:val="28"/>
    </w:rPr>
  </w:style>
  <w:style w:styleId="Style_41_ch" w:type="character">
    <w:name w:val="toc 9"/>
    <w:link w:val="Style_41"/>
    <w:rPr>
      <w:rFonts w:ascii="XO Thames" w:hAnsi="XO Thames"/>
      <w:sz w:val="28"/>
    </w:rPr>
  </w:style>
  <w:style w:styleId="Style_42" w:type="paragraph">
    <w:name w:val="Contents 8"/>
    <w:link w:val="Style_42_ch"/>
    <w:rPr>
      <w:rFonts w:ascii="XO Thames" w:hAnsi="XO Thames"/>
      <w:sz w:val="28"/>
    </w:rPr>
  </w:style>
  <w:style w:styleId="Style_42_ch" w:type="character">
    <w:name w:val="Contents 8"/>
    <w:link w:val="Style_42"/>
    <w:rPr>
      <w:rFonts w:ascii="XO Thames" w:hAnsi="XO Thames"/>
      <w:sz w:val="28"/>
    </w:rPr>
  </w:style>
  <w:style w:styleId="Style_31" w:type="paragraph">
    <w:name w:val="Default Paragraph Font"/>
    <w:link w:val="Style_31_ch"/>
  </w:style>
  <w:style w:styleId="Style_31_ch" w:type="character">
    <w:name w:val="Default Paragraph Font"/>
    <w:link w:val="Style_31"/>
  </w:style>
  <w:style w:styleId="Style_43" w:type="paragraph">
    <w:name w:val="toc 8"/>
    <w:next w:val="Style_4"/>
    <w:link w:val="Style_43_ch"/>
    <w:uiPriority w:val="39"/>
    <w:pPr>
      <w:spacing w:after="160" w:line="264" w:lineRule="auto"/>
      <w:ind w:firstLine="0" w:left="1400"/>
    </w:pPr>
    <w:rPr>
      <w:rFonts w:ascii="XO Thames" w:hAnsi="XO Thames"/>
      <w:sz w:val="28"/>
    </w:rPr>
  </w:style>
  <w:style w:styleId="Style_43_ch" w:type="character">
    <w:name w:val="toc 8"/>
    <w:link w:val="Style_43"/>
    <w:rPr>
      <w:rFonts w:ascii="XO Thames" w:hAnsi="XO Thames"/>
      <w:sz w:val="28"/>
    </w:rPr>
  </w:style>
  <w:style w:styleId="Style_44" w:type="paragraph">
    <w:name w:val="Header1"/>
    <w:link w:val="Style_44_ch"/>
  </w:style>
  <w:style w:styleId="Style_44_ch" w:type="character">
    <w:name w:val="Header1"/>
    <w:link w:val="Style_44"/>
  </w:style>
  <w:style w:styleId="Style_45" w:type="paragraph">
    <w:name w:val="Internet link"/>
    <w:basedOn w:val="Style_46"/>
    <w:link w:val="Style_45_ch"/>
    <w:rPr>
      <w:color w:themeColor="hyperlink" w:val="0563C1"/>
      <w:u w:val="single"/>
    </w:rPr>
  </w:style>
  <w:style w:styleId="Style_45_ch" w:type="character">
    <w:name w:val="Internet link"/>
    <w:basedOn w:val="Style_46_ch"/>
    <w:link w:val="Style_45"/>
    <w:rPr>
      <w:color w:themeColor="hyperlink" w:val="0563C1"/>
      <w:u w:val="single"/>
    </w:rPr>
  </w:style>
  <w:style w:styleId="Style_47" w:type="paragraph">
    <w:name w:val="Heading 51"/>
    <w:link w:val="Style_47_ch"/>
    <w:rPr>
      <w:rFonts w:ascii="XO Thames" w:hAnsi="XO Thames"/>
      <w:b w:val="1"/>
      <w:sz w:val="22"/>
    </w:rPr>
  </w:style>
  <w:style w:styleId="Style_47_ch" w:type="character">
    <w:name w:val="Heading 51"/>
    <w:link w:val="Style_47"/>
    <w:rPr>
      <w:rFonts w:ascii="XO Thames" w:hAnsi="XO Thames"/>
      <w:b w:val="1"/>
      <w:sz w:val="22"/>
    </w:rPr>
  </w:style>
  <w:style w:styleId="Style_48" w:type="paragraph">
    <w:name w:val="toc 5"/>
    <w:next w:val="Style_4"/>
    <w:link w:val="Style_48_ch"/>
    <w:uiPriority w:val="39"/>
    <w:pPr>
      <w:spacing w:after="160" w:line="264" w:lineRule="auto"/>
      <w:ind w:firstLine="0" w:left="800"/>
    </w:pPr>
    <w:rPr>
      <w:rFonts w:ascii="XO Thames" w:hAnsi="XO Thames"/>
      <w:sz w:val="28"/>
    </w:rPr>
  </w:style>
  <w:style w:styleId="Style_48_ch" w:type="character">
    <w:name w:val="toc 5"/>
    <w:link w:val="Style_48"/>
    <w:rPr>
      <w:rFonts w:ascii="XO Thames" w:hAnsi="XO Thames"/>
      <w:sz w:val="28"/>
    </w:rPr>
  </w:style>
  <w:style w:styleId="Style_35" w:type="paragraph">
    <w:name w:val="Body Text"/>
    <w:basedOn w:val="Style_4"/>
    <w:link w:val="Style_35_ch"/>
    <w:pPr>
      <w:spacing w:after="140" w:line="276" w:lineRule="auto"/>
      <w:ind/>
    </w:pPr>
  </w:style>
  <w:style w:styleId="Style_35_ch" w:type="character">
    <w:name w:val="Body Text"/>
    <w:basedOn w:val="Style_4_ch"/>
    <w:link w:val="Style_35"/>
  </w:style>
  <w:style w:styleId="Style_49" w:type="paragraph">
    <w:name w:val="footer"/>
    <w:basedOn w:val="Style_4"/>
    <w:link w:val="Style_49_ch"/>
    <w:pPr>
      <w:tabs>
        <w:tab w:leader="none" w:pos="4677" w:val="center"/>
        <w:tab w:leader="none" w:pos="9355" w:val="right"/>
      </w:tabs>
      <w:spacing w:after="0" w:line="240" w:lineRule="auto"/>
      <w:ind/>
    </w:pPr>
    <w:rPr>
      <w:rFonts w:ascii="Times New Roman" w:hAnsi="Times New Roman"/>
      <w:sz w:val="28"/>
    </w:rPr>
  </w:style>
  <w:style w:styleId="Style_49_ch" w:type="character">
    <w:name w:val="footer"/>
    <w:basedOn w:val="Style_4_ch"/>
    <w:link w:val="Style_49"/>
    <w:rPr>
      <w:rFonts w:ascii="Times New Roman" w:hAnsi="Times New Roman"/>
      <w:sz w:val="28"/>
    </w:rPr>
  </w:style>
  <w:style w:styleId="Style_50" w:type="paragraph">
    <w:name w:val="Subtitle"/>
    <w:next w:val="Style_4"/>
    <w:link w:val="Style_50_ch"/>
    <w:uiPriority w:val="11"/>
    <w:qFormat/>
    <w:pPr>
      <w:spacing w:after="160" w:line="264" w:lineRule="auto"/>
      <w:ind/>
      <w:jc w:val="both"/>
    </w:pPr>
    <w:rPr>
      <w:rFonts w:ascii="XO Thames" w:hAnsi="XO Thames"/>
      <w:i w:val="1"/>
      <w:sz w:val="24"/>
    </w:rPr>
  </w:style>
  <w:style w:styleId="Style_50_ch" w:type="character">
    <w:name w:val="Subtitle"/>
    <w:link w:val="Style_50"/>
    <w:rPr>
      <w:rFonts w:ascii="XO Thames" w:hAnsi="XO Thames"/>
      <w:i w:val="1"/>
      <w:sz w:val="24"/>
    </w:rPr>
  </w:style>
  <w:style w:styleId="Style_51" w:type="paragraph">
    <w:name w:val="Title"/>
    <w:next w:val="Style_4"/>
    <w:link w:val="Style_51_ch"/>
    <w:uiPriority w:val="10"/>
    <w:qFormat/>
    <w:pPr>
      <w:spacing w:after="567" w:before="567" w:line="264" w:lineRule="auto"/>
      <w:ind/>
      <w:jc w:val="center"/>
    </w:pPr>
    <w:rPr>
      <w:rFonts w:ascii="XO Thames" w:hAnsi="XO Thames"/>
      <w:b w:val="1"/>
      <w:caps w:val="1"/>
      <w:sz w:val="40"/>
    </w:rPr>
  </w:style>
  <w:style w:styleId="Style_51_ch" w:type="character">
    <w:name w:val="Title"/>
    <w:link w:val="Style_51"/>
    <w:rPr>
      <w:rFonts w:ascii="XO Thames" w:hAnsi="XO Thames"/>
      <w:b w:val="1"/>
      <w:caps w:val="1"/>
      <w:sz w:val="40"/>
    </w:rPr>
  </w:style>
  <w:style w:styleId="Style_52" w:type="paragraph">
    <w:name w:val="heading 4"/>
    <w:next w:val="Style_4"/>
    <w:link w:val="Style_52_ch"/>
    <w:uiPriority w:val="9"/>
    <w:qFormat/>
    <w:pPr>
      <w:spacing w:after="120" w:before="120" w:line="264" w:lineRule="auto"/>
      <w:ind/>
      <w:jc w:val="both"/>
      <w:outlineLvl w:val="3"/>
    </w:pPr>
    <w:rPr>
      <w:rFonts w:ascii="XO Thames" w:hAnsi="XO Thames"/>
      <w:b w:val="1"/>
      <w:sz w:val="24"/>
    </w:rPr>
  </w:style>
  <w:style w:styleId="Style_52_ch" w:type="character">
    <w:name w:val="heading 4"/>
    <w:link w:val="Style_52"/>
    <w:rPr>
      <w:rFonts w:ascii="XO Thames" w:hAnsi="XO Thames"/>
      <w:b w:val="1"/>
      <w:sz w:val="24"/>
    </w:rPr>
  </w:style>
  <w:style w:styleId="Style_53" w:type="paragraph">
    <w:name w:val="List"/>
    <w:basedOn w:val="Style_35"/>
    <w:link w:val="Style_53_ch"/>
  </w:style>
  <w:style w:styleId="Style_53_ch" w:type="character">
    <w:name w:val="List"/>
    <w:basedOn w:val="Style_35_ch"/>
    <w:link w:val="Style_53"/>
  </w:style>
  <w:style w:styleId="Style_46" w:type="paragraph">
    <w:name w:val="Default Paragraph Font1"/>
    <w:link w:val="Style_46_ch"/>
    <w:pPr>
      <w:spacing w:after="160" w:line="264" w:lineRule="auto"/>
      <w:ind/>
    </w:pPr>
  </w:style>
  <w:style w:styleId="Style_46_ch" w:type="character">
    <w:name w:val="Default Paragraph Font1"/>
    <w:link w:val="Style_46"/>
  </w:style>
  <w:style w:styleId="Style_54" w:type="paragraph">
    <w:name w:val="heading 2"/>
    <w:next w:val="Style_4"/>
    <w:link w:val="Style_54_ch"/>
    <w:uiPriority w:val="9"/>
    <w:qFormat/>
    <w:pPr>
      <w:spacing w:after="120" w:before="120" w:line="264" w:lineRule="auto"/>
      <w:ind/>
      <w:jc w:val="both"/>
      <w:outlineLvl w:val="1"/>
    </w:pPr>
    <w:rPr>
      <w:rFonts w:ascii="XO Thames" w:hAnsi="XO Thames"/>
      <w:b w:val="1"/>
      <w:sz w:val="28"/>
    </w:rPr>
  </w:style>
  <w:style w:styleId="Style_54_ch" w:type="character">
    <w:name w:val="heading 2"/>
    <w:link w:val="Style_54"/>
    <w:rPr>
      <w:rFonts w:ascii="XO Thames" w:hAnsi="XO Thames"/>
      <w:b w:val="1"/>
      <w:sz w:val="28"/>
    </w:rPr>
  </w:style>
  <w:style w:styleId="Style_55" w:type="paragraph">
    <w:name w:val="Contents 2"/>
    <w:link w:val="Style_55_ch"/>
    <w:rPr>
      <w:rFonts w:ascii="XO Thames" w:hAnsi="XO Thames"/>
      <w:sz w:val="28"/>
    </w:rPr>
  </w:style>
  <w:style w:styleId="Style_55_ch" w:type="character">
    <w:name w:val="Contents 2"/>
    <w:link w:val="Style_55"/>
    <w:rPr>
      <w:rFonts w:ascii="XO Thames" w:hAnsi="XO Thames"/>
      <w:sz w:val="28"/>
    </w:rPr>
  </w:style>
  <w:style w:styleId="Style_56" w:type="paragraph">
    <w:name w:val="caption"/>
    <w:basedOn w:val="Style_4"/>
    <w:link w:val="Style_56_ch"/>
    <w:pPr>
      <w:spacing w:after="120" w:before="120"/>
      <w:ind/>
    </w:pPr>
    <w:rPr>
      <w:i w:val="1"/>
      <w:sz w:val="24"/>
    </w:rPr>
  </w:style>
  <w:style w:styleId="Style_56_ch" w:type="character">
    <w:name w:val="caption"/>
    <w:basedOn w:val="Style_4_ch"/>
    <w:link w:val="Style_56"/>
    <w:rPr>
      <w:i w:val="1"/>
      <w:sz w:val="24"/>
    </w:rPr>
  </w:style>
  <w:style w:styleId="Style_57" w:type="table">
    <w:name w:val="Сетка таблицы1"/>
    <w:basedOn w:val="Style_2"/>
    <w:rPr>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 w:type="table">
    <w:name w:val="Table Grid"/>
    <w:basedOn w:val="Style_2"/>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 w:styleId="Style_58" w:type="table">
    <w:name w:val="Сетка таблицы2"/>
    <w:basedOn w:val="Style_2"/>
    <w:rPr>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media/1.jpeg" Type="http://schemas.openxmlformats.org/officeDocument/2006/relationships/image"/>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2026-07-24T02:00:30Z</dcterms:modified>
</cp:coreProperties>
</file>