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A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C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ИМУЩЕСТВЕННЫХ</w:t>
      </w:r>
    </w:p>
    <w:p w14:paraId="0E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ЗЕМЕЛЬНЫХ ОТНОШЕНИЙ</w:t>
      </w: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10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1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Style w:val="Style_4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Borders>
              <w:top w:sz="4" w:val="nil"/>
              <w:left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14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Borders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9637"/>
      </w:tblGrid>
      <w:tr>
        <w:tc>
          <w:tcPr>
            <w:tcW w:type="dxa" w:w="963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spacing w:line="264" w:lineRule="auto"/>
              <w:ind w:left="3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 установлении публичног</w:t>
            </w:r>
            <w:r>
              <w:rPr>
                <w:rFonts w:ascii="Times New Roman" w:hAnsi="Times New Roman"/>
                <w:b w:val="1"/>
                <w:sz w:val="28"/>
              </w:rPr>
              <w:t xml:space="preserve">о сервитута в целях размещения </w:t>
            </w:r>
            <w:r>
              <w:rPr>
                <w:rFonts w:ascii="Times New Roman" w:hAnsi="Times New Roman"/>
                <w:b w:val="1"/>
                <w:sz w:val="28"/>
              </w:rPr>
              <w:t>волоконно-оптической линии связи по маршруту «</w:t>
            </w:r>
            <w:r>
              <w:rPr>
                <w:rFonts w:ascii="Times New Roman" w:hAnsi="Times New Roman"/>
                <w:b w:val="1"/>
                <w:sz w:val="28"/>
              </w:rPr>
              <w:t>Тымлат – Тиличики</w:t>
            </w:r>
            <w:r>
              <w:rPr>
                <w:rFonts w:ascii="Times New Roman" w:hAnsi="Times New Roman"/>
                <w:b w:val="1"/>
                <w:sz w:val="28"/>
              </w:rPr>
              <w:t>»</w:t>
            </w:r>
          </w:p>
        </w:tc>
      </w:tr>
    </w:tbl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23, главой V</w:t>
      </w:r>
      <w:r>
        <w:rPr>
          <w:rFonts w:ascii="Times New Roman" w:hAnsi="Times New Roman"/>
          <w:sz w:val="28"/>
          <w:vertAlign w:val="superscript"/>
        </w:rPr>
        <w:t>7</w:t>
      </w:r>
      <w:r>
        <w:rPr>
          <w:rFonts w:ascii="Times New Roman" w:hAnsi="Times New Roman"/>
          <w:sz w:val="28"/>
        </w:rPr>
        <w:t xml:space="preserve"> Земельного кодекса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Российской Федерации, распоряжением Правительства Камчатского края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от 14.03.2025 </w:t>
      </w:r>
      <w:r>
        <w:rPr>
          <w:rFonts w:ascii="Times New Roman" w:hAnsi="Times New Roman"/>
          <w:sz w:val="28"/>
        </w:rPr>
        <w:t>№ 69-РП, постановлением Правительства Камчатского края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от 28.12.2023 </w:t>
      </w:r>
      <w:r>
        <w:rPr>
          <w:rFonts w:ascii="Times New Roman" w:hAnsi="Times New Roman"/>
          <w:sz w:val="28"/>
        </w:rPr>
        <w:t>№ 699-П</w:t>
      </w:r>
      <w:r>
        <w:rPr>
          <w:rFonts w:ascii="Times New Roman" w:hAnsi="Times New Roman"/>
          <w:sz w:val="28"/>
        </w:rPr>
        <w:t xml:space="preserve"> «Об утверждении государственной программы Камчатского края «Цифровая трансформация в Камчатском крае», руководствуясь пунктом 24.3 Положения о Министерстве имущественных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земельных отношений Камчатского края, утвержденного постановлением Правительства Камчатского края от 27.09.2022 № 508-П, на основании ходатайства </w:t>
      </w:r>
      <w:r>
        <w:rPr>
          <w:rFonts w:ascii="Times New Roman" w:hAnsi="Times New Roman"/>
          <w:sz w:val="28"/>
        </w:rPr>
        <w:t>об установлении публичного сервитута</w:t>
      </w:r>
      <w:r>
        <w:rPr>
          <w:rFonts w:ascii="Times New Roman" w:hAnsi="Times New Roman"/>
          <w:sz w:val="28"/>
        </w:rPr>
        <w:t xml:space="preserve"> общества с ограниченной ответственностью «</w:t>
      </w:r>
      <w:r>
        <w:rPr>
          <w:rFonts w:ascii="Times New Roman" w:hAnsi="Times New Roman"/>
          <w:sz w:val="28"/>
        </w:rPr>
        <w:t>ИнтерКамСервис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от 15.08.2026</w:t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F000000">
      <w:pPr>
        <w:numPr>
          <w:ilvl w:val="0"/>
          <w:numId w:val="1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Установить публичный сервитут в пользу общества с ограниченной ответственностью «</w:t>
      </w:r>
      <w:r>
        <w:rPr>
          <w:rFonts w:ascii="Times New Roman" w:hAnsi="Times New Roman"/>
          <w:sz w:val="28"/>
        </w:rPr>
        <w:t>ИнтерКамСервис</w:t>
      </w:r>
      <w:r>
        <w:rPr>
          <w:rFonts w:ascii="Times New Roman" w:hAnsi="Times New Roman"/>
          <w:sz w:val="28"/>
        </w:rPr>
        <w:t xml:space="preserve">» (ОГРН 1024101021449, </w:t>
      </w:r>
      <w:r>
        <w:br/>
      </w:r>
      <w:r>
        <w:rPr>
          <w:rFonts w:ascii="Times New Roman" w:hAnsi="Times New Roman"/>
          <w:sz w:val="28"/>
        </w:rPr>
        <w:t xml:space="preserve">ИНН 4100005553), место нахождения: Камчатский край,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г. Петропавловск-Камчатский, почтовый адрес: 683031, Камчатский край, </w:t>
      </w:r>
      <w:r>
        <w:rPr>
          <w:rFonts w:ascii="Times New Roman" w:hAnsi="Times New Roman"/>
          <w:sz w:val="28"/>
        </w:rPr>
        <w:br/>
      </w:r>
      <w:bookmarkStart w:id="2" w:name="_GoBack"/>
      <w:bookmarkEnd w:id="2"/>
      <w:r>
        <w:rPr>
          <w:rFonts w:ascii="Times New Roman" w:hAnsi="Times New Roman"/>
          <w:sz w:val="28"/>
        </w:rPr>
        <w:t>г. Петропавловск-Камчатский, пр-кт Карла Маркса, д. 31, адрес электронной почты: iks@iks.ru (далее – обладатель публичного сервитута), в целях размещения объекта регионального значения – волоконно-оптической линии связи по маршруту «</w:t>
      </w:r>
      <w:r>
        <w:rPr>
          <w:rFonts w:ascii="Times New Roman" w:hAnsi="Times New Roman"/>
          <w:sz w:val="28"/>
        </w:rPr>
        <w:t>Тымлат – Тиличики</w:t>
      </w:r>
      <w:r>
        <w:rPr>
          <w:rFonts w:ascii="Times New Roman" w:hAnsi="Times New Roman"/>
          <w:sz w:val="28"/>
        </w:rPr>
        <w:t>», утвердив его границы согласно приложению к настоящему приказу (далее – публичный сервитут), в отношении земель, расположенных на территории Карагинского муниципального района, и следующих земельных участков:</w:t>
      </w:r>
    </w:p>
    <w:p w14:paraId="20000000">
      <w:pPr>
        <w:pStyle w:val="Style_6"/>
        <w:spacing w:after="0"/>
        <w:ind w:firstLine="709" w:left="0"/>
        <w:jc w:val="both"/>
        <w:rPr>
          <w:rFonts w:ascii="Times New Roman" w:hAnsi="Times New Roman"/>
          <w:sz w:val="28"/>
        </w:rPr>
      </w:pPr>
    </w:p>
    <w:p w14:paraId="21000000">
      <w:pPr>
        <w:pStyle w:val="Style_6"/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с кадастровым номером 8</w:t>
      </w:r>
      <w:r>
        <w:rPr>
          <w:rFonts w:ascii="Times New Roman" w:hAnsi="Times New Roman"/>
          <w:sz w:val="28"/>
        </w:rPr>
        <w:t>2:02:000002:339,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адрес (местоположение): </w:t>
      </w:r>
      <w:r>
        <w:rPr>
          <w:rFonts w:ascii="Times New Roman" w:hAnsi="Times New Roman"/>
          <w:sz w:val="28"/>
        </w:rPr>
        <w:t xml:space="preserve">Камчатский край, р-н </w:t>
      </w:r>
      <w:r>
        <w:rPr>
          <w:rFonts w:ascii="Times New Roman" w:hAnsi="Times New Roman"/>
          <w:sz w:val="28"/>
        </w:rPr>
        <w:t>Карагинский,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с. Тымлат</w:t>
      </w:r>
      <w:r>
        <w:rPr>
          <w:rFonts w:ascii="Times New Roman" w:hAnsi="Times New Roman"/>
          <w:sz w:val="28"/>
        </w:rPr>
        <w:t>;</w:t>
      </w:r>
    </w:p>
    <w:p w14:paraId="22000000">
      <w:pPr>
        <w:pStyle w:val="Style_6"/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 xml:space="preserve">с кадастровым номером 82:02:000002:346, адрес (местоположение): </w:t>
      </w:r>
      <w:r>
        <w:rPr>
          <w:rFonts w:ascii="Times New Roman" w:hAnsi="Times New Roman"/>
          <w:sz w:val="28"/>
        </w:rPr>
        <w:t xml:space="preserve">Российская Федерация, </w:t>
      </w:r>
      <w:r>
        <w:rPr>
          <w:rFonts w:ascii="Times New Roman" w:hAnsi="Times New Roman"/>
          <w:sz w:val="28"/>
        </w:rPr>
        <w:t xml:space="preserve">Камчатский край, р-н </w:t>
      </w:r>
      <w:r>
        <w:rPr>
          <w:rFonts w:ascii="Times New Roman" w:hAnsi="Times New Roman"/>
          <w:sz w:val="28"/>
        </w:rPr>
        <w:t>Карагинский</w:t>
      </w:r>
      <w:r>
        <w:rPr>
          <w:rFonts w:ascii="Times New Roman" w:hAnsi="Times New Roman"/>
          <w:sz w:val="28"/>
        </w:rPr>
        <w:t>, с. Тымлат,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ул. Комарова</w:t>
      </w:r>
      <w:r>
        <w:rPr>
          <w:rFonts w:ascii="Times New Roman" w:hAnsi="Times New Roman"/>
          <w:sz w:val="28"/>
        </w:rPr>
        <w:t>.</w:t>
      </w:r>
    </w:p>
    <w:p w14:paraId="23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Определить, что публичный сервитут устанавливается на срок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10 ле</w:t>
      </w:r>
      <w:r>
        <w:rPr>
          <w:rStyle w:val="Style_7_ch"/>
          <w:rFonts w:ascii="Times New Roman" w:hAnsi="Times New Roman"/>
          <w:sz w:val="28"/>
        </w:rPr>
        <w:t>т со дня внесения сведений о нем в Единый государственный реестр недвижимости.</w:t>
      </w:r>
    </w:p>
    <w:p w14:paraId="24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Публичный сервитут устанавливается в целях размещения линий и сооружений связи, требующих установления зон с особыми условиями использования территории. Нормативный акт, определяющий порядок установления зоны с особыми условиями использования и содержание ограничений прав на земельные участки в границах такой зоны – Постановление Правительства Российской Федерации от 09.06.1995 № 578 </w:t>
      </w:r>
      <w:r>
        <w:br/>
      </w:r>
      <w:r>
        <w:rPr>
          <w:rFonts w:ascii="Times New Roman" w:hAnsi="Times New Roman"/>
          <w:sz w:val="28"/>
        </w:rPr>
        <w:t>«Об утверждении Правил охраны линий и сооружений связи Российской Федерации».</w:t>
      </w:r>
    </w:p>
    <w:p w14:paraId="2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14:paraId="2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Плата за публичный сервитут в отношении земельного участка, находящегося в государственной или муниципальной собственности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не обремененного правами третьих лиц, устанавливается в размере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0,01 процента кадастровой стоимости такого земельного участка за каждый год использования этого земельного участка. При этом, </w:t>
      </w:r>
      <w:r>
        <w:rPr>
          <w:rFonts w:ascii="Times New Roman" w:hAnsi="Times New Roman"/>
          <w:sz w:val="28"/>
        </w:rPr>
        <w:t>данная плата</w:t>
      </w:r>
      <w:r>
        <w:rPr>
          <w:rFonts w:ascii="Times New Roman" w:hAnsi="Times New Roman"/>
          <w:sz w:val="28"/>
        </w:rPr>
        <w:t xml:space="preserve"> не может быть менее чем 0,1 процента кадастровой стоимости земельного участка, обремененного сервитутом, за весь срок сервитута.</w:t>
      </w:r>
    </w:p>
    <w:p w14:paraId="2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Если в отношении земельных участков и (или) земель кадастровая стоимость не определена, размер платы за публичный сервитут рассчитывается в соответствии с частями 4 и 5 настоящего приказа исходя из среднего уровня </w:t>
      </w:r>
      <w:r>
        <w:rPr>
          <w:rFonts w:ascii="Times New Roman" w:hAnsi="Times New Roman"/>
          <w:sz w:val="28"/>
        </w:rPr>
        <w:t>кадастровой стоимости земельных участков по муниципальному району (муниципальному округу, городскому округу).</w:t>
      </w:r>
    </w:p>
    <w:p w14:paraId="2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не позднее шести месяцев со дня принятия решения об установлении публичного сервитута с указанием в назначении платежа реквизитов настоящего приказа.</w:t>
      </w:r>
    </w:p>
    <w:p w14:paraId="2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Срок, в течении которого использование попадающих в границы публичного сервитута частей земельных участков в соответствии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сервитут, – 6 месяцев.</w:t>
      </w:r>
    </w:p>
    <w:p w14:paraId="2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График проведения работ при осуществлении деятельности,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для обеспечения которой устанавливается публичный сервитут,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лицам: </w:t>
      </w:r>
      <w:r>
        <w:rPr>
          <w:rFonts w:ascii="Times New Roman" w:hAnsi="Times New Roman"/>
          <w:sz w:val="28"/>
        </w:rPr>
        <w:t xml:space="preserve">ежедневно в течении шести месяцев с момента установления публичного сервитута, а при авариях или осуществлении профилактических контрольных осмотров – ежегодно </w:t>
      </w:r>
      <w:r>
        <w:rPr>
          <w:rFonts w:ascii="Times New Roman" w:hAnsi="Times New Roman"/>
          <w:sz w:val="28"/>
        </w:rPr>
        <w:t>с 01 января по 31 декабря.</w:t>
      </w:r>
    </w:p>
    <w:p w14:paraId="2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Обладатель публичного сервитута обязан:</w:t>
      </w:r>
    </w:p>
    <w:p w14:paraId="2C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привести земельный участок в состояние, пригодное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для его использования в соответствии с разрешенным использованием, в срок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не позднее чем три месяца после завершения строительства, капитального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или текущего ремонта, реконструкции, эксплуатации, консервации,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сноса инженерного сооружения, для размещения которого был установлен публичный сервитут;</w:t>
      </w:r>
    </w:p>
    <w:p w14:paraId="2D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снести объекты, размещенные им на основании публичного сервитута, и осуществить при необходимости рекультивацию земельного участка в срок не позднее чем шесть месяцев с момента прекращения публичного сервитута.</w:t>
      </w:r>
    </w:p>
    <w:p w14:paraId="2E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Отдел</w:t>
      </w:r>
      <w:r>
        <w:rPr>
          <w:rStyle w:val="Style_7_ch"/>
          <w:rFonts w:ascii="Times New Roman" w:hAnsi="Times New Roman"/>
          <w:sz w:val="28"/>
        </w:rPr>
        <w:t xml:space="preserve">у земельных отношений Министерства имущественных </w:t>
      </w:r>
      <w:r>
        <w:br/>
      </w:r>
      <w:r>
        <w:rPr>
          <w:rStyle w:val="Style_7_ch"/>
          <w:rFonts w:ascii="Times New Roman" w:hAnsi="Times New Roman"/>
          <w:sz w:val="28"/>
        </w:rPr>
        <w:t>и земельных отношений Камчатского края обеспечить:</w:t>
      </w:r>
    </w:p>
    <w:p w14:paraId="2F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7_ch"/>
          <w:rFonts w:ascii="Times New Roman" w:hAnsi="Times New Roman"/>
          <w:sz w:val="28"/>
        </w:rPr>
        <w:t>1)</w:t>
      </w:r>
      <w:r>
        <w:rPr>
          <w:rStyle w:val="Style_7_ch"/>
          <w:rFonts w:ascii="Times New Roman" w:hAnsi="Times New Roman"/>
          <w:sz w:val="28"/>
        </w:rPr>
        <w:tab/>
      </w:r>
      <w:r>
        <w:rPr>
          <w:rStyle w:val="Style_7_ch"/>
          <w:rFonts w:ascii="Times New Roman" w:hAnsi="Times New Roman"/>
          <w:sz w:val="28"/>
        </w:rPr>
        <w:t>опубликование настоящего приказа в официальном печатном издании Губернатора и Правительства Камчатского края «Официальные ведомости» в течение 30 календарных дней со дня его принятия;</w:t>
      </w:r>
    </w:p>
    <w:p w14:paraId="30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7_ch"/>
          <w:rFonts w:ascii="Times New Roman" w:hAnsi="Times New Roman"/>
          <w:sz w:val="28"/>
        </w:rPr>
        <w:t>2)</w:t>
      </w:r>
      <w:r>
        <w:rPr>
          <w:rStyle w:val="Style_7_ch"/>
          <w:rFonts w:ascii="Times New Roman" w:hAnsi="Times New Roman"/>
          <w:sz w:val="28"/>
        </w:rPr>
        <w:tab/>
      </w:r>
      <w:r>
        <w:rPr>
          <w:rStyle w:val="Style_7_ch"/>
          <w:rFonts w:ascii="Times New Roman" w:hAnsi="Times New Roman"/>
          <w:sz w:val="28"/>
        </w:rPr>
        <w:t>опубликование настоящего приказа на «Официальном интернет-портале правовой информации» (www.pravo.gov.ru) в течение 10 календарных дней со дня его принятия;</w:t>
      </w:r>
    </w:p>
    <w:p w14:paraId="31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7_ch"/>
          <w:rFonts w:ascii="Times New Roman" w:hAnsi="Times New Roman"/>
          <w:sz w:val="28"/>
        </w:rPr>
        <w:t>3)</w:t>
      </w:r>
      <w:r>
        <w:rPr>
          <w:rStyle w:val="Style_7_ch"/>
          <w:rFonts w:ascii="Times New Roman" w:hAnsi="Times New Roman"/>
          <w:sz w:val="28"/>
        </w:rPr>
        <w:tab/>
      </w:r>
      <w:r>
        <w:rPr>
          <w:rStyle w:val="Style_7_ch"/>
          <w:rFonts w:ascii="Times New Roman" w:hAnsi="Times New Roman"/>
          <w:sz w:val="28"/>
        </w:rPr>
        <w:t xml:space="preserve">размещение настоящего приказа на официальном сайте исполнительных органов Камчатского края в информационно-телекоммуникационной сети «Интернет» в течение 5 рабочих дней со дня </w:t>
      </w:r>
      <w:r>
        <w:br/>
      </w:r>
      <w:r>
        <w:rPr>
          <w:rStyle w:val="Style_7_ch"/>
          <w:rFonts w:ascii="Times New Roman" w:hAnsi="Times New Roman"/>
          <w:sz w:val="28"/>
        </w:rPr>
        <w:t>его принятия;</w:t>
      </w:r>
    </w:p>
    <w:p w14:paraId="32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7_ch"/>
          <w:rFonts w:ascii="Times New Roman" w:hAnsi="Times New Roman"/>
          <w:sz w:val="28"/>
        </w:rPr>
        <w:t>4)</w:t>
      </w:r>
      <w:r>
        <w:rPr>
          <w:rStyle w:val="Style_7_ch"/>
          <w:rFonts w:ascii="Times New Roman" w:hAnsi="Times New Roman"/>
          <w:sz w:val="28"/>
        </w:rPr>
        <w:tab/>
      </w:r>
      <w:r>
        <w:rPr>
          <w:rStyle w:val="Style_7_ch"/>
          <w:rFonts w:ascii="Times New Roman" w:hAnsi="Times New Roman"/>
          <w:sz w:val="28"/>
        </w:rPr>
        <w:t>направление копии настоящего приказа в орган регистрации прав</w:t>
      </w:r>
      <w:r>
        <w:rPr>
          <w:rStyle w:val="Style_7_ch"/>
          <w:rFonts w:ascii="Times New Roman" w:hAnsi="Times New Roman"/>
          <w:sz w:val="28"/>
        </w:rPr>
        <w:br/>
      </w:r>
      <w:r>
        <w:rPr>
          <w:rStyle w:val="Style_7_ch"/>
          <w:rFonts w:ascii="Times New Roman" w:hAnsi="Times New Roman"/>
          <w:sz w:val="28"/>
        </w:rPr>
        <w:t>в течение 5 рабочих дней со дня его принятия;</w:t>
      </w:r>
    </w:p>
    <w:p w14:paraId="33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7_ch"/>
          <w:rFonts w:ascii="Times New Roman" w:hAnsi="Times New Roman"/>
          <w:sz w:val="28"/>
        </w:rPr>
        <w:t>5)</w:t>
      </w:r>
      <w:r>
        <w:rPr>
          <w:rStyle w:val="Style_7_ch"/>
          <w:rFonts w:ascii="Times New Roman" w:hAnsi="Times New Roman"/>
          <w:sz w:val="28"/>
        </w:rPr>
        <w:tab/>
      </w:r>
      <w:r>
        <w:rPr>
          <w:rStyle w:val="Style_7_ch"/>
          <w:rFonts w:ascii="Times New Roman" w:hAnsi="Times New Roman"/>
          <w:sz w:val="28"/>
        </w:rPr>
        <w:t xml:space="preserve">направление копии настоящего приказа обладателю публичного сервитута, а также сведений о лицах, являющихся правообладателями земельных участков, сведений о лицах, подавших заявления об учете их прав </w:t>
      </w:r>
      <w:r>
        <w:rPr>
          <w:rStyle w:val="Style_7_ch"/>
          <w:rFonts w:ascii="Times New Roman" w:hAnsi="Times New Roman"/>
          <w:sz w:val="28"/>
        </w:rPr>
        <w:t>(обременений прав) на земельные участки, спосо</w:t>
      </w:r>
      <w:r>
        <w:rPr>
          <w:rFonts w:ascii="Times New Roman" w:hAnsi="Times New Roman"/>
          <w:sz w:val="28"/>
        </w:rPr>
        <w:t xml:space="preserve">бах связи с ними, копии документов, подтверждающих права указанных лиц на земельные участки </w:t>
      </w:r>
      <w:r>
        <w:rPr>
          <w:rFonts w:ascii="Times New Roman" w:hAnsi="Times New Roman"/>
          <w:sz w:val="28"/>
        </w:rPr>
        <w:t xml:space="preserve">в течение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5 рабочих дней со дня его принятия.</w:t>
      </w:r>
    </w:p>
    <w:p w14:paraId="34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35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3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Настоящий приказ вступает в силу после дня его официального опубликования.</w:t>
      </w:r>
    </w:p>
    <w:p w14:paraId="37000000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14:paraId="3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Layout w:type="fixed"/>
        <w:tblCellMar>
          <w:left w:type="dxa" w:w="0"/>
          <w:right w:type="dxa" w:w="0"/>
        </w:tblCellMar>
      </w:tblPr>
      <w:tblGrid>
        <w:gridCol w:w="2976"/>
        <w:gridCol w:w="4393"/>
        <w:gridCol w:w="2268"/>
      </w:tblGrid>
      <w:tr>
        <w:trPr>
          <w:trHeight w:hRule="atLeast" w:val="2220"/>
        </w:trPr>
        <w:tc>
          <w:tcPr>
            <w:tcW w:type="dxa" w:w="2976"/>
            <w:shd w:fill="auto" w:val="clear"/>
            <w:tcMar>
              <w:left w:type="dxa" w:w="0"/>
              <w:right w:type="dxa" w:w="0"/>
            </w:tcMar>
          </w:tcPr>
          <w:p w14:paraId="3A000000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3B000000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3"/>
            <w:shd w:fill="auto" w:val="clear"/>
            <w:tcMar>
              <w:left w:type="dxa" w:w="0"/>
              <w:right w:type="dxa" w:w="0"/>
            </w:tcMar>
          </w:tcPr>
          <w:p w14:paraId="3C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268"/>
            <w:shd w:fill="auto" w:val="clear"/>
            <w:tcMar>
              <w:left w:type="dxa" w:w="0"/>
              <w:right w:type="dxa" w:w="0"/>
            </w:tcMar>
          </w:tcPr>
          <w:p w14:paraId="3D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Н.М. Касеев</w:t>
            </w:r>
          </w:p>
        </w:tc>
      </w:tr>
    </w:tbl>
    <w:p w14:paraId="3E000000">
      <w:r>
        <w:br w:type="page"/>
      </w:r>
    </w:p>
    <w:p w14:paraId="3F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приказу Министерства</w:t>
      </w:r>
    </w:p>
    <w:p w14:paraId="40000000">
      <w:pPr>
        <w:widowControl w:val="0"/>
        <w:spacing w:after="0" w:line="240" w:lineRule="auto"/>
        <w:ind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имущественных и земельных отношений Камчатского края</w:t>
      </w:r>
    </w:p>
    <w:tbl>
      <w:tblPr>
        <w:tblStyle w:val="Style_5"/>
        <w:tblW w:type="auto" w:w="0"/>
        <w:tblInd w:type="dxa" w:w="5061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414"/>
        <w:gridCol w:w="1869"/>
        <w:gridCol w:w="486"/>
        <w:gridCol w:w="1701"/>
      </w:tblGrid>
      <w:tr>
        <w:tc>
          <w:tcPr>
            <w:tcW w:type="dxa" w:w="41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1000000">
            <w:pPr>
              <w:spacing w:after="60"/>
              <w:ind w:left="-6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2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3000000">
            <w:pPr>
              <w:spacing w:after="60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4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45000000">
      <w:pPr>
        <w:ind w:left="-992"/>
        <w:rPr>
          <w:rFonts w:ascii="Times New Roman" w:hAnsi="Times New Roman"/>
          <w:sz w:val="24"/>
        </w:rPr>
      </w:pPr>
    </w:p>
    <w:p w14:paraId="4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Описание местоположения границ публичного сервитута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земель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земельных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участков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их использования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целях размещения волоконно-оптической линии связи по маршруту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Тымлат – Тиличики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(далее</w:t>
      </w:r>
      <w:r>
        <w:rPr>
          <w:rFonts w:ascii="Times New Roman" w:hAnsi="Times New Roman"/>
          <w:spacing w:val="2"/>
          <w:sz w:val="28"/>
        </w:rPr>
        <w:t xml:space="preserve"> –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объект)</w:t>
      </w:r>
    </w:p>
    <w:p w14:paraId="47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1</w:t>
      </w:r>
    </w:p>
    <w:p w14:paraId="49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6121579" cy="1296627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6121579" cy="129662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2</w:t>
      </w:r>
    </w:p>
    <w:p w14:paraId="4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6121580" cy="5315471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6121580" cy="531547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C000000">
      <w:pPr>
        <w:spacing w:after="0" w:line="240" w:lineRule="auto"/>
        <w:ind w:firstLine="0"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6826885" cy="9905449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6826885" cy="99054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D000000">
      <w:pPr>
        <w:spacing w:after="0" w:line="240" w:lineRule="auto"/>
        <w:ind w:firstLine="0"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6826885" cy="9657799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6826885" cy="96577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E000000">
      <w:pPr>
        <w:spacing w:after="0" w:line="240" w:lineRule="auto"/>
        <w:ind w:firstLine="0"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6836409" cy="8971999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6836409" cy="89719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F000000">
      <w:pPr>
        <w:spacing w:after="0" w:line="240" w:lineRule="auto"/>
        <w:ind w:firstLine="0"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6836410" cy="9686374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6836410" cy="96863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0000000">
      <w:pPr>
        <w:spacing w:after="0" w:line="240" w:lineRule="auto"/>
        <w:ind w:firstLine="0"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6798310" cy="9619699"/>
            <wp:effectExtent b="0" l="0" r="0" t="0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6798310" cy="96196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1000000">
      <w:pPr>
        <w:spacing w:after="0" w:line="240" w:lineRule="auto"/>
        <w:ind w:firstLine="0"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6836410" cy="9686374"/>
            <wp:effectExtent b="0" l="0" r="0" t="0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6836410" cy="96863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2000000">
      <w:pPr>
        <w:spacing w:after="0" w:line="240" w:lineRule="auto"/>
        <w:ind w:firstLine="0"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6826885" cy="9657799"/>
            <wp:effectExtent b="0" l="0" r="0" t="0"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6826885" cy="96577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3000000">
      <w:pPr>
        <w:spacing w:after="0" w:line="240" w:lineRule="auto"/>
        <w:ind w:firstLine="0"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6855460" cy="9743524"/>
            <wp:effectExtent b="0" l="0" r="0" t="0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6855460" cy="97435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4000000">
      <w:pPr>
        <w:sectPr>
          <w:headerReference r:id="rId2" w:type="default"/>
          <w:headerReference r:id="rId5" w:type="even"/>
          <w:footerReference r:id="rId6" w:type="even"/>
          <w:pgSz w:h="16848" w:orient="portrait" w:w="11908"/>
          <w:pgMar w:bottom="1134" w:footer="709" w:gutter="0" w:header="709" w:left="1417" w:right="850" w:top="1134"/>
          <w:titlePg/>
        </w:sectPr>
      </w:pPr>
    </w:p>
    <w:p w14:paraId="55000000">
      <w:pPr>
        <w:spacing w:after="0" w:line="240" w:lineRule="auto"/>
        <w:ind w:firstLine="0" w:left="28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9315628" cy="13198985"/>
            <wp:effectExtent b="0" l="0" r="0" t="0"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8"/>
                    <a:stretch/>
                  </pic:blipFill>
                  <pic:spPr>
                    <a:xfrm flipH="false" flipV="false" rot="0">
                      <a:ext cx="9315628" cy="131989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6000000">
      <w:pPr>
        <w:spacing w:after="0" w:line="240" w:lineRule="auto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9636761" cy="13608131"/>
            <wp:effectExtent b="0" l="0" r="0" t="0"/>
            <wp:docPr hidden="false" id="28" name="Picture 28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19"/>
                    <a:stretch/>
                  </pic:blipFill>
                  <pic:spPr>
                    <a:xfrm flipH="false" flipV="false" rot="0">
                      <a:ext cx="9636761" cy="136081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7000000">
      <w:pPr>
        <w:spacing w:after="0" w:line="240" w:lineRule="auto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9684386" cy="13779581"/>
            <wp:effectExtent b="0" l="0" r="0" t="0"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20"/>
                    <a:stretch/>
                  </pic:blipFill>
                  <pic:spPr>
                    <a:xfrm flipH="false" flipV="false" rot="0">
                      <a:ext cx="9684386" cy="137795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8000000">
      <w:pPr>
        <w:spacing w:after="0" w:line="240" w:lineRule="auto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9570086" cy="13541456"/>
            <wp:effectExtent b="0" l="0" r="0" t="0"/>
            <wp:docPr hidden="false" id="32" name="Picture 32"/>
            <a:graphic>
              <a:graphicData uri="http://schemas.openxmlformats.org/drawingml/2006/picture">
                <pic:pic>
                  <pic:nvPicPr>
                    <pic:cNvPr hidden="false" id="31" name="Picture 31"/>
                    <pic:cNvPicPr preferRelativeResize="true"/>
                  </pic:nvPicPr>
                  <pic:blipFill>
                    <a:blip r:embed="rId21"/>
                    <a:stretch/>
                  </pic:blipFill>
                  <pic:spPr>
                    <a:xfrm flipH="false" flipV="false" rot="0">
                      <a:ext cx="9570086" cy="1354145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9000000">
      <w:pPr>
        <w:spacing w:after="0" w:line="240" w:lineRule="auto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9551036" cy="13570031"/>
            <wp:effectExtent b="0" l="0" r="0" t="0"/>
            <wp:docPr hidden="false" id="34" name="Picture 34"/>
            <a:graphic>
              <a:graphicData uri="http://schemas.openxmlformats.org/drawingml/2006/picture">
                <pic:pic>
                  <pic:nvPicPr>
                    <pic:cNvPr hidden="false" id="33" name="Picture 33"/>
                    <pic:cNvPicPr preferRelativeResize="true"/>
                  </pic:nvPicPr>
                  <pic:blipFill>
                    <a:blip r:embed="rId22"/>
                    <a:stretch/>
                  </pic:blipFill>
                  <pic:spPr>
                    <a:xfrm flipH="false" flipV="false" rot="0">
                      <a:ext cx="9551036" cy="135700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A000000">
      <w:pPr>
        <w:spacing w:after="0" w:line="240" w:lineRule="auto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9579611" cy="13598606"/>
            <wp:effectExtent b="0" l="0" r="0" t="0"/>
            <wp:docPr hidden="false" id="36" name="Picture 36"/>
            <a:graphic>
              <a:graphicData uri="http://schemas.openxmlformats.org/drawingml/2006/picture">
                <pic:pic>
                  <pic:nvPicPr>
                    <pic:cNvPr hidden="false" id="35" name="Picture 35"/>
                    <pic:cNvPicPr preferRelativeResize="true"/>
                  </pic:nvPicPr>
                  <pic:blipFill>
                    <a:blip r:embed="rId23"/>
                    <a:stretch/>
                  </pic:blipFill>
                  <pic:spPr>
                    <a:xfrm flipH="false" flipV="false" rot="0">
                      <a:ext cx="9579611" cy="1359860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B000000">
      <w:pPr>
        <w:spacing w:after="0" w:line="240" w:lineRule="auto"/>
        <w:ind w:firstLine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9551035" cy="13531931"/>
            <wp:effectExtent b="0" l="0" r="0" t="0"/>
            <wp:docPr hidden="false" id="38" name="Picture 38"/>
            <a:graphic>
              <a:graphicData uri="http://schemas.openxmlformats.org/drawingml/2006/picture">
                <pic:pic>
                  <pic:nvPicPr>
                    <pic:cNvPr hidden="false" id="37" name="Picture 37"/>
                    <pic:cNvPicPr preferRelativeResize="true"/>
                  </pic:nvPicPr>
                  <pic:blipFill>
                    <a:blip r:embed="rId24"/>
                    <a:stretch/>
                  </pic:blipFill>
                  <pic:spPr>
                    <a:xfrm flipH="false" flipV="false" rot="0">
                      <a:ext cx="9551035" cy="135319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headerReference r:id="rId1" w:type="default"/>
      <w:headerReference r:id="rId3" w:type="even"/>
      <w:footerReference r:id="rId4" w:type="even"/>
      <w:type w:val="nextPage"/>
      <w:pgSz w:h="23818" w:orient="portrait" w:w="16848"/>
      <w:pgMar w:bottom="1134" w:footer="709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3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26669</wp:posOffset>
              </wp:positionV>
              <wp:extent cx="152400" cy="257809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257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Fonts w:ascii="Times New Roman" w:hAnsi="Times New Roman"/>
        <w:sz w:val="28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column">
                <wp:posOffset>2984817</wp:posOffset>
              </wp:positionH>
              <wp:positionV relativeFrom="page">
                <wp:posOffset>476884</wp:posOffset>
              </wp:positionV>
              <wp:extent cx="152400" cy="257808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25780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2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8" w:type="paragraph">
    <w:name w:val="toc 2"/>
    <w:next w:val="Style_2"/>
    <w:link w:val="Style_8_ch"/>
    <w:uiPriority w:val="39"/>
    <w:pPr>
      <w:ind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2"/>
    <w:link w:val="Style_9_ch"/>
    <w:uiPriority w:val="39"/>
    <w:pPr>
      <w:ind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7" w:type="paragraph">
    <w:name w:val="Обычный1"/>
    <w:link w:val="Style_7_ch"/>
  </w:style>
  <w:style w:styleId="Style_7_ch" w:type="character">
    <w:name w:val="Обычный1"/>
    <w:link w:val="Style_7"/>
  </w:style>
  <w:style w:styleId="Style_10" w:type="paragraph">
    <w:name w:val="toc 6"/>
    <w:next w:val="Style_2"/>
    <w:link w:val="Style_10_ch"/>
    <w:uiPriority w:val="39"/>
    <w:pPr>
      <w:ind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2"/>
    <w:link w:val="Style_11_ch"/>
    <w:uiPriority w:val="39"/>
    <w:pPr>
      <w:ind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2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6" w:type="paragraph">
    <w:name w:val="List Paragraph"/>
    <w:basedOn w:val="Style_2"/>
    <w:link w:val="Style_6_ch"/>
    <w:pPr>
      <w:ind w:left="720"/>
      <w:contextualSpacing w:val="1"/>
    </w:pPr>
  </w:style>
  <w:style w:styleId="Style_6_ch" w:type="character">
    <w:name w:val="List Paragraph"/>
    <w:basedOn w:val="Style_2_ch"/>
    <w:link w:val="Style_6"/>
  </w:style>
  <w:style w:styleId="Style_16" w:type="paragraph">
    <w:name w:val="toc 3"/>
    <w:next w:val="Style_2"/>
    <w:link w:val="Style_16_ch"/>
    <w:uiPriority w:val="39"/>
    <w:pPr>
      <w:ind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Гиперссылка1"/>
    <w:basedOn w:val="Style_14"/>
    <w:link w:val="Style_17_ch"/>
    <w:rPr>
      <w:color w:themeColor="hyperlink" w:val="0563C1"/>
      <w:u w:val="single"/>
    </w:rPr>
  </w:style>
  <w:style w:styleId="Style_17_ch" w:type="character">
    <w:name w:val="Гиперссылка1"/>
    <w:basedOn w:val="Style_14_ch"/>
    <w:link w:val="Style_17"/>
    <w:rPr>
      <w:color w:themeColor="hyperlink" w:val="0563C1"/>
      <w:u w:val="single"/>
    </w:rPr>
  </w:style>
  <w:style w:styleId="Style_18" w:type="paragraph">
    <w:name w:val="heading 5"/>
    <w:next w:val="Style_2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19" w:type="paragraph">
    <w:name w:val="Plain Text"/>
    <w:basedOn w:val="Style_2"/>
    <w:link w:val="Style_19_ch"/>
    <w:pPr>
      <w:spacing w:after="0" w:line="240" w:lineRule="auto"/>
      <w:ind/>
    </w:pPr>
    <w:rPr>
      <w:rFonts w:ascii="Calibri" w:hAnsi="Calibri"/>
    </w:rPr>
  </w:style>
  <w:style w:styleId="Style_19_ch" w:type="character">
    <w:name w:val="Plain Text"/>
    <w:basedOn w:val="Style_2_ch"/>
    <w:link w:val="Style_19"/>
    <w:rPr>
      <w:rFonts w:ascii="Calibri" w:hAnsi="Calibri"/>
    </w:rPr>
  </w:style>
  <w:style w:styleId="Style_20" w:type="paragraph">
    <w:name w:val="heading 1"/>
    <w:next w:val="Style_2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Balloon Text"/>
    <w:basedOn w:val="Style_2"/>
    <w:link w:val="Style_21_ch"/>
    <w:pPr>
      <w:spacing w:after="0" w:line="240" w:lineRule="auto"/>
      <w:ind/>
    </w:pPr>
    <w:rPr>
      <w:rFonts w:ascii="Segoe UI" w:hAnsi="Segoe UI"/>
      <w:sz w:val="18"/>
    </w:rPr>
  </w:style>
  <w:style w:styleId="Style_21_ch" w:type="character">
    <w:name w:val="Balloon Text"/>
    <w:basedOn w:val="Style_2_ch"/>
    <w:link w:val="Style_21"/>
    <w:rPr>
      <w:rFonts w:ascii="Segoe UI" w:hAnsi="Segoe UI"/>
      <w:sz w:val="18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next w:val="Style_2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3" w:type="paragraph">
    <w:name w:val="footer"/>
    <w:basedOn w:val="Style_2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3_ch" w:type="character">
    <w:name w:val="footer"/>
    <w:basedOn w:val="Style_2_ch"/>
    <w:link w:val="Style_3"/>
    <w:rPr>
      <w:rFonts w:ascii="Times New Roman" w:hAnsi="Times New Roman"/>
      <w:sz w:val="28"/>
    </w:rPr>
  </w:style>
  <w:style w:styleId="Style_26" w:type="paragraph">
    <w:name w:val="toc 9"/>
    <w:next w:val="Style_2"/>
    <w:link w:val="Style_26_ch"/>
    <w:uiPriority w:val="39"/>
    <w:pPr>
      <w:ind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7" w:type="paragraph">
    <w:name w:val="toc 8"/>
    <w:next w:val="Style_2"/>
    <w:link w:val="Style_27_ch"/>
    <w:uiPriority w:val="39"/>
    <w:pPr>
      <w:ind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2"/>
    <w:link w:val="Style_28_ch"/>
    <w:uiPriority w:val="39"/>
    <w:pPr>
      <w:ind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2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2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2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2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table">
    <w:name w:val="Сетка таблицы1"/>
    <w:basedOn w:val="Style_4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4" w:type="table">
    <w:name w:val="Сетка таблицы2"/>
    <w:basedOn w:val="Style_4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Grid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5" Target="media/9.jpeg" Type="http://schemas.openxmlformats.org/officeDocument/2006/relationships/image"/>
  <Relationship Id="rId30" Target="theme/theme1.xml" Type="http://schemas.openxmlformats.org/officeDocument/2006/relationships/theme"/>
  <Relationship Id="rId27" Target="styles.xml" Type="http://schemas.openxmlformats.org/officeDocument/2006/relationships/styles"/>
  <Relationship Id="rId3" Target="header3.xml" Type="http://schemas.openxmlformats.org/officeDocument/2006/relationships/header"/>
  <Relationship Id="rId29" Target="webSettings.xml" Type="http://schemas.openxmlformats.org/officeDocument/2006/relationships/webSettings"/>
  <Relationship Id="rId5" Target="header5.xml" Type="http://schemas.openxmlformats.org/officeDocument/2006/relationships/header"/>
  <Relationship Id="rId12" Target="media/6.jpeg" Type="http://schemas.openxmlformats.org/officeDocument/2006/relationships/image"/>
  <Relationship Id="rId31" Target="numbering.xml" Type="http://schemas.openxmlformats.org/officeDocument/2006/relationships/numbering"/>
  <Relationship Id="rId13" Target="media/7.jpeg" Type="http://schemas.openxmlformats.org/officeDocument/2006/relationships/image"/>
  <Relationship Id="rId6" Target="footer6.xml" Type="http://schemas.openxmlformats.org/officeDocument/2006/relationships/footer"/>
  <Relationship Id="rId4" Target="footer4.xml" Type="http://schemas.openxmlformats.org/officeDocument/2006/relationships/footer"/>
  <Relationship Id="rId23" Target="media/17.jpeg" Type="http://schemas.openxmlformats.org/officeDocument/2006/relationships/image"/>
  <Relationship Id="rId21" Target="media/15.jpeg" Type="http://schemas.openxmlformats.org/officeDocument/2006/relationships/image"/>
  <Relationship Id="rId22" Target="media/16.jpeg" Type="http://schemas.openxmlformats.org/officeDocument/2006/relationships/image"/>
  <Relationship Id="rId28" Target="stylesWithEffects.xml" Type="http://schemas.microsoft.com/office/2007/relationships/stylesWithEffects"/>
  <Relationship Id="rId8" Target="media/2.png" Type="http://schemas.openxmlformats.org/officeDocument/2006/relationships/image"/>
  <Relationship Id="rId9" Target="media/3.png" Type="http://schemas.openxmlformats.org/officeDocument/2006/relationships/image"/>
  <Relationship Id="rId20" Target="media/14.jpeg" Type="http://schemas.openxmlformats.org/officeDocument/2006/relationships/image"/>
  <Relationship Id="rId19" Target="media/13.jpeg" Type="http://schemas.openxmlformats.org/officeDocument/2006/relationships/image"/>
  <Relationship Id="rId11" Target="media/5.jpeg" Type="http://schemas.openxmlformats.org/officeDocument/2006/relationships/image"/>
  <Relationship Id="rId14" Target="media/8.jpeg" Type="http://schemas.openxmlformats.org/officeDocument/2006/relationships/image"/>
  <Relationship Id="rId16" Target="media/10.jpeg" Type="http://schemas.openxmlformats.org/officeDocument/2006/relationships/image"/>
  <Relationship Id="rId10" Target="media/4.jpeg" Type="http://schemas.openxmlformats.org/officeDocument/2006/relationships/image"/>
  <Relationship Id="rId7" Target="media/1.jpeg" Type="http://schemas.openxmlformats.org/officeDocument/2006/relationships/image"/>
  <Relationship Id="rId25" Target="fontTable.xml" Type="http://schemas.openxmlformats.org/officeDocument/2006/relationships/fontTable"/>
  <Relationship Id="rId17" Target="media/11.jpeg" Type="http://schemas.openxmlformats.org/officeDocument/2006/relationships/image"/>
  <Relationship Id="rId26" Target="settings.xml" Type="http://schemas.openxmlformats.org/officeDocument/2006/relationships/setting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18" Target="media/12.jpeg" Type="http://schemas.openxmlformats.org/officeDocument/2006/relationships/image"/>
  <Relationship Id="rId24" Target="media/18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2026-07-27T03:04:12Z</dcterms:modified>
</cp:coreProperties>
</file>