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CD" w:rsidRDefault="00FF1191">
      <w:pPr>
        <w:spacing w:line="276" w:lineRule="auto"/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D32FCD" w:rsidRDefault="00D32FCD">
      <w:pPr>
        <w:spacing w:line="360" w:lineRule="auto"/>
        <w:jc w:val="center"/>
        <w:rPr>
          <w:sz w:val="32"/>
          <w:szCs w:val="32"/>
        </w:rPr>
      </w:pPr>
    </w:p>
    <w:p w:rsidR="00D32FCD" w:rsidRDefault="00D32FCD">
      <w:pPr>
        <w:jc w:val="center"/>
        <w:rPr>
          <w:b/>
          <w:bCs/>
          <w:sz w:val="32"/>
          <w:szCs w:val="32"/>
        </w:rPr>
      </w:pPr>
    </w:p>
    <w:p w:rsidR="00D32FCD" w:rsidRDefault="00D32FCD">
      <w:pPr>
        <w:rPr>
          <w:b/>
          <w:bCs/>
          <w:sz w:val="32"/>
          <w:szCs w:val="32"/>
        </w:rPr>
      </w:pPr>
    </w:p>
    <w:p w:rsidR="00D32FCD" w:rsidRDefault="00FF1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ФИНАНСОВ</w:t>
      </w:r>
    </w:p>
    <w:p w:rsidR="00D32FCD" w:rsidRDefault="00FF1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КАМЧАТСКОГО КРАЯ</w:t>
      </w:r>
    </w:p>
    <w:p w:rsidR="00D32FCD" w:rsidRDefault="00D32FCD">
      <w:pPr>
        <w:jc w:val="center"/>
      </w:pPr>
    </w:p>
    <w:p w:rsidR="00D32FCD" w:rsidRDefault="00FF1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D32FCD" w:rsidRDefault="00D32FCD">
      <w:pPr>
        <w:jc w:val="center"/>
        <w:rPr>
          <w:sz w:val="28"/>
          <w:szCs w:val="28"/>
        </w:rPr>
      </w:pPr>
    </w:p>
    <w:p w:rsidR="00D32FCD" w:rsidRDefault="00D32FCD">
      <w:pPr>
        <w:ind w:firstLine="709"/>
        <w:jc w:val="center"/>
        <w:rPr>
          <w:sz w:val="20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D32FCD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D32FCD" w:rsidRDefault="00FF1191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D32FCD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D32FCD" w:rsidRDefault="00FF1191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D32FCD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D32FCD" w:rsidRDefault="00D32FCD">
            <w:pPr>
              <w:jc w:val="both"/>
              <w:rPr>
                <w:sz w:val="20"/>
              </w:rPr>
            </w:pPr>
          </w:p>
        </w:tc>
      </w:tr>
    </w:tbl>
    <w:p w:rsidR="00D32FCD" w:rsidRDefault="00D32FCD">
      <w:pPr>
        <w:ind w:firstLine="709"/>
        <w:jc w:val="both"/>
        <w:rPr>
          <w:bCs/>
          <w:sz w:val="28"/>
          <w:szCs w:val="28"/>
        </w:rPr>
      </w:pPr>
    </w:p>
    <w:tbl>
      <w:tblPr>
        <w:tblStyle w:val="af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32FCD">
        <w:tc>
          <w:tcPr>
            <w:tcW w:w="9639" w:type="dxa"/>
          </w:tcPr>
          <w:p w:rsidR="00D32FCD" w:rsidRDefault="00FF1191">
            <w:pPr>
              <w:ind w:left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Перечень главных администраторов </w:t>
            </w:r>
          </w:p>
          <w:p w:rsidR="00D32FCD" w:rsidRDefault="00FF1191">
            <w:pPr>
              <w:ind w:left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доходов краевого бюджета</w:t>
            </w:r>
          </w:p>
        </w:tc>
      </w:tr>
    </w:tbl>
    <w:p w:rsidR="00D32FCD" w:rsidRDefault="00D32FCD">
      <w:pPr>
        <w:ind w:firstLine="709"/>
        <w:jc w:val="both"/>
        <w:rPr>
          <w:sz w:val="28"/>
          <w:szCs w:val="28"/>
        </w:rPr>
      </w:pPr>
    </w:p>
    <w:p w:rsidR="00D32FCD" w:rsidRDefault="00D32FCD">
      <w:pPr>
        <w:ind w:firstLine="709"/>
        <w:jc w:val="both"/>
        <w:rPr>
          <w:sz w:val="28"/>
          <w:szCs w:val="28"/>
        </w:rPr>
      </w:pPr>
    </w:p>
    <w:p w:rsidR="00D32FCD" w:rsidRDefault="00FF1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П</w:t>
      </w:r>
      <w:r>
        <w:rPr>
          <w:sz w:val="28"/>
          <w:szCs w:val="28"/>
        </w:rPr>
        <w:t xml:space="preserve">орядка внесения изменений в перечни главных администраторов доходов краевого бюджета, главных администраторов доходов бюджета территориального фонда обязательного медицинского страхования Камчатского края, главных администраторов источников финансирования </w:t>
      </w:r>
      <w:r>
        <w:rPr>
          <w:sz w:val="28"/>
          <w:szCs w:val="28"/>
        </w:rPr>
        <w:t>дефицита краевого бюджета, главных администраторов источников финансирования дефицита бюджета территориального фонда обязательного медицинского страхования Камчатского края, утвержденного постановлением Правительства Камчатского края от 30.12.2021 № 595-П,</w:t>
      </w:r>
    </w:p>
    <w:p w:rsidR="00D32FCD" w:rsidRDefault="00D32FCD">
      <w:pPr>
        <w:ind w:firstLine="709"/>
        <w:jc w:val="both"/>
        <w:rPr>
          <w:sz w:val="28"/>
          <w:szCs w:val="28"/>
        </w:rPr>
      </w:pPr>
    </w:p>
    <w:p w:rsidR="00D32FCD" w:rsidRDefault="00FF1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32FCD" w:rsidRDefault="00D32FCD">
      <w:pPr>
        <w:ind w:firstLine="709"/>
        <w:jc w:val="both"/>
        <w:rPr>
          <w:sz w:val="28"/>
          <w:szCs w:val="28"/>
        </w:rPr>
      </w:pPr>
    </w:p>
    <w:p w:rsidR="00D32FCD" w:rsidRDefault="00FF11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Перечень главных администраторов доходов краевого бюджета, утвержденный постановлением Правительства Камчатского края </w:t>
      </w:r>
      <w:r>
        <w:rPr>
          <w:sz w:val="28"/>
          <w:szCs w:val="28"/>
        </w:rPr>
        <w:br/>
        <w:t>от 27.12.2021 № 581-П «Об утверждении перечней главных администраторов доходов краевого бюджета и главных адми</w:t>
      </w:r>
      <w:r>
        <w:rPr>
          <w:sz w:val="28"/>
          <w:szCs w:val="28"/>
        </w:rPr>
        <w:t>нистраторов источников финансирования дефицита краевого бюджета», изменения, дополнив кодами бюджетной классификации Российской Федерации следующего содержания:</w:t>
      </w:r>
    </w:p>
    <w:p w:rsidR="00D32FCD" w:rsidRDefault="00FF11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«814 2 19 45161 02 0000 150 Возврат остатков иных межбюджетных трансфертов на реализацию отд</w:t>
      </w:r>
      <w:r>
        <w:rPr>
          <w:sz w:val="28"/>
          <w:szCs w:val="28"/>
        </w:rPr>
        <w:t>ельных полномочий в области лекарственного обеспечения из бюджетов субъектов Российской Федерации</w:t>
      </w:r>
      <w:bookmarkStart w:id="1" w:name="_GoBack"/>
      <w:bookmarkEnd w:id="1"/>
      <w:r>
        <w:rPr>
          <w:sz w:val="28"/>
          <w:szCs w:val="28"/>
        </w:rPr>
        <w:t>»;</w:t>
      </w:r>
    </w:p>
    <w:p w:rsidR="00D32FCD" w:rsidRDefault="00FF11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«861 1 17 05020 02 0000 180 Прочие неналоговые доходы бюджетов субъектов Российской Федерации».</w:t>
      </w:r>
    </w:p>
    <w:p w:rsidR="00D32FCD" w:rsidRDefault="00D32FCD">
      <w:pPr>
        <w:ind w:firstLine="709"/>
        <w:contextualSpacing/>
        <w:jc w:val="both"/>
        <w:rPr>
          <w:sz w:val="28"/>
          <w:szCs w:val="28"/>
        </w:rPr>
      </w:pPr>
    </w:p>
    <w:p w:rsidR="00D32FCD" w:rsidRDefault="00D32FCD">
      <w:pPr>
        <w:ind w:firstLine="709"/>
        <w:contextualSpacing/>
        <w:jc w:val="both"/>
        <w:rPr>
          <w:sz w:val="28"/>
          <w:szCs w:val="28"/>
        </w:rPr>
      </w:pPr>
    </w:p>
    <w:p w:rsidR="00D32FCD" w:rsidRDefault="00D32FCD">
      <w:pPr>
        <w:ind w:firstLine="709"/>
        <w:contextualSpacing/>
        <w:jc w:val="both"/>
        <w:rPr>
          <w:sz w:val="28"/>
          <w:szCs w:val="28"/>
        </w:rPr>
      </w:pPr>
    </w:p>
    <w:p w:rsidR="00D32FCD" w:rsidRDefault="00FF11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Настоящий приказ вступает в силу после дня его офи</w:t>
      </w:r>
      <w:r>
        <w:rPr>
          <w:sz w:val="28"/>
          <w:szCs w:val="28"/>
        </w:rPr>
        <w:t>циального опубликования.</w:t>
      </w:r>
    </w:p>
    <w:p w:rsidR="00D32FCD" w:rsidRDefault="00D32FCD">
      <w:pPr>
        <w:ind w:firstLine="709"/>
        <w:jc w:val="both"/>
        <w:rPr>
          <w:bCs/>
          <w:sz w:val="28"/>
          <w:szCs w:val="28"/>
        </w:rPr>
      </w:pPr>
    </w:p>
    <w:p w:rsidR="00D32FCD" w:rsidRDefault="00D32FCD">
      <w:pPr>
        <w:ind w:firstLine="709"/>
        <w:jc w:val="both"/>
        <w:rPr>
          <w:bCs/>
          <w:sz w:val="28"/>
          <w:szCs w:val="28"/>
        </w:rPr>
      </w:pPr>
    </w:p>
    <w:p w:rsidR="00D32FCD" w:rsidRDefault="00D32FCD">
      <w:pPr>
        <w:ind w:firstLine="709"/>
        <w:jc w:val="both"/>
        <w:rPr>
          <w:bCs/>
          <w:sz w:val="28"/>
          <w:szCs w:val="28"/>
        </w:rPr>
      </w:pPr>
    </w:p>
    <w:tbl>
      <w:tblPr>
        <w:tblW w:w="98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4472"/>
        <w:gridCol w:w="2308"/>
      </w:tblGrid>
      <w:tr w:rsidR="00D32FCD">
        <w:trPr>
          <w:trHeight w:val="227"/>
        </w:trPr>
        <w:tc>
          <w:tcPr>
            <w:tcW w:w="3029" w:type="dxa"/>
            <w:shd w:val="clear" w:color="auto" w:fill="auto"/>
            <w:tcMar>
              <w:left w:w="0" w:type="dxa"/>
              <w:right w:w="0" w:type="dxa"/>
            </w:tcMar>
          </w:tcPr>
          <w:p w:rsidR="00D32FCD" w:rsidRDefault="00FF1191">
            <w:pPr>
              <w:ind w:right="27"/>
            </w:pPr>
            <w:r>
              <w:rPr>
                <w:sz w:val="28"/>
              </w:rPr>
              <w:t>Министр</w:t>
            </w:r>
          </w:p>
        </w:tc>
        <w:tc>
          <w:tcPr>
            <w:tcW w:w="4472" w:type="dxa"/>
            <w:shd w:val="clear" w:color="auto" w:fill="auto"/>
            <w:tcMar>
              <w:left w:w="0" w:type="dxa"/>
              <w:right w:w="0" w:type="dxa"/>
            </w:tcMar>
          </w:tcPr>
          <w:p w:rsidR="00D32FCD" w:rsidRDefault="00FF1191">
            <w:pPr>
              <w:rPr>
                <w:color w:val="000000" w:themeColor="text1"/>
              </w:rPr>
            </w:pPr>
            <w:bookmarkStart w:id="2" w:name="SIGNERSTAMP1"/>
            <w:r>
              <w:rPr>
                <w:color w:val="FFFFFF" w:themeColor="background1"/>
              </w:rPr>
              <w:t>[горизонтальный штамп подписи 1]</w:t>
            </w:r>
            <w:bookmarkEnd w:id="2"/>
          </w:p>
        </w:tc>
        <w:tc>
          <w:tcPr>
            <w:tcW w:w="2308" w:type="dxa"/>
            <w:shd w:val="clear" w:color="auto" w:fill="auto"/>
            <w:tcMar>
              <w:left w:w="0" w:type="dxa"/>
              <w:right w:w="0" w:type="dxa"/>
            </w:tcMar>
          </w:tcPr>
          <w:p w:rsidR="00D32FCD" w:rsidRDefault="00FF11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Бутылин</w:t>
            </w:r>
          </w:p>
        </w:tc>
      </w:tr>
    </w:tbl>
    <w:p w:rsidR="00D32FCD" w:rsidRDefault="00D32FCD">
      <w:pPr>
        <w:jc w:val="both"/>
        <w:rPr>
          <w:sz w:val="12"/>
          <w:szCs w:val="12"/>
        </w:rPr>
      </w:pPr>
    </w:p>
    <w:sectPr w:rsidR="00D32FCD">
      <w:headerReference w:type="default" r:id="rId12"/>
      <w:headerReference w:type="first" r:id="rId13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FCD" w:rsidRDefault="00FF1191">
      <w:r>
        <w:separator/>
      </w:r>
    </w:p>
  </w:endnote>
  <w:endnote w:type="continuationSeparator" w:id="0">
    <w:p w:rsidR="00D32FCD" w:rsidRDefault="00FF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FCD" w:rsidRDefault="00FF1191">
      <w:r>
        <w:separator/>
      </w:r>
    </w:p>
  </w:footnote>
  <w:footnote w:type="continuationSeparator" w:id="0">
    <w:p w:rsidR="00D32FCD" w:rsidRDefault="00FF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90789"/>
      <w:docPartObj>
        <w:docPartGallery w:val="Page Numbers (Top of Page)"/>
        <w:docPartUnique/>
      </w:docPartObj>
    </w:sdtPr>
    <w:sdtEndPr/>
    <w:sdtContent>
      <w:p w:rsidR="00D32FCD" w:rsidRDefault="00FF1191">
        <w:pPr>
          <w:pStyle w:val="af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32FCD" w:rsidRDefault="00D32FCD">
    <w:pPr>
      <w:pStyle w:val="afb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CD" w:rsidRDefault="00D32FCD">
    <w:pPr>
      <w:pStyle w:val="afb"/>
      <w:jc w:val="center"/>
      <w:rPr>
        <w:rFonts w:ascii="Times New Roman" w:hAnsi="Times New Roman" w:cs="Times New Roman"/>
        <w:sz w:val="28"/>
        <w:szCs w:val="28"/>
      </w:rPr>
    </w:pPr>
  </w:p>
  <w:p w:rsidR="00D32FCD" w:rsidRDefault="00D32FCD">
    <w:pPr>
      <w:pStyle w:val="afb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CD"/>
    <w:rsid w:val="00D32FCD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F2C65-53A9-45F1-928E-FA2F3527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Plain Text"/>
    <w:basedOn w:val="a"/>
    <w:link w:val="af6"/>
    <w:uiPriority w:val="99"/>
    <w:semiHidden/>
    <w:unhideWhenUsed/>
    <w:rPr>
      <w:rFonts w:ascii="Calibri" w:eastAsia="Calibri" w:hAnsi="Calibri"/>
      <w:szCs w:val="21"/>
    </w:rPr>
  </w:style>
  <w:style w:type="character" w:customStyle="1" w:styleId="af6">
    <w:name w:val="Текст Знак"/>
    <w:basedOn w:val="a0"/>
    <w:link w:val="af5"/>
    <w:uiPriority w:val="99"/>
    <w:semiHidden/>
    <w:rPr>
      <w:rFonts w:ascii="Calibri" w:eastAsia="Calibri" w:hAnsi="Calibri" w:cs="Times New Roman"/>
      <w:szCs w:val="21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Верхний колонтитул Знак"/>
    <w:basedOn w:val="a0"/>
    <w:link w:val="afb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3">
    <w:name w:val="Сетка таблицы1"/>
    <w:basedOn w:val="a1"/>
    <w:next w:val="a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">
    <w:name w:val="Normal (Web)"/>
    <w:basedOn w:val="a"/>
    <w:uiPriority w:val="99"/>
    <w:semiHidden/>
    <w:unhideWhenUsed/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8880-DEF4-44A0-B7E6-029E4FEC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Ахметшина Ирина Викторовна</cp:lastModifiedBy>
  <cp:revision>94</cp:revision>
  <dcterms:created xsi:type="dcterms:W3CDTF">2024-11-08T02:11:00Z</dcterms:created>
  <dcterms:modified xsi:type="dcterms:W3CDTF">2026-07-22T03:25:00Z</dcterms:modified>
</cp:coreProperties>
</file>