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10206"/>
      </w:tblGrid>
      <w:tr>
        <w:tc>
          <w:tcPr>
            <w:tcW w:type="dxa" w:w="1020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утверждении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</w:t>
            </w:r>
            <w:r>
              <w:rPr>
                <w:rFonts w:ascii="Times New Roman" w:hAnsi="Times New Roman"/>
                <w:b w:val="1"/>
                <w:sz w:val="28"/>
              </w:rPr>
              <w:t>дминистративного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регламента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Министерства социального благополучия и семейной политики Камчатского края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предоставлению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государственной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услуги </w:t>
            </w: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Назначение ежемесячной доплаты к пенсии лицам, замещавшим государственные должности Камчатского края, и пенсии </w:t>
            </w:r>
            <w:r>
              <w:rPr>
                <w:rFonts w:ascii="Times New Roman" w:hAnsi="Times New Roman"/>
                <w:b w:val="1"/>
                <w:sz w:val="28"/>
              </w:rPr>
              <w:t>за выслугу лет лицам, замещавшим должности государственной гражданской службы Камчатского края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Федеральным законом от 27.07.2010 № 210-ФЗ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</w:rPr>
        <w:t>Законом Камчатского края от 10.12.2007 № 710 «О пенсионном обеспечении лиц, замещавших государственные должности Камчатского края и должности государственной гражданской службы Камчатского края», постановлением Правительства Камчатского края от 18.12.2013 № 592-П «Об утверждении Порядка назначения и выплаты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края»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дминистративный регламент Министерства социального благополуч</w:t>
      </w:r>
      <w:r>
        <w:rPr>
          <w:rFonts w:ascii="Times New Roman" w:hAnsi="Times New Roman"/>
          <w:b w:val="0"/>
          <w:color w:val="000000"/>
          <w:sz w:val="28"/>
        </w:rPr>
        <w:t xml:space="preserve">ия и семейной политики Камчатского края </w:t>
      </w:r>
      <w:r>
        <w:rPr>
          <w:rFonts w:ascii="Times New Roman" w:hAnsi="Times New Roman"/>
          <w:b w:val="0"/>
          <w:color w:val="00000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color w:val="000000"/>
          <w:sz w:val="28"/>
        </w:rPr>
        <w:t>государственной</w:t>
      </w:r>
      <w:r>
        <w:rPr>
          <w:rFonts w:ascii="Times New Roman" w:hAnsi="Times New Roman"/>
          <w:b w:val="0"/>
          <w:color w:val="000000"/>
          <w:sz w:val="28"/>
        </w:rPr>
        <w:t xml:space="preserve"> услуги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«Н</w:t>
      </w:r>
      <w:r>
        <w:rPr>
          <w:rFonts w:ascii="Times New Roman" w:hAnsi="Times New Roman"/>
          <w:sz w:val="28"/>
        </w:rPr>
        <w:t>азначение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согласно приложению к настоящему приказу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 </w:t>
      </w:r>
      <w:r>
        <w:rPr>
          <w:rStyle w:val="Style_2_ch"/>
          <w:rFonts w:ascii="Times New Roman" w:hAnsi="Times New Roman"/>
          <w:sz w:val="28"/>
        </w:rPr>
        <w:t>Признать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утратившим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силу </w:t>
      </w:r>
      <w:r>
        <w:rPr>
          <w:rStyle w:val="Style_2_ch"/>
          <w:rFonts w:ascii="Times New Roman" w:hAnsi="Times New Roman"/>
          <w:sz w:val="28"/>
        </w:rPr>
        <w:t>п</w:t>
      </w:r>
      <w:r>
        <w:rPr>
          <w:rStyle w:val="Style_2_ch"/>
          <w:rFonts w:ascii="Times New Roman" w:hAnsi="Times New Roman"/>
          <w:sz w:val="28"/>
        </w:rPr>
        <w:t xml:space="preserve">риказ </w:t>
      </w:r>
      <w:r>
        <w:rPr>
          <w:rStyle w:val="Style_2_ch"/>
          <w:rFonts w:ascii="Times New Roman" w:hAnsi="Times New Roman"/>
          <w:sz w:val="28"/>
        </w:rPr>
        <w:t>Министерства социального благополуч</w:t>
      </w:r>
      <w:r>
        <w:rPr>
          <w:rStyle w:val="Style_2_ch"/>
          <w:rFonts w:ascii="Times New Roman" w:hAnsi="Times New Roman"/>
          <w:sz w:val="28"/>
        </w:rPr>
        <w:t>ия и семейной политики Камчатского края</w:t>
      </w:r>
      <w:r>
        <w:rPr>
          <w:rStyle w:val="Style_2_ch"/>
          <w:rFonts w:ascii="Times New Roman" w:hAnsi="Times New Roman"/>
          <w:sz w:val="28"/>
        </w:rPr>
        <w:t xml:space="preserve"> от 05.11.2025 № 79-Н </w:t>
      </w:r>
      <w:r>
        <w:rPr>
          <w:rStyle w:val="Style_2_ch"/>
          <w:rFonts w:ascii="Times New Roman" w:hAnsi="Times New Roman"/>
          <w:sz w:val="28"/>
        </w:rPr>
        <w:t xml:space="preserve">по предоставлению </w:t>
      </w:r>
      <w:r>
        <w:rPr>
          <w:rStyle w:val="Style_2_ch"/>
          <w:rFonts w:ascii="Times New Roman" w:hAnsi="Times New Roman"/>
          <w:sz w:val="28"/>
        </w:rPr>
        <w:t xml:space="preserve">государственной услуги «Назначение и выплата ежемесячной доплаты к пенсии </w:t>
      </w:r>
      <w:r>
        <w:rPr>
          <w:rStyle w:val="Style_2_ch"/>
          <w:rFonts w:ascii="Times New Roman" w:hAnsi="Times New Roman"/>
          <w:sz w:val="28"/>
        </w:rPr>
        <w:t xml:space="preserve">лицам, замещавшим государственные должности Камчатского края, и пенсии за </w:t>
      </w:r>
      <w:r>
        <w:rPr>
          <w:rStyle w:val="Style_2_ch"/>
          <w:rFonts w:ascii="Times New Roman" w:hAnsi="Times New Roman"/>
          <w:sz w:val="28"/>
        </w:rPr>
        <w:t xml:space="preserve">выслугу лет лицам, замещавшим должности государственной гражданской </w:t>
      </w:r>
      <w:r>
        <w:rPr>
          <w:rStyle w:val="Style_2_ch"/>
          <w:rFonts w:ascii="Times New Roman" w:hAnsi="Times New Roman"/>
          <w:sz w:val="28"/>
        </w:rPr>
        <w:t>службы Камчатского края»</w:t>
      </w:r>
      <w:r>
        <w:rPr>
          <w:rStyle w:val="Style_2_ch"/>
          <w:rFonts w:ascii="Times New Roman" w:hAnsi="Times New Roman"/>
          <w:sz w:val="28"/>
        </w:rPr>
        <w:t>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Настоящий приказ вступает в силу после дня его официального опубликования. 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3146"/>
        <w:gridCol w:w="4650"/>
        <w:gridCol w:w="2402"/>
      </w:tblGrid>
      <w:tr>
        <w:trPr>
          <w:trHeight w:hRule="atLeast" w:val="2543"/>
        </w:trPr>
        <w:tc>
          <w:tcPr>
            <w:tcW w:type="dxa" w:w="3146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4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50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402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7000000">
      <w:r>
        <w:br w:type="page"/>
      </w:r>
    </w:p>
    <w:p w14:paraId="28000000">
      <w:pPr>
        <w:widowControl w:val="0"/>
        <w:tabs>
          <w:tab w:leader="none" w:pos="8222" w:val="left"/>
        </w:tabs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9000000">
      <w:pPr>
        <w:widowControl w:val="0"/>
        <w:tabs>
          <w:tab w:leader="none" w:pos="8222" w:val="left"/>
        </w:tabs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 благополучия и семейной политики Камчатского края</w:t>
      </w:r>
    </w:p>
    <w:tbl>
      <w:tblPr>
        <w:tblStyle w:val="Style_4"/>
        <w:tblW w:type="auto" w:w="0"/>
        <w:tblInd w:type="dxa" w:w="5061"/>
        <w:tblLayout w:type="fixed"/>
      </w:tblPr>
      <w:tblGrid>
        <w:gridCol w:w="470"/>
        <w:gridCol w:w="1869"/>
        <w:gridCol w:w="487"/>
        <w:gridCol w:w="1700"/>
      </w:tblGrid>
      <w:tr>
        <w:tc>
          <w:tcPr>
            <w:tcW w:type="dxa" w:w="4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Административный регламент</w:t>
      </w:r>
    </w:p>
    <w:p w14:paraId="30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Министерства социального благополучия и семейной политики Камчатского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 предоставлению государственной услуги «</w:t>
      </w:r>
      <w:r>
        <w:rPr>
          <w:rFonts w:ascii="Times New Roman" w:hAnsi="Times New Roman"/>
          <w:b w:val="0"/>
          <w:color w:val="000000"/>
          <w:sz w:val="28"/>
        </w:rPr>
        <w:t>Назначение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31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2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33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Назначение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».</w:t>
      </w:r>
    </w:p>
    <w:p w14:paraId="35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Услуга предоставляется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следующим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категориям заявителей: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лица, замещавшие государственные должности Камчатского края, лица, замещавшие должности государственной гражданской службы Камчатского края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, указанным в приложении №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1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к настоящему Административному регламенту.</w:t>
      </w:r>
    </w:p>
    <w:p w14:paraId="36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Услуга должна быть предоставлена заявителю в соответствии с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категориями (признаками) заявителя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ootnoteReference w:id="1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(далее – Единый портал).</w:t>
      </w:r>
    </w:p>
    <w:p w14:paraId="3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8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Стандарт предоставления Услуги</w:t>
      </w:r>
    </w:p>
    <w:p w14:paraId="39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3A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Наименование Услуги</w:t>
      </w:r>
    </w:p>
    <w:p w14:paraId="3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C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Назначение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.</w:t>
      </w:r>
    </w:p>
    <w:p w14:paraId="3D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E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Наименование органа, предоставляющего Услугу</w:t>
      </w:r>
    </w:p>
    <w:p w14:paraId="3F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0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Услугу</w:t>
      </w:r>
      <w:r>
        <w:rPr>
          <w:rFonts w:ascii="Times New Roman" w:hAnsi="Times New Roman"/>
          <w:b w:val="0"/>
          <w:color w:val="000000"/>
          <w:sz w:val="28"/>
        </w:rPr>
        <w:t xml:space="preserve"> предоставляет </w:t>
      </w:r>
      <w:r>
        <w:rPr>
          <w:rFonts w:ascii="Times New Roman" w:hAnsi="Times New Roman"/>
          <w:b w:val="0"/>
          <w:color w:val="000000"/>
          <w:sz w:val="28"/>
        </w:rPr>
        <w:t>Министерство со</w:t>
      </w:r>
      <w:r>
        <w:rPr>
          <w:rFonts w:ascii="Times New Roman" w:hAnsi="Times New Roman"/>
          <w:b w:val="0"/>
          <w:color w:val="000000"/>
          <w:sz w:val="28"/>
        </w:rPr>
        <w:t xml:space="preserve">циального благополучия и семейной политики Камчатского края </w:t>
      </w:r>
      <w:r>
        <w:rPr>
          <w:rFonts w:ascii="Times New Roman" w:hAnsi="Times New Roman"/>
          <w:b w:val="0"/>
          <w:color w:val="000000"/>
          <w:sz w:val="28"/>
        </w:rPr>
        <w:t xml:space="preserve">(далее – </w:t>
      </w:r>
      <w:r>
        <w:rPr>
          <w:rFonts w:ascii="Times New Roman" w:hAnsi="Times New Roman"/>
          <w:b w:val="0"/>
          <w:color w:val="000000"/>
          <w:sz w:val="28"/>
        </w:rPr>
        <w:t>Орган власти)</w:t>
      </w:r>
      <w:r>
        <w:rPr>
          <w:rFonts w:ascii="Times New Roman" w:hAnsi="Times New Roman"/>
          <w:b w:val="0"/>
          <w:color w:val="00000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4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42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Результат предоставления Услуги</w:t>
      </w:r>
    </w:p>
    <w:p w14:paraId="43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6.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 обращении заявителя за 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азначением ежемесячной доплаты к пенсии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результатами предоставления Услуги являются: </w:t>
      </w:r>
    </w:p>
    <w:p w14:paraId="4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Приказ Органа власти о назначении ежемесячной доплаты к пенсии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4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б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письменное уведомление об отказе в предоставлении государственной услуги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4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Формирование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4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7.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 обращении заявителя за 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азначением пенсии за выслугу лет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результатами предоставления Услуги являются: </w:t>
      </w:r>
    </w:p>
    <w:p w14:paraId="49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Приказ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Органа власти о назначении пенсии за выслугу лет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4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б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письменное уведомление об отказе в предоставлении государственной услуги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4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Формирование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4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8.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Результаты предоставления Услуги могут быть получены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в Органе власти, заказным почтовым отправлением с уведомлением о вручении, посредством Единого портала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.</w:t>
      </w:r>
    </w:p>
    <w:p w14:paraId="4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E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Срок предоставления Услуги</w:t>
      </w:r>
    </w:p>
    <w:p w14:paraId="4F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0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709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9.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:</w:t>
      </w:r>
    </w:p>
    <w:p w14:paraId="51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709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10 рабочих дней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заявителя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в Органе власти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</w:p>
    <w:p w14:paraId="52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709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б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10 рабочих дней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заявителя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посредством Единого портала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</w:p>
    <w:p w14:paraId="53000000">
      <w:pPr>
        <w:pStyle w:val="Style_2"/>
        <w:tabs>
          <w:tab w:leader="none" w:pos="284" w:val="left"/>
          <w:tab w:leader="none" w:pos="1134" w:val="left"/>
        </w:tabs>
        <w:spacing w:after="0" w:line="240" w:lineRule="auto"/>
        <w:ind w:firstLine="709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в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10 рабочих дней 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езависимо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заявителя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посредством почтовой связи с уведомлением о вручении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.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</w:p>
    <w:p w14:paraId="5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55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Размер платы, взимаемой с заявителя при предоставлении Услуги, и способы ее взимания</w:t>
      </w:r>
    </w:p>
    <w:p w14:paraId="5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5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Взимание платы за предоставление Услуги законодательством Российской Федерации не предусмотрено.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5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59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5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11.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Макс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имальный срок ожидания в очереди при подаче заявления </w:t>
      </w:r>
      <w:r>
        <w:rPr>
          <w:rFonts w:ascii="Times New Roman" w:hAnsi="Times New Roman"/>
          <w:b w:val="0"/>
          <w:i w:val="0"/>
          <w:color w:val="000000"/>
          <w:sz w:val="28"/>
        </w:rPr>
        <w:t>в Органе власти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составляет 15 минут.</w:t>
      </w:r>
    </w:p>
    <w:p w14:paraId="5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12.</w:t>
      </w:r>
      <w:r>
        <w:rPr>
          <w:rFonts w:ascii="XO Thames" w:hAnsi="XO Thames"/>
          <w:b w:val="0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Максимальный срок ожидания в очереди при получении результата Услуги </w:t>
      </w:r>
      <w:r>
        <w:rPr>
          <w:rFonts w:ascii="Times New Roman" w:hAnsi="Times New Roman"/>
          <w:b w:val="0"/>
          <w:i w:val="0"/>
          <w:color w:val="000000"/>
          <w:sz w:val="28"/>
        </w:rPr>
        <w:t>в Органе власти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составляет 15 минут.</w:t>
      </w:r>
    </w:p>
    <w:p w14:paraId="5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E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Срок регистрации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заявления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заявителя о предоставлении Услуги</w:t>
      </w:r>
    </w:p>
    <w:p w14:paraId="5F000000">
      <w:pPr>
        <w:pStyle w:val="Style_2"/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60000000">
      <w:pPr>
        <w:pStyle w:val="Style_2"/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13.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1000000">
      <w:pPr>
        <w:pStyle w:val="Style_2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в Органе власти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–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62000000">
      <w:pPr>
        <w:pStyle w:val="Style_2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б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посредством Единого портала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–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63000000">
      <w:pPr>
        <w:pStyle w:val="Style_2"/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в) </w:t>
      </w:r>
      <w:r>
        <w:rPr>
          <w:rFonts w:ascii="Times New Roman" w:hAnsi="Times New Roman"/>
          <w:b w:val="0"/>
          <w:color w:val="000000"/>
          <w:sz w:val="28"/>
        </w:rPr>
        <w:t xml:space="preserve">посредством почтовой связи – 1 рабочий день с даты получения </w:t>
      </w:r>
      <w:r>
        <w:rPr>
          <w:rFonts w:ascii="Times New Roman" w:hAnsi="Times New Roman"/>
          <w:b w:val="0"/>
          <w:color w:val="000000"/>
          <w:sz w:val="28"/>
        </w:rPr>
        <w:t>в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Органе власти заявления и документов, необходимых для предоставления Услуги.</w:t>
      </w:r>
    </w:p>
    <w:p w14:paraId="64000000">
      <w:pPr>
        <w:pStyle w:val="Style_2"/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65000000">
      <w:pPr>
        <w:pStyle w:val="Style_2"/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Требования к помещениям, в которых предоставляется Услуга</w:t>
      </w:r>
    </w:p>
    <w:p w14:paraId="66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</w:p>
    <w:p w14:paraId="67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14.</w:t>
      </w:r>
      <w:r>
        <w:rPr>
          <w:rFonts w:ascii="XO Thames" w:hAnsi="XO Thames"/>
          <w:b w:val="0"/>
          <w:i w:val="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sz w:val="28"/>
        </w:rPr>
        <w:t>Требования</w:t>
      </w:r>
      <w:r>
        <w:rPr>
          <w:rFonts w:ascii="Times New Roman" w:hAnsi="Times New Roman"/>
          <w:b w:val="0"/>
          <w:sz w:val="28"/>
        </w:rPr>
        <w:t xml:space="preserve"> к помещениям, в которых предоставляется Услуга, размещены на официальном сайте Органа власти в сети «Интернет» во вкладке «Государственные услуги» раздела «Текущая деятельность», а также на ЕПГУ и п</w:t>
      </w:r>
      <w:r>
        <w:rPr>
          <w:rFonts w:ascii="Times New Roman" w:hAnsi="Times New Roman"/>
          <w:b w:val="0"/>
          <w:sz w:val="28"/>
        </w:rPr>
        <w:t>ортале государственных и муниципальных услуг (функций) Камчатского края.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68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b w:val="0"/>
          <w:i w:val="0"/>
          <w:sz w:val="28"/>
        </w:rPr>
      </w:pPr>
    </w:p>
    <w:p w14:paraId="69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Показатели доступности и качества Услуги</w:t>
      </w:r>
    </w:p>
    <w:p w14:paraId="6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</w:p>
    <w:p w14:paraId="6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15.</w:t>
      </w:r>
      <w:r>
        <w:rPr>
          <w:rFonts w:ascii="XO Thames" w:hAnsi="XO Thames"/>
          <w:b w:val="0"/>
          <w:i w:val="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sz w:val="28"/>
        </w:rPr>
        <w:t>Пок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азатели доступности и качества Услуги </w:t>
      </w:r>
      <w:r>
        <w:rPr>
          <w:rFonts w:ascii="Times New Roman" w:hAnsi="Times New Roman"/>
          <w:b w:val="0"/>
          <w:sz w:val="28"/>
        </w:rPr>
        <w:t xml:space="preserve">размещены на официальном сайте Орган власти в сети «Интернет» во вкладке «Государственные услуги» раздела «Текущая деятельность», а также на Едином портале </w:t>
      </w:r>
      <w:r>
        <w:rPr>
          <w:rFonts w:ascii="Times New Roman" w:hAnsi="Times New Roman"/>
          <w:b w:val="0"/>
          <w:sz w:val="28"/>
        </w:rPr>
        <w:t xml:space="preserve">и портале государственных и муниципальных услуг (функций) Камчатского края. </w:t>
      </w:r>
    </w:p>
    <w:p w14:paraId="6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i w:val="0"/>
          <w:sz w:val="28"/>
        </w:rPr>
      </w:pPr>
    </w:p>
    <w:p w14:paraId="6D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Иные требования к предоставлению Услуги</w:t>
      </w:r>
    </w:p>
    <w:p w14:paraId="6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</w:p>
    <w:p w14:paraId="6F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16.</w:t>
      </w:r>
      <w:r>
        <w:rPr>
          <w:rFonts w:ascii="XO Thames" w:hAnsi="XO Thames"/>
          <w:b w:val="0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olor w:val="000000"/>
          <w:sz w:val="28"/>
        </w:rPr>
        <w:t>Услуги, которые являются необходимыми и обязательными для предоставления У</w:t>
      </w:r>
      <w:r>
        <w:rPr>
          <w:rFonts w:ascii="Times New Roman" w:hAnsi="Times New Roman"/>
          <w:b w:val="0"/>
          <w:color w:val="000000"/>
          <w:sz w:val="28"/>
        </w:rPr>
        <w:t>слуги, законодательством Российской Федерации не предусмотрены.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70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17.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Информационные системы, используемые для предоставления Услуги:</w:t>
      </w:r>
    </w:p>
    <w:p w14:paraId="7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</w:t>
      </w:r>
      <w:r>
        <w:rPr>
          <w:rFonts w:ascii="Times New Roman" w:hAnsi="Times New Roman"/>
          <w:b w:val="0"/>
          <w:color w:val="000000"/>
          <w:sz w:val="28"/>
        </w:rPr>
        <w:t xml:space="preserve"> г</w:t>
      </w:r>
      <w:r>
        <w:rPr>
          <w:rFonts w:ascii="Times New Roman" w:hAnsi="Times New Roman"/>
          <w:b w:val="0"/>
          <w:color w:val="000000"/>
          <w:sz w:val="28"/>
        </w:rPr>
        <w:t>осударственная информационная система «Единая централизованная цифровая платформа в социальной сфере»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7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sz w:val="28"/>
        </w:rPr>
        <w:t>Единый портал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7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</w:t>
      </w:r>
      <w:r>
        <w:rPr>
          <w:rFonts w:ascii="Times New Roman" w:hAnsi="Times New Roman"/>
          <w:b w:val="0"/>
          <w:color w:val="000000"/>
          <w:sz w:val="28"/>
        </w:rPr>
        <w:t xml:space="preserve"> система межведомственного электронного взаи</w:t>
      </w:r>
      <w:r>
        <w:rPr>
          <w:rFonts w:ascii="Times New Roman" w:hAnsi="Times New Roman"/>
          <w:b w:val="0"/>
          <w:color w:val="000000"/>
          <w:sz w:val="28"/>
        </w:rPr>
        <w:t>модействия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7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i w:val="0"/>
          <w:color w:val="000000"/>
          <w:sz w:val="28"/>
        </w:rPr>
        <w:t>18.</w:t>
      </w:r>
      <w:r>
        <w:rPr>
          <w:rFonts w:ascii="XO Thames" w:hAnsi="XO Thames"/>
          <w:b w:val="0"/>
          <w:i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color w:val="000000"/>
          <w:sz w:val="28"/>
        </w:rPr>
        <w:t>Возможность получения Услуги в МФЦ не предусмотрена.</w:t>
      </w:r>
    </w:p>
    <w:p w14:paraId="75000000">
      <w:pPr>
        <w:pStyle w:val="Style_2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19.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так как услуга предоставляется только совершеннолетним физическим лицам.</w:t>
      </w:r>
    </w:p>
    <w:p w14:paraId="76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20.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так как услуга предоставляется только совершеннолетним физическим лицам.</w:t>
      </w:r>
    </w:p>
    <w:p w14:paraId="77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0"/>
          <w:sz w:val="28"/>
        </w:rPr>
      </w:pPr>
    </w:p>
    <w:p w14:paraId="78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Исчерпывающий перечень документов, </w:t>
      </w:r>
      <w:r>
        <w:rPr>
          <w:rFonts w:ascii="Times New Roman" w:hAnsi="Times New Roman"/>
          <w:b w:val="0"/>
          <w:sz w:val="28"/>
        </w:rPr>
        <w:t>необходимых для предоставления Услуги</w:t>
      </w:r>
    </w:p>
    <w:p w14:paraId="79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</w:p>
    <w:p w14:paraId="7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21.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 таблице 2 приложения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№ 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7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7C000000">
      <w:pPr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 </w:t>
      </w:r>
      <w:r>
        <w:rPr>
          <w:rFonts w:ascii="Times New Roman" w:hAnsi="Times New Roman"/>
          <w:b w:val="0"/>
          <w:sz w:val="28"/>
        </w:rPr>
        <w:t>(далее – документ, предоставляемый по собственной инициативе).</w:t>
      </w:r>
    </w:p>
    <w:p w14:paraId="7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22.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color w:val="000000"/>
          <w:sz w:val="28"/>
        </w:rPr>
        <w:t>ведения</w:t>
      </w:r>
      <w:r>
        <w:rPr>
          <w:rFonts w:ascii="Times New Roman" w:hAnsi="Times New Roman"/>
          <w:b w:val="0"/>
          <w:color w:val="000000"/>
          <w:sz w:val="28"/>
        </w:rPr>
        <w:t xml:space="preserve"> о формах заявления и документов, необходимых для предоставления услуги,</w:t>
      </w:r>
      <w:r>
        <w:rPr>
          <w:rFonts w:ascii="Times New Roman" w:hAnsi="Times New Roman"/>
          <w:b w:val="0"/>
          <w:color w:val="000000"/>
          <w:sz w:val="28"/>
        </w:rPr>
        <w:t xml:space="preserve"> приведены в приложении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№ </w:t>
      </w:r>
      <w:r>
        <w:rPr>
          <w:rFonts w:ascii="Times New Roman" w:hAnsi="Times New Roman"/>
          <w:b w:val="0"/>
          <w:color w:val="000000"/>
          <w:sz w:val="28"/>
        </w:rPr>
        <w:t>2</w:t>
      </w:r>
      <w:r>
        <w:rPr>
          <w:rFonts w:ascii="Times New Roman" w:hAnsi="Times New Roman"/>
          <w:b w:val="0"/>
          <w:color w:val="000000"/>
          <w:sz w:val="28"/>
        </w:rPr>
        <w:t xml:space="preserve"> к настоящему Административному регламенту. </w:t>
      </w:r>
    </w:p>
    <w:p w14:paraId="7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7F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Исчерпывающий </w:t>
      </w:r>
      <w:r>
        <w:rPr>
          <w:rFonts w:ascii="Times New Roman" w:hAnsi="Times New Roman"/>
          <w:b w:val="0"/>
          <w:color w:val="000000"/>
          <w:sz w:val="28"/>
        </w:rPr>
        <w:t>перечень</w:t>
      </w:r>
      <w:r>
        <w:rPr>
          <w:rFonts w:ascii="Times New Roman" w:hAnsi="Times New Roman"/>
          <w:b w:val="0"/>
          <w:color w:val="000000"/>
          <w:sz w:val="28"/>
        </w:rPr>
        <w:t xml:space="preserve"> оснований для отказа в приеме </w:t>
      </w:r>
      <w:r>
        <w:rPr>
          <w:rFonts w:ascii="Times New Roman" w:hAnsi="Times New Roman"/>
          <w:b w:val="0"/>
          <w:color w:val="000000"/>
          <w:sz w:val="28"/>
        </w:rPr>
        <w:t>заявления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80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8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23.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Ре</w:t>
      </w:r>
      <w:r>
        <w:rPr>
          <w:rFonts w:ascii="Times New Roman" w:hAnsi="Times New Roman"/>
          <w:b w:val="0"/>
          <w:color w:val="000000"/>
          <w:sz w:val="28"/>
        </w:rPr>
        <w:t>шение об отказе в приеме заявления и документов, необходимых для предоставления Услуги, принимает Орган власти при наличии следующих оснований:</w:t>
      </w:r>
    </w:p>
    <w:p w14:paraId="8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некорректное заполнение обязательных полей в форме заявления о предоставлении Услуги на ЕПГУ (недостоверное, неправильное либо неполное заполнение)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б) </w:t>
      </w:r>
      <w:r>
        <w:rPr>
          <w:rFonts w:ascii="Times New Roman" w:hAnsi="Times New Roman"/>
          <w:b w:val="0"/>
          <w:color w:val="000000"/>
          <w:sz w:val="28"/>
        </w:rPr>
        <w:t>наличие в представленных документах записей, исполненных карандашом либо имеющих подчистки или приписки, зачеркнутые слова и иные не оговоренные в них исправления, а также документов с серьезными повреждениями, не позволяющими однозначно истолковать их содержание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несоответствие фамилии, имени, отчества и даты рождения заявителя в представленных документах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непредставление заявителем оригиналов документов, необходимых для предоставления Услуги, в течение 10 рабочих дней со дня поступления заявления посредством Единого портала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отказ в устранении гражданином (его представителем) ошибок в оформлении заявления, обнаруженных во время его приема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е)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направление заявителем по почте заявления и копий документов, не заверенных в соответствии с зак</w:t>
      </w:r>
      <w:r>
        <w:rPr>
          <w:rFonts w:ascii="Times New Roman" w:hAnsi="Times New Roman"/>
          <w:b w:val="0"/>
          <w:color w:val="000000"/>
          <w:sz w:val="28"/>
        </w:rPr>
        <w:t>онодательством Российской Федерации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ж)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89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24.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Оснований для приостановления предоставления Услуги не предусмотрено.</w:t>
      </w:r>
    </w:p>
    <w:p w14:paraId="8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25.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Решение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об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отказе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предоставлении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Услуги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принимает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Орган власти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наличии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следующих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оснований</w:t>
      </w:r>
      <w:r>
        <w:rPr>
          <w:rFonts w:ascii="Times New Roman" w:hAnsi="Times New Roman"/>
          <w:b w:val="0"/>
          <w:color w:val="000000"/>
          <w:sz w:val="28"/>
        </w:rPr>
        <w:t xml:space="preserve">: </w:t>
      </w:r>
    </w:p>
    <w:p w14:paraId="8B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отсутствие у гражданина права на назначение ежемесячной доплаты к пенсии либо пенсии за выслугу лет, установленного Законом Камчатского края от 10.12.2007 № 710 «О пенсионном обеспечении лиц, замещавших государственные должности Камчатского края и должности государственной гражданской службы Камчатского края»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8C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б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установление по результатам проверки документов факта предоставления заявителем недостоверных сведений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8D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в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непредставление либо представление не в полном объеме документов, предусмотренных частью 5 Порядка, утвержденного Постановлением Правительства Камчатского края от 18.12.2013 № 592-П «Об утверждении Порядка назначения и выплаты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края», или выявление нарушений в заполнении указанных документов и неустранение гражданином выявленных недостатков в установленный срок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.</w:t>
      </w:r>
    </w:p>
    <w:p w14:paraId="8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26.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Основания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отказа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приеме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заявления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документов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необходимых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предоставления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Услуги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основания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отказа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предоставлении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Услуги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учетом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категории</w:t>
      </w:r>
      <w:r>
        <w:rPr>
          <w:rFonts w:ascii="Times New Roman" w:hAnsi="Times New Roman"/>
          <w:b w:val="0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признаков</w:t>
      </w:r>
      <w:r>
        <w:rPr>
          <w:rFonts w:ascii="Times New Roman" w:hAnsi="Times New Roman"/>
          <w:b w:val="0"/>
          <w:sz w:val="28"/>
        </w:rPr>
        <w:t xml:space="preserve">) </w:t>
      </w:r>
      <w:r>
        <w:rPr>
          <w:rFonts w:ascii="Times New Roman" w:hAnsi="Times New Roman"/>
          <w:b w:val="0"/>
          <w:sz w:val="28"/>
        </w:rPr>
        <w:t>заявителя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приведены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таблице</w:t>
      </w:r>
      <w:r>
        <w:rPr>
          <w:rFonts w:ascii="Times New Roman" w:hAnsi="Times New Roman"/>
          <w:b w:val="0"/>
          <w:sz w:val="28"/>
        </w:rPr>
        <w:t xml:space="preserve"> 3 </w:t>
      </w:r>
      <w:r>
        <w:rPr>
          <w:rFonts w:ascii="Times New Roman" w:hAnsi="Times New Roman"/>
          <w:b w:val="0"/>
          <w:sz w:val="28"/>
        </w:rPr>
        <w:t>приложения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№ 1 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настоящему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Административному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регламенту</w:t>
      </w:r>
      <w:r>
        <w:rPr>
          <w:rFonts w:ascii="Times New Roman" w:hAnsi="Times New Roman"/>
          <w:b w:val="0"/>
          <w:sz w:val="28"/>
        </w:rPr>
        <w:t xml:space="preserve">. </w:t>
      </w:r>
    </w:p>
    <w:p w14:paraId="8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90000000">
      <w:pPr>
        <w:spacing w:after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Состав, последовательность и сроки выполнения </w:t>
      </w:r>
      <w:r>
        <w:rPr>
          <w:rFonts w:ascii="Times New Roman" w:hAnsi="Times New Roman"/>
          <w:b w:val="0"/>
          <w:sz w:val="28"/>
        </w:rPr>
        <w:t>административных процедур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92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еречень осуществляемых при предоставлении Услуги административных процедур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9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27.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При предоставлении Услуги осуществляются следующие административные процедуры: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9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профилирование заявителя</w:t>
      </w:r>
      <w:r>
        <w:rPr>
          <w:rFonts w:ascii="Times New Roman" w:hAnsi="Times New Roman"/>
          <w:b w:val="0"/>
          <w:sz w:val="28"/>
        </w:rPr>
        <w:t>;</w:t>
      </w:r>
    </w:p>
    <w:p w14:paraId="9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Times New Roman" w:hAnsi="Times New Roman"/>
          <w:b w:val="0"/>
          <w:color w:val="000000"/>
          <w:sz w:val="28"/>
        </w:rPr>
        <w:t xml:space="preserve"> прием заявления и документов и (или) информации, необходимых для предоставления Услуги</w:t>
      </w:r>
      <w:r>
        <w:rPr>
          <w:rFonts w:ascii="Times New Roman" w:hAnsi="Times New Roman"/>
          <w:b w:val="0"/>
          <w:sz w:val="28"/>
        </w:rPr>
        <w:t>;</w:t>
      </w:r>
    </w:p>
    <w:p w14:paraId="9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межведомственное информационное взаимодействие</w:t>
      </w:r>
      <w:r>
        <w:rPr>
          <w:rFonts w:ascii="Times New Roman" w:hAnsi="Times New Roman"/>
          <w:b w:val="0"/>
          <w:sz w:val="28"/>
        </w:rPr>
        <w:t>;</w:t>
      </w:r>
    </w:p>
    <w:p w14:paraId="9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</w:t>
      </w:r>
      <w:r>
        <w:rPr>
          <w:rFonts w:ascii="Times New Roman" w:hAnsi="Times New Roman"/>
          <w:b w:val="0"/>
          <w:color w:val="000000"/>
          <w:sz w:val="28"/>
        </w:rPr>
        <w:t xml:space="preserve"> принятие решения о предоставлении (об отказе в предоставлении) Услуги</w:t>
      </w:r>
      <w:r>
        <w:rPr>
          <w:rFonts w:ascii="Times New Roman" w:hAnsi="Times New Roman"/>
          <w:b w:val="0"/>
          <w:sz w:val="28"/>
        </w:rPr>
        <w:t>;</w:t>
      </w:r>
    </w:p>
    <w:p w14:paraId="99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предоставление результата Услуг</w:t>
      </w:r>
      <w:r>
        <w:rPr>
          <w:rFonts w:ascii="Times New Roman" w:hAnsi="Times New Roman"/>
          <w:b w:val="0"/>
          <w:sz w:val="28"/>
        </w:rPr>
        <w:t>и.</w:t>
      </w:r>
    </w:p>
    <w:p w14:paraId="9A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9B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Профилирование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заявителя</w:t>
      </w:r>
    </w:p>
    <w:p w14:paraId="9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9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28.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По результатам получения ответов от заявителя на вопросы анкетирования определяется перечень комбинаций значений признаков заяви</w:t>
      </w:r>
      <w:r>
        <w:rPr>
          <w:rFonts w:ascii="Times New Roman" w:hAnsi="Times New Roman"/>
          <w:b w:val="0"/>
          <w:color w:val="000000"/>
          <w:sz w:val="28"/>
        </w:rPr>
        <w:t xml:space="preserve">теля. Идентификатор категорий (признаков) заявителя приведен в </w:t>
      </w:r>
      <w:r>
        <w:rPr>
          <w:rFonts w:ascii="Times New Roman" w:hAnsi="Times New Roman"/>
          <w:b w:val="0"/>
          <w:color w:val="000000"/>
          <w:sz w:val="28"/>
        </w:rPr>
        <w:t>таблице 1 приложения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№ </w:t>
      </w: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 к настоящему Административному регламенту.</w:t>
      </w:r>
    </w:p>
    <w:p w14:paraId="9E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Профилирование</w:t>
      </w:r>
      <w:r>
        <w:rPr>
          <w:rFonts w:ascii="Times New Roman" w:hAnsi="Times New Roman"/>
          <w:b w:val="0"/>
          <w:color w:val="000000"/>
          <w:sz w:val="28"/>
        </w:rPr>
        <w:t xml:space="preserve"> осуществляется</w:t>
      </w:r>
      <w:r>
        <w:rPr>
          <w:rFonts w:ascii="Times New Roman" w:hAnsi="Times New Roman"/>
          <w:b w:val="0"/>
          <w:color w:val="000000"/>
          <w:sz w:val="28"/>
        </w:rPr>
        <w:t xml:space="preserve">: </w:t>
      </w:r>
    </w:p>
    <w:p w14:paraId="9F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Органе власти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A0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A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A2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Прием заявления и документов и (или) инфор</w:t>
      </w:r>
      <w:r>
        <w:rPr>
          <w:rFonts w:ascii="Times New Roman" w:hAnsi="Times New Roman"/>
          <w:b w:val="0"/>
          <w:sz w:val="28"/>
        </w:rPr>
        <w:t>мации, необходимых для предоставления Услуги</w:t>
      </w:r>
    </w:p>
    <w:p w14:paraId="A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A4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29.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Состав запроса и перечень документов и (или) информации, необходимых дл</w:t>
      </w:r>
      <w:r>
        <w:rPr>
          <w:rFonts w:ascii="Times New Roman" w:hAnsi="Times New Roman"/>
          <w:b w:val="0"/>
          <w:color w:val="000000"/>
          <w:sz w:val="28"/>
        </w:rPr>
        <w:t>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№ </w:t>
      </w: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 к настоящему Административному регламенту.</w:t>
      </w:r>
    </w:p>
    <w:p w14:paraId="A5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30.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A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Органе власти</w:t>
      </w:r>
      <w:r>
        <w:rPr>
          <w:rFonts w:ascii="Times New Roman" w:hAnsi="Times New Roman"/>
          <w:b w:val="0"/>
          <w:color w:val="000000"/>
          <w:sz w:val="28"/>
        </w:rPr>
        <w:t xml:space="preserve"> – п</w:t>
      </w:r>
      <w:r>
        <w:rPr>
          <w:rFonts w:ascii="Times New Roman" w:hAnsi="Times New Roman"/>
          <w:b w:val="0"/>
          <w:color w:val="000000"/>
          <w:sz w:val="28"/>
        </w:rPr>
        <w:t>аспорт гражданина Российской Федерации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A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посредством почтовой связи</w:t>
      </w:r>
      <w:r>
        <w:rPr>
          <w:rFonts w:ascii="Times New Roman" w:hAnsi="Times New Roman"/>
          <w:b w:val="0"/>
          <w:color w:val="000000"/>
          <w:sz w:val="28"/>
        </w:rPr>
        <w:t xml:space="preserve"> –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отариально заверенная копия паспорта гражданина Российской Федерации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A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color w:val="000000"/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A9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31.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№ </w:t>
      </w: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 к настоящему Административному регламенту.</w:t>
      </w:r>
    </w:p>
    <w:p w14:paraId="AA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32.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Услуга не предусматривает возможности приема заявления и докумен</w:t>
      </w:r>
      <w:r>
        <w:rPr>
          <w:rFonts w:ascii="Times New Roman" w:hAnsi="Times New Roman"/>
          <w:b w:val="0"/>
          <w:color w:val="000000"/>
          <w:sz w:val="28"/>
        </w:rPr>
        <w:t>тов, необходимых для предоставления варианта Услуги, по выбору заявителя, независимо от его места жительства или места пребывания. Заявление и документы могут быть поданы в Орган власти.</w:t>
      </w:r>
    </w:p>
    <w:p w14:paraId="A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33.</w:t>
      </w:r>
      <w:r>
        <w:rPr>
          <w:rFonts w:ascii="XO Thames" w:hAnsi="XO Thames"/>
          <w:b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Срок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регистрации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для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составляет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:</w:t>
      </w:r>
    </w:p>
    <w:p w14:paraId="A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Органе власти</w:t>
      </w:r>
      <w:r>
        <w:rPr>
          <w:rFonts w:ascii="Times New Roman" w:hAnsi="Times New Roman"/>
          <w:b w:val="0"/>
          <w:color w:val="000000"/>
          <w:sz w:val="28"/>
        </w:rPr>
        <w:t xml:space="preserve"> – 1</w:t>
      </w:r>
      <w:r>
        <w:rPr>
          <w:rFonts w:ascii="Times New Roman" w:hAnsi="Times New Roman"/>
          <w:b w:val="0"/>
          <w:color w:val="000000"/>
          <w:sz w:val="28"/>
        </w:rPr>
        <w:t xml:space="preserve"> рабочий день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с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даты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подачи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для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AD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color w:val="000000"/>
          <w:sz w:val="28"/>
        </w:rPr>
        <w:t xml:space="preserve">посредством почтовой связи – 1 рабочий день с даты получения </w:t>
      </w:r>
      <w:r>
        <w:rPr>
          <w:rFonts w:ascii="Times New Roman" w:hAnsi="Times New Roman"/>
          <w:b w:val="0"/>
          <w:color w:val="000000"/>
          <w:sz w:val="28"/>
        </w:rPr>
        <w:t>в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Органе власти заявления и документов, необходимых для предоставления Услуги;</w:t>
      </w:r>
    </w:p>
    <w:p w14:paraId="A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color w:val="000000"/>
          <w:sz w:val="28"/>
        </w:rPr>
        <w:t>1 рабочий день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с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даты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подачи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заявления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документов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необходимых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для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предоставления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Услуги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A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подачи заявления и документов, необходимых для предоставления Услуги в нерабочее время, в нерабочие и праздничные дни, регистрация заявления производится в первый рабочий день.</w:t>
      </w:r>
    </w:p>
    <w:p w14:paraId="B0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Межведомственное информационное взаимодействие</w:t>
      </w:r>
    </w:p>
    <w:p w14:paraId="B1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B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34.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Для получения Услуги необходимо направление следующих </w:t>
      </w:r>
      <w:r>
        <w:rPr>
          <w:rFonts w:ascii="Times New Roman" w:hAnsi="Times New Roman"/>
          <w:b w:val="0"/>
          <w:color w:val="000000"/>
          <w:sz w:val="28"/>
        </w:rPr>
        <w:t>информационных запросов:</w:t>
      </w:r>
    </w:p>
    <w:p w14:paraId="B3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а)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информационный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запрос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сведения о размере пенсии и доплат, устанавливаемых к пенсии, застрахованного лица за период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»,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направляемый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B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35.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 случае если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невозможно осуществить межведомственное взаимодействие в электронной ф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орме</w:t>
      </w:r>
      <w:r>
        <w:rPr>
          <w:rFonts w:ascii="Times New Roman" w:hAnsi="Times New Roman"/>
          <w:b w:val="0"/>
          <w:sz w:val="28"/>
        </w:rPr>
        <w:t xml:space="preserve"> в целях получения сведений, необходимых для предоставления Услуги, Органом власти осуществляется межведомственное взаимодействие на бумажном носителе.</w:t>
      </w:r>
    </w:p>
    <w:p w14:paraId="B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B6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Приняти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 решения о предоставлении (об отказе в предоставлении) Услуги </w:t>
      </w:r>
    </w:p>
    <w:p w14:paraId="B7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</w:p>
    <w:p w14:paraId="B8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36.</w:t>
      </w:r>
      <w:r>
        <w:rPr>
          <w:rFonts w:ascii="XO Thames" w:hAnsi="XO Thames"/>
          <w:b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Основания для отказа в предоставлении Услуги приведены </w:t>
      </w:r>
      <w:r>
        <w:rPr>
          <w:rFonts w:ascii="Times New Roman" w:hAnsi="Times New Roman"/>
          <w:b w:val="0"/>
          <w:color w:val="000000"/>
          <w:sz w:val="28"/>
        </w:rPr>
        <w:t>в таблице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3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приложения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№ </w:t>
      </w: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 настоящему Административному регламенту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.</w:t>
      </w:r>
    </w:p>
    <w:p w14:paraId="B9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37.</w:t>
      </w:r>
      <w:r>
        <w:rPr>
          <w:rFonts w:ascii="XO Thames" w:hAnsi="XO Thames"/>
          <w:b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Принятие решения о предоставлении (об отказе в предоставлении) Услуги:</w:t>
      </w:r>
    </w:p>
    <w:p w14:paraId="BA000000">
      <w:pPr>
        <w:widowControl w:val="1"/>
        <w:numPr>
          <w:numId w:val="3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назначение ежемесячной доплаты к пенсии осуществляется в срок, не превышающий</w:t>
      </w:r>
      <w:r>
        <w:rPr>
          <w:rFonts w:ascii="Times New Roman" w:hAnsi="Times New Roman"/>
          <w:b w:val="0"/>
          <w:color w:val="000000"/>
          <w:sz w:val="28"/>
        </w:rPr>
        <w:t xml:space="preserve"> 6 рабочих дн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ей со дня регистрации в Органе власти заявления и документов, обязанность по предоставлению которых возложена на заявителя;</w:t>
      </w:r>
    </w:p>
    <w:p w14:paraId="BB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2) назначение пенсии за выслугу лет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осуществляется в срок, не превышающий</w:t>
      </w:r>
      <w:r>
        <w:rPr>
          <w:rFonts w:ascii="Times New Roman" w:hAnsi="Times New Roman"/>
          <w:b w:val="0"/>
          <w:color w:val="000000"/>
          <w:sz w:val="28"/>
        </w:rPr>
        <w:t xml:space="preserve"> 6 рабочих дней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со дня регистрации в Органе власти заявления и документов, обязанность по предоставлению которых возложена на заявителя.</w:t>
      </w:r>
    </w:p>
    <w:p w14:paraId="BC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</w:rPr>
        <w:t>3)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</w:rPr>
        <w:t> отказ в назначении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ежемесячной доплаты к пенсии осуществляется в срок, не превышающий</w:t>
      </w:r>
      <w:r>
        <w:rPr>
          <w:rFonts w:ascii="Times New Roman" w:hAnsi="Times New Roman"/>
          <w:b w:val="0"/>
          <w:color w:val="000000"/>
          <w:sz w:val="28"/>
        </w:rPr>
        <w:t xml:space="preserve"> 3 рабочих дн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ей со дня регистрации в Органе власти заявления и документов, обязанность по предоставлению которых возложена на заявителя;</w:t>
      </w:r>
    </w:p>
    <w:p w14:paraId="BD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4)</w:t>
      </w:r>
      <w:r>
        <w:rPr>
          <w:rFonts w:ascii="XO Thames" w:hAnsi="XO Thames"/>
          <w:b w:val="0"/>
          <w:color w:val="000000"/>
          <w:spacing w:val="0"/>
          <w:sz w:val="28"/>
          <w:highlight w:val="white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</w:rPr>
        <w:t>отказ в назначении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пенсии за выслугу лет осуществляется в срок, не превышающий</w:t>
      </w:r>
      <w:r>
        <w:rPr>
          <w:rFonts w:ascii="Times New Roman" w:hAnsi="Times New Roman"/>
          <w:b w:val="0"/>
          <w:color w:val="000000"/>
          <w:sz w:val="28"/>
        </w:rPr>
        <w:t xml:space="preserve"> 3 рабочих дн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ей со дня регистрации в Органе власти заявления и документов, обязанность по предоставлению которых возложена на заявителя.</w:t>
      </w:r>
    </w:p>
    <w:p w14:paraId="BE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BF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C0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C1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Предоставление результата Услуги</w:t>
      </w:r>
    </w:p>
    <w:p w14:paraId="C2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C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37.</w:t>
      </w:r>
      <w:r>
        <w:rPr>
          <w:rFonts w:ascii="XO Thames" w:hAnsi="XO Thames"/>
          <w:b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Предоставление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результата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Услуги –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решение об отказе в назначении ежемесячной доплаты к пенсии, пенсии за выслугу лет:</w:t>
      </w:r>
    </w:p>
    <w:p w14:paraId="C4000000">
      <w:pPr>
        <w:numPr>
          <w:numId w:val="4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 рабочих дня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со дня принятия решения об отказе в предоставлении Услуги – при получении результата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посредством почтовой связи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;</w:t>
      </w:r>
    </w:p>
    <w:p w14:paraId="C5000000">
      <w:pPr>
        <w:numPr>
          <w:numId w:val="4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рабочих дня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со дня принятия решения об отказе в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предоставлении Услуги – при получении результата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посредством личного кабинета на Едином портале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;</w:t>
      </w:r>
    </w:p>
    <w:p w14:paraId="C6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</w:rPr>
        <w:t>3)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3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рабочих дня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со дня принятия решения об отказе в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предоставлении Услуги – при получении результата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в Органе власти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;</w:t>
      </w:r>
    </w:p>
    <w:p w14:paraId="C7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b w:val="0"/>
          <w:caps w:val="0"/>
          <w:color w:val="000000"/>
          <w:spacing w:val="3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38.</w:t>
      </w:r>
      <w:r>
        <w:rPr>
          <w:rFonts w:ascii="XO Thames" w:hAnsi="XO Thames"/>
          <w:b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Предоставление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результата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Услуги –</w:t>
      </w:r>
      <w:r>
        <w:rPr>
          <w:rFonts w:ascii="Times New Roman" w:hAnsi="Times New Roman"/>
          <w:b w:val="0"/>
          <w:color w:val="000000"/>
          <w:sz w:val="28"/>
        </w:rPr>
        <w:t xml:space="preserve"> назначение ежемесячной доплаты к пенсии, пенсии за выслугу лет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aps w:val="0"/>
          <w:color w:val="000000"/>
          <w:spacing w:val="3"/>
          <w:sz w:val="28"/>
          <w:highlight w:val="white"/>
        </w:rPr>
        <w:t>зависит от способа подачи заявителем пакета документов и заявления и может быть получен:</w:t>
      </w:r>
      <w:r>
        <w:rPr>
          <w:rFonts w:ascii="Times New Roman" w:hAnsi="Times New Roman"/>
          <w:b w:val="0"/>
          <w:i w:val="0"/>
          <w:caps w:val="0"/>
          <w:color w:val="000000"/>
          <w:spacing w:val="3"/>
          <w:sz w:val="28"/>
          <w:highlight w:val="white"/>
        </w:rPr>
        <w:t xml:space="preserve"> в Органе власти, посредством Единого портала, посредством почтовой связи.</w:t>
      </w:r>
    </w:p>
    <w:p w14:paraId="C8000000">
      <w:pPr>
        <w:spacing w:after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</w:p>
    <w:p w14:paraId="C9000000">
      <w:pPr>
        <w:spacing w:after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Способы информирования заявителя об изменении статуса рассмотрения заявления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CB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39.</w:t>
      </w:r>
      <w:r>
        <w:rPr>
          <w:rFonts w:ascii="XO Thames" w:hAnsi="XO Thames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>
        <w:rPr>
          <w:rFonts w:ascii="Times New Roman" w:hAnsi="Times New Roman"/>
          <w:sz w:val="28"/>
        </w:rPr>
        <w:t>посредством Единого портала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br w:type="page"/>
      </w:r>
    </w:p>
    <w:p w14:paraId="CC000000">
      <w:pPr>
        <w:spacing w:after="0" w:line="240" w:lineRule="auto"/>
        <w:ind w:firstLine="0" w:left="6236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CD000000">
      <w:pPr>
        <w:spacing w:after="0"/>
        <w:ind w:firstLine="0" w:left="6236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Административному регламенту, утвержденному приказом</w:t>
      </w:r>
      <w:r>
        <w:rPr>
          <w:rFonts w:ascii="Times New Roman" w:hAnsi="Times New Roman"/>
          <w:b w:val="0"/>
          <w:color w:val="000000"/>
          <w:sz w:val="28"/>
        </w:rPr>
        <w:t xml:space="preserve"> Министерства социального благополучия и семейной политики Камчатского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 предоставлению государственной услуги «</w:t>
      </w:r>
      <w:r>
        <w:rPr>
          <w:rFonts w:ascii="Times New Roman" w:hAnsi="Times New Roman"/>
          <w:b w:val="0"/>
          <w:color w:val="000000"/>
          <w:sz w:val="28"/>
        </w:rPr>
        <w:t>Назначение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CE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CF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</w:t>
      </w:r>
    </w:p>
    <w:p w14:paraId="D0000000">
      <w:pPr>
        <w:spacing w:after="0"/>
        <w:ind/>
        <w:jc w:val="center"/>
        <w:rPr>
          <w:rFonts w:ascii="Times New Roman" w:hAnsi="Times New Roman"/>
        </w:rPr>
      </w:pPr>
    </w:p>
    <w:p w14:paraId="D1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условных обозначений и сокращений</w:t>
      </w:r>
    </w:p>
    <w:p w14:paraId="D2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D3000000">
      <w:pPr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Условные обозначения:</w:t>
      </w:r>
    </w:p>
    <w:p w14:paraId="D4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ЕПГУ - посредством Единого портала;</w:t>
      </w:r>
    </w:p>
    <w:p w14:paraId="D5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(п) - копия документа, заверенная в порядке, установленном законодательством Российской Федерации;</w:t>
      </w:r>
    </w:p>
    <w:p w14:paraId="D6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- оригинал</w:t>
      </w:r>
    </w:p>
    <w:p w14:paraId="D7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О/К (з) - оригинал или копия, заверенная в установленном порядке</w:t>
      </w:r>
    </w:p>
    <w:p w14:paraId="D8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 власти - в Органе власти</w:t>
      </w:r>
    </w:p>
    <w:p w14:paraId="D9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Почта - посредством почтовой связи</w:t>
      </w:r>
    </w:p>
    <w:p w14:paraId="DA000000">
      <w:pPr>
        <w:numPr>
          <w:ilvl w:val="0"/>
          <w:numId w:val="5"/>
        </w:numPr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ЭД (к) - электронный документ установленного формата или </w:t>
      </w:r>
      <w:r>
        <w:rPr>
          <w:rFonts w:ascii="Times New Roman" w:hAnsi="Times New Roman"/>
          <w:sz w:val="28"/>
        </w:rPr>
        <w:t>скан-копия документа</w:t>
      </w:r>
    </w:p>
    <w:p w14:paraId="DB000000"/>
    <w:p w14:paraId="DC000000">
      <w:pPr>
        <w:sectPr>
          <w:headerReference r:id="rId3" w:type="default"/>
          <w:pgSz w:h="16848" w:orient="portrait" w:w="11908"/>
          <w:pgMar w:bottom="1134" w:footer="0" w:gutter="0" w:header="709" w:left="1134" w:right="567" w:top="1134"/>
          <w:titlePg/>
        </w:sectPr>
      </w:pPr>
    </w:p>
    <w:p w14:paraId="DD000000">
      <w:pPr>
        <w:pStyle w:val="Style_5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Идентификаторы категорий (признаков) заявителей</w:t>
      </w:r>
    </w:p>
    <w:p w14:paraId="DE000000">
      <w:pPr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Таблица 1</w:t>
      </w:r>
    </w:p>
    <w:tbl>
      <w:tblPr>
        <w:tblStyle w:val="Style_3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2"/>
        <w:gridCol w:w="1947"/>
        <w:gridCol w:w="5763"/>
        <w:gridCol w:w="1935"/>
      </w:tblGrid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 п/п</w:t>
            </w:r>
          </w:p>
        </w:tc>
        <w:tc>
          <w:tcPr>
            <w:tcW w:type="dxa" w:w="1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Результат предоставления Услуги</w:t>
            </w:r>
          </w:p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Наименования отдельного признака заявителя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>
        <w:trPr>
          <w:trHeight w:hRule="atLeast" w:val="576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19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2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Назначение ежемесячной доплаты к пенсии</w:t>
            </w:r>
          </w:p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Лица, замещавшие государственные должности Камчатского края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19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Обратился лично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2А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19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Обратился через уполномоченного представителя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3А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19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2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Назначение пенсии за выслугу лет</w:t>
            </w:r>
          </w:p>
          <w:p w14:paraId="F3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Лица, замещавшие должности государственной гражданской службы Камчатского края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19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Обратился лично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2Б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6.</w:t>
            </w:r>
          </w:p>
        </w:tc>
        <w:tc>
          <w:tcPr>
            <w:tcW w:type="dxa" w:w="19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Обратился через уполномоченного представителя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3Б</w:t>
            </w:r>
          </w:p>
        </w:tc>
      </w:tr>
    </w:tbl>
    <w:p w14:paraId="FC000000">
      <w:pPr>
        <w:pStyle w:val="Style_5"/>
        <w:spacing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FD000000">
      <w:pPr>
        <w:pStyle w:val="Style_5"/>
        <w:spacing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Style w:val="Style_5_ch"/>
          <w:rFonts w:ascii="Times New Roman" w:hAnsi="Times New Roman"/>
          <w:b w:val="0"/>
          <w:sz w:val="28"/>
        </w:rPr>
        <w:t>Исчерпывающий перечень документов, необходимых</w:t>
      </w:r>
      <w:r>
        <w:rPr>
          <w:rStyle w:val="Style_5_ch"/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для предоставления Услуги</w:t>
      </w:r>
    </w:p>
    <w:p w14:paraId="FE000000">
      <w:pPr>
        <w:spacing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Таблица 2</w:t>
      </w:r>
    </w:p>
    <w:tbl>
      <w:tblPr>
        <w:tblStyle w:val="Style_3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0"/>
        <w:gridCol w:w="1922"/>
        <w:gridCol w:w="5638"/>
        <w:gridCol w:w="2087"/>
      </w:tblGrid>
      <w:tr>
        <w:trPr>
          <w:trHeight w:hRule="atLeast" w:val="1224"/>
        </w:trP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 отдельного признака заявителей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предоставления, требования</w:t>
            </w:r>
          </w:p>
        </w:tc>
      </w:tr>
      <w:tr>
        <w:trPr>
          <w:trHeight w:hRule="atLeast" w:val="451"/>
        </w:trP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1020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Паспорт гражданина Российской Федерации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Трудовая книжка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трудовой деятельности (при формировании сведений о трудовой деятельности в электронном виде)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Военный билет</w:t>
            </w:r>
          </w:p>
          <w:p w14:paraId="17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3А, 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Доверенность, подтверждающая полномочия представителя заявителя, заверенная в порядке, установленном законодательством Российской Федерации 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3А, 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Документ, удостоверяющий личность представителя заявителя 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1А-3А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Распоряжение об освобождении от замещаемой государственной должности Камчатского края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Приказ об увольнении с государственной гражданской службы Камчатского края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Справка о размере среднемесячного заработка за 12 полных месяцев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10.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лицевом счете гражданина, открытом в российской кредитной организации, с указанием платежных реквизитов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  <w:tr>
        <w:trPr>
          <w:trHeight w:hRule="atLeast" w:val="882"/>
        </w:trPr>
        <w:tc>
          <w:tcPr>
            <w:tcW w:type="dxa" w:w="1020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24.</w:t>
            </w:r>
          </w:p>
        </w:tc>
        <w:tc>
          <w:tcPr>
            <w:tcW w:type="dxa" w:w="1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  <w:tc>
          <w:tcPr>
            <w:tcW w:type="dxa" w:w="5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размере пенсии и доплат, устанавливаемых к пенсии, застрахованного лица за период</w:t>
            </w:r>
          </w:p>
        </w:tc>
        <w:tc>
          <w:tcPr>
            <w:tcW w:type="dxa" w:w="2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О/К (з)=&gt;Орган власти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</w:tc>
      </w:tr>
    </w:tbl>
    <w:p w14:paraId="36010000">
      <w:pPr>
        <w:pStyle w:val="Style_5"/>
        <w:spacing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37010000">
      <w:pPr>
        <w:pStyle w:val="Style_5"/>
        <w:spacing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Исчерпывающий перечень оснований </w:t>
      </w:r>
      <w:r>
        <w:rPr>
          <w:rFonts w:ascii="Times New Roman" w:hAnsi="Times New Roman"/>
          <w:b w:val="0"/>
          <w:sz w:val="28"/>
        </w:rPr>
        <w:t xml:space="preserve">для отказа в приеме заявления и документов, необходимых </w:t>
      </w:r>
      <w:r>
        <w:rPr>
          <w:rFonts w:ascii="Times New Roman" w:hAnsi="Times New Roman"/>
          <w:b w:val="0"/>
          <w:sz w:val="28"/>
        </w:rPr>
        <w:t>для предоставления Услуги, оснований для приостановления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предоставления Услуги или отказа в предоставлении Услуги</w:t>
      </w:r>
    </w:p>
    <w:p w14:paraId="38010000">
      <w:pPr>
        <w:spacing w:line="240" w:lineRule="auto"/>
        <w:ind w:firstLine="0" w:lef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Таблица 3</w:t>
      </w:r>
    </w:p>
    <w:tbl>
      <w:tblPr>
        <w:tblStyle w:val="Style_3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4"/>
        <w:gridCol w:w="8559"/>
        <w:gridCol w:w="874"/>
      </w:tblGrid>
      <w:tr>
        <w:tc>
          <w:tcPr>
            <w:tcW w:type="dxa" w:w="1020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numPr>
                <w:numId w:val="6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line="240" w:lineRule="auto"/>
              <w:ind w:firstLine="0" w:lef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line="240" w:lineRule="auto"/>
              <w:ind w:firstLine="0" w:lef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line="240" w:lineRule="auto"/>
              <w:ind w:firstLine="0" w:lef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1.1.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некорректное заполнение обязательных полей в форме заявления о предоставлении Услуги на ЕПГУ (недостоверное, неправильное либо неполное заполнение)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1.2.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наличие в представленных документах записей, исполненных карандашом либо имеющих подчистки или приписки, зачеркнутые слова и иные не оговоренные в них исправления, а также документов с серьезными повреждениями, не позволяющими однозначно истолковать их содержание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1.3.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несоответствие фамилии, имени, отчества и даты рождения заявителя в представленных документах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1.4.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непредставление заявителем оригиналов документов, необходимых для предоставления Услуги, в течение 10 рабочих дней со дня поступления заявления посредством Единого портала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rPr>
          <w:trHeight w:hRule="atLeast" w:val="432"/>
        </w:trP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1.5.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отказ в устранении гражданином (его представителем) ошибок в оформлении заявления, обнаруженных во время его приема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1.6.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направление заявителем по почте заявления и копий документов, не заверенных в соответствии с зак</w:t>
            </w:r>
            <w:r>
              <w:rPr>
                <w:rFonts w:ascii="Times New Roman" w:hAnsi="Times New Roman"/>
                <w:b w:val="0"/>
                <w:sz w:val="24"/>
              </w:rPr>
              <w:t>онодательством Российской Федерации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1А-1Б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1.7.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1020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numPr>
                <w:numId w:val="6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120" w:before="120" w:line="240" w:lineRule="auto"/>
              <w:ind w:firstLine="0" w:left="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2.1.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120" w:before="120" w:line="240" w:lineRule="auto"/>
              <w:ind w:firstLine="0" w:left="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spacing w:line="240" w:lineRule="auto"/>
              <w:ind w:firstLine="0" w:lef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</w:t>
            </w:r>
          </w:p>
        </w:tc>
      </w:tr>
      <w:tr>
        <w:tc>
          <w:tcPr>
            <w:tcW w:type="dxa" w:w="1020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numPr>
                <w:numId w:val="6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3.1.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spacing w:after="120" w:before="120" w:line="240" w:lineRule="auto"/>
              <w:ind w:firstLine="0" w:left="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отсутствие у гражданина права на назначение ежемесячной доплаты к пенсии либо пенсии за выслугу лет, установленного Законом Камчатского края от 10.12.2007 № 710 «О пенсионном обеспечении лиц, замещавших государственные должности Камчатского края и должности государственной гражданской службы Камчатского края»</w:t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;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3.2.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tabs>
                <w:tab w:leader="none" w:pos="284" w:val="left"/>
                <w:tab w:leader="none" w:pos="1134" w:val="left"/>
              </w:tabs>
              <w:spacing w:after="0" w:line="240" w:lineRule="auto"/>
              <w:ind w:firstLine="0" w:left="0" w:right="-1"/>
              <w:contextualSpacing w:val="1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установление по результатам проверки документов факта предоставления заявителем недостоверных сведени</w:t>
            </w:r>
            <w:r>
              <w:rPr>
                <w:rStyle w:val="Style_2_ch"/>
                <w:rFonts w:ascii="Times New Roman" w:hAnsi="Times New Roman"/>
                <w:b w:val="0"/>
                <w:color w:val="000000"/>
                <w:sz w:val="28"/>
              </w:rPr>
              <w:t>й</w:t>
            </w:r>
            <w:r>
              <w:rPr>
                <w:rStyle w:val="Style_2_ch"/>
                <w:rFonts w:ascii="Times New Roman" w:hAnsi="Times New Roman"/>
                <w:b w:val="0"/>
                <w:color w:val="000000"/>
                <w:sz w:val="28"/>
              </w:rPr>
              <w:t>;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c>
          <w:tcPr>
            <w:tcW w:type="dxa" w:w="7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3.3.</w:t>
            </w:r>
          </w:p>
        </w:tc>
        <w:tc>
          <w:tcPr>
            <w:tcW w:type="dxa" w:w="8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tabs>
                <w:tab w:leader="none" w:pos="284" w:val="left"/>
                <w:tab w:leader="none" w:pos="1134" w:val="left"/>
              </w:tabs>
              <w:spacing w:after="0" w:line="240" w:lineRule="auto"/>
              <w:ind w:firstLine="0" w:left="0" w:right="-1"/>
              <w:contextualSpacing w:val="1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непредставление либо представление не в полном объеме документов, предусмотренных частью 5 Порядка, утвержденного Постановлением Правительства Камчатского края от 18.12.2013 № 592-П «Об утверждении Порядка назначения и выплаты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края», или выявление нарушений в заполнении указанных документов и неустранение гражданином выявленных недостатков в установленный срок</w:t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.</w:t>
            </w: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line="240" w:lineRule="auto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</w:tbl>
    <w:p w14:paraId="6001000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pgSz w:h="16848" w:orient="portrait" w:w="11908"/>
      <w:pgMar w:bottom="1134" w:footer="0" w:gutter="0" w:header="709" w:left="1134" w:right="567" w:top="1134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1010000">
      <w:pPr>
        <w:pStyle w:val="Style_2"/>
        <w:ind/>
        <w:jc w:val="both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  <w:vertAlign w:val="superscript"/>
        </w:rPr>
        <w:footnoteRef/>
      </w:r>
      <w:r>
        <w:rPr>
          <w:rFonts w:ascii="Times New Roman" w:hAnsi="Times New Roman"/>
          <w:b w:val="0"/>
          <w:color w:val="000000"/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12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sz w:val="2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4294967295" distL="0" distR="0" distT="4294967295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77800" cy="321945"/>
              <wp:wrapSquare distB="4294967295" distL="0" distR="0" distT="4294967295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  <w:ind/>
      <w:jc w:val="center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</w:style>
  <w:style w:default="1" w:styleId="Style_2_ch" w:type="character">
    <w:name w:val="Normal"/>
    <w:link w:val="Style_2"/>
  </w:style>
  <w:style w:styleId="Style_6" w:type="paragraph">
    <w:name w:val="toc 2"/>
    <w:next w:val="Style_2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/>
    </w:pPr>
    <w:rPr>
      <w:rFonts w:ascii="Arial" w:hAnsi="Arial"/>
      <w:sz w:val="20"/>
    </w:rPr>
  </w:style>
  <w:style w:styleId="Style_7_ch" w:type="character">
    <w:name w:val="ConsPlusNormal"/>
    <w:link w:val="Style_7"/>
    <w:rPr>
      <w:rFonts w:ascii="Arial" w:hAnsi="Arial"/>
      <w:sz w:val="20"/>
    </w:rPr>
  </w:style>
  <w:style w:styleId="Style_8" w:type="paragraph">
    <w:name w:val="toc 4"/>
    <w:next w:val="Style_2"/>
    <w:link w:val="Style_8_ch"/>
    <w:uiPriority w:val="39"/>
    <w:pPr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index heading"/>
    <w:basedOn w:val="Style_2"/>
    <w:link w:val="Style_9_ch"/>
  </w:style>
  <w:style w:styleId="Style_9_ch" w:type="character">
    <w:name w:val="index heading"/>
    <w:basedOn w:val="Style_2_ch"/>
    <w:link w:val="Style_9"/>
  </w:style>
  <w:style w:styleId="Style_10" w:type="paragraph">
    <w:name w:val="Верхний колонтитул Знак1"/>
    <w:basedOn w:val="Style_11"/>
    <w:link w:val="Style_10_ch"/>
  </w:style>
  <w:style w:styleId="Style_10_ch" w:type="character">
    <w:name w:val="Верхний колонтитул Знак1"/>
    <w:basedOn w:val="Style_11_ch"/>
    <w:link w:val="Style_10"/>
  </w:style>
  <w:style w:styleId="Style_12" w:type="paragraph">
    <w:name w:val="toc 6"/>
    <w:next w:val="Style_2"/>
    <w:link w:val="Style_12_ch"/>
    <w:uiPriority w:val="39"/>
    <w:pPr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Nonformat"/>
    <w:link w:val="Style_14_ch"/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Цветовое выделение"/>
    <w:link w:val="Style_15_ch"/>
    <w:rPr>
      <w:b w:val="1"/>
      <w:color w:val="26282F"/>
    </w:rPr>
  </w:style>
  <w:style w:styleId="Style_15_ch" w:type="character">
    <w:name w:val="Цветовое выделение"/>
    <w:link w:val="Style_15"/>
    <w:rPr>
      <w:b w:val="1"/>
      <w:color w:val="26282F"/>
    </w:rPr>
  </w:style>
  <w:style w:styleId="Style_16" w:type="paragraph">
    <w:name w:val="caption"/>
    <w:basedOn w:val="Style_2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2_ch"/>
    <w:link w:val="Style_16"/>
    <w:rPr>
      <w:i w:val="1"/>
      <w:sz w:val="24"/>
    </w:rPr>
  </w:style>
  <w:style w:styleId="Style_17" w:type="paragraph">
    <w:name w:val="Endnote"/>
    <w:link w:val="Style_17_ch"/>
    <w:pPr>
      <w:ind w:firstLine="851"/>
      <w:jc w:val="both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next w:val="Style_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Колонтитул"/>
    <w:basedOn w:val="Style_2"/>
    <w:link w:val="Style_19_ch"/>
  </w:style>
  <w:style w:styleId="Style_19_ch" w:type="character">
    <w:name w:val="Колонтитул"/>
    <w:basedOn w:val="Style_2_ch"/>
    <w:link w:val="Style_19"/>
  </w:style>
  <w:style w:styleId="Style_20" w:type="paragraph">
    <w:name w:val="Standard"/>
    <w:link w:val="Style_20_ch"/>
    <w:pPr>
      <w:widowControl w:val="0"/>
      <w:ind w:firstLine="720"/>
      <w:jc w:val="both"/>
    </w:pPr>
    <w:rPr>
      <w:rFonts w:ascii="Times New Roman CYR" w:hAnsi="Times New Roman CYR"/>
      <w:sz w:val="24"/>
    </w:rPr>
  </w:style>
  <w:style w:styleId="Style_20_ch" w:type="character">
    <w:name w:val="Standard"/>
    <w:link w:val="Style_20"/>
    <w:rPr>
      <w:rFonts w:ascii="Times New Roman CYR" w:hAnsi="Times New Roman CYR"/>
      <w:sz w:val="24"/>
    </w:rPr>
  </w:style>
  <w:style w:styleId="Style_21" w:type="paragraph">
    <w:name w:val="toc 3"/>
    <w:next w:val="Style_2"/>
    <w:link w:val="Style_21_ch"/>
    <w:uiPriority w:val="39"/>
    <w:pPr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Plain Text"/>
    <w:basedOn w:val="Style_2"/>
    <w:link w:val="Style_22_ch"/>
    <w:pPr>
      <w:spacing w:after="0" w:line="240" w:lineRule="auto"/>
      <w:ind/>
    </w:pPr>
    <w:rPr>
      <w:rFonts w:ascii="Calibri" w:hAnsi="Calibri"/>
    </w:rPr>
  </w:style>
  <w:style w:styleId="Style_22_ch" w:type="character">
    <w:name w:val="Plain Text"/>
    <w:basedOn w:val="Style_2_ch"/>
    <w:link w:val="Style_22"/>
    <w:rPr>
      <w:rFonts w:ascii="Calibri" w:hAnsi="Calibri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23" w:type="paragraph">
    <w:name w:val="Body Text"/>
    <w:basedOn w:val="Style_2"/>
    <w:link w:val="Style_23_ch"/>
    <w:pPr>
      <w:spacing w:after="140" w:line="276" w:lineRule="auto"/>
      <w:ind/>
    </w:pPr>
  </w:style>
  <w:style w:styleId="Style_23_ch" w:type="character">
    <w:name w:val="Body Text"/>
    <w:basedOn w:val="Style_2_ch"/>
    <w:link w:val="Style_23"/>
  </w:style>
  <w:style w:styleId="Style_24" w:type="paragraph">
    <w:name w:val="Гиперссылка1"/>
    <w:basedOn w:val="Style_11"/>
    <w:link w:val="Style_24_ch"/>
    <w:rPr>
      <w:color w:themeColor="hyperlink" w:val="0563C1"/>
      <w:u w:val="single"/>
    </w:rPr>
  </w:style>
  <w:style w:styleId="Style_24_ch" w:type="character">
    <w:name w:val="Гиперссылка1"/>
    <w:basedOn w:val="Style_11_ch"/>
    <w:link w:val="Style_24"/>
    <w:rPr>
      <w:color w:themeColor="hyperlink" w:val="0563C1"/>
      <w:u w:val="single"/>
    </w:rPr>
  </w:style>
  <w:style w:styleId="Style_25" w:type="paragraph">
    <w:name w:val="heading 5"/>
    <w:next w:val="Style_2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5_ch" w:type="character">
    <w:name w:val="heading 5"/>
    <w:link w:val="Style_25"/>
    <w:rPr>
      <w:rFonts w:ascii="XO Thames" w:hAnsi="XO Thames"/>
      <w:b w:val="1"/>
    </w:rPr>
  </w:style>
  <w:style w:styleId="Style_5" w:type="paragraph">
    <w:name w:val="heading 1"/>
    <w:next w:val="Style_2"/>
    <w:link w:val="Style_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2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2_ch"/>
    <w:link w:val="Style_27"/>
    <w:rPr>
      <w:sz w:val="18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article-render__block"/>
    <w:basedOn w:val="Style_2"/>
    <w:link w:val="Style_30_ch"/>
    <w:pPr>
      <w:spacing w:afterAutospacing="on" w:beforeAutospacing="on"/>
      <w:ind/>
    </w:pPr>
    <w:rPr>
      <w:rFonts w:ascii="Times New Roman" w:hAnsi="Times New Roman"/>
    </w:rPr>
  </w:style>
  <w:style w:styleId="Style_30_ch" w:type="character">
    <w:name w:val="article-render__block"/>
    <w:basedOn w:val="Style_2_ch"/>
    <w:link w:val="Style_30"/>
    <w:rPr>
      <w:rFonts w:ascii="Times New Roman" w:hAnsi="Times New Roman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Balloon Text"/>
    <w:basedOn w:val="Style_2"/>
    <w:link w:val="Style_32_ch"/>
    <w:pPr>
      <w:spacing w:after="0" w:line="240" w:lineRule="auto"/>
      <w:ind/>
    </w:pPr>
    <w:rPr>
      <w:rFonts w:ascii="Segoe UI" w:hAnsi="Segoe UI"/>
      <w:sz w:val="18"/>
    </w:rPr>
  </w:style>
  <w:style w:styleId="Style_32_ch" w:type="character">
    <w:name w:val="Balloon Text"/>
    <w:basedOn w:val="Style_2_ch"/>
    <w:link w:val="Style_32"/>
    <w:rPr>
      <w:rFonts w:ascii="Segoe UI" w:hAnsi="Segoe UI"/>
      <w:sz w:val="18"/>
    </w:rPr>
  </w:style>
  <w:style w:styleId="Style_33" w:type="paragraph">
    <w:name w:val="toc 9"/>
    <w:next w:val="Style_2"/>
    <w:link w:val="Style_33_ch"/>
    <w:uiPriority w:val="39"/>
    <w:pPr>
      <w:ind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2"/>
    <w:link w:val="Style_34_ch"/>
    <w:uiPriority w:val="39"/>
    <w:pPr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List Paragraph"/>
    <w:basedOn w:val="Style_2"/>
    <w:link w:val="Style_36_ch"/>
    <w:pPr>
      <w:ind w:left="720"/>
      <w:contextualSpacing w:val="1"/>
    </w:pPr>
  </w:style>
  <w:style w:styleId="Style_36_ch" w:type="character">
    <w:name w:val="List Paragraph"/>
    <w:basedOn w:val="Style_2_ch"/>
    <w:link w:val="Style_36"/>
  </w:style>
  <w:style w:styleId="Style_37" w:type="paragraph">
    <w:name w:val="Normal (Web)"/>
    <w:basedOn w:val="Style_2"/>
    <w:link w:val="Style_37_ch"/>
    <w:pPr>
      <w:spacing w:afterAutospacing="on" w:beforeAutospacing="on"/>
      <w:ind/>
    </w:pPr>
    <w:rPr>
      <w:rFonts w:ascii="Times New Roman" w:hAnsi="Times New Roman"/>
    </w:rPr>
  </w:style>
  <w:style w:styleId="Style_37_ch" w:type="character">
    <w:name w:val="Normal (Web)"/>
    <w:basedOn w:val="Style_2_ch"/>
    <w:link w:val="Style_37"/>
    <w:rPr>
      <w:rFonts w:ascii="Times New Roman" w:hAnsi="Times New Roman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8" w:type="paragraph">
    <w:name w:val="toc 5"/>
    <w:next w:val="Style_2"/>
    <w:link w:val="Style_38_ch"/>
    <w:uiPriority w:val="39"/>
    <w:pPr>
      <w:ind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Subtitle"/>
    <w:next w:val="Style_2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2"/>
    <w:next w:val="Style_23"/>
    <w:link w:val="Style_40_ch"/>
    <w:uiPriority w:val="10"/>
    <w:qFormat/>
    <w:pPr>
      <w:keepNext w:val="1"/>
      <w:spacing w:after="120" w:before="240"/>
      <w:ind/>
    </w:pPr>
    <w:rPr>
      <w:rFonts w:ascii="Open Sans" w:hAnsi="Open Sans"/>
      <w:sz w:val="28"/>
    </w:rPr>
  </w:style>
  <w:style w:styleId="Style_40_ch" w:type="character">
    <w:name w:val="Title"/>
    <w:basedOn w:val="Style_2_ch"/>
    <w:link w:val="Style_40"/>
    <w:rPr>
      <w:rFonts w:ascii="Open Sans" w:hAnsi="Open Sans"/>
      <w:sz w:val="28"/>
    </w:rPr>
  </w:style>
  <w:style w:styleId="Style_41" w:type="paragraph">
    <w:name w:val="heading 4"/>
    <w:next w:val="Style_2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footer"/>
    <w:basedOn w:val="Style_2"/>
    <w:link w:val="Style_4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2_ch" w:type="character">
    <w:name w:val="footer"/>
    <w:basedOn w:val="Style_2_ch"/>
    <w:link w:val="Style_42"/>
    <w:rPr>
      <w:rFonts w:ascii="Times New Roman" w:hAnsi="Times New Roman"/>
      <w:sz w:val="28"/>
    </w:rPr>
  </w:style>
  <w:style w:styleId="Style_43" w:type="paragraph">
    <w:name w:val="List"/>
    <w:basedOn w:val="Style_23"/>
    <w:link w:val="Style_43_ch"/>
  </w:style>
  <w:style w:styleId="Style_43_ch" w:type="character">
    <w:name w:val="List"/>
    <w:basedOn w:val="Style_23_ch"/>
    <w:link w:val="Style_43"/>
  </w:style>
  <w:style w:styleId="Style_44" w:type="paragraph">
    <w:name w:val="heading 2"/>
    <w:next w:val="Style_2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2026-07-14T03:09:34Z</dcterms:modified>
</cp:coreProperties>
</file>