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  <w:t xml:space="preserve">О</w:t>
      </w:r>
      <w:r>
        <w:rPr>
          <w:rFonts w:ascii="Times New Roman" w:hAnsi="Times New Roman"/>
          <w:b/>
          <w:sz w:val="28"/>
        </w:rPr>
        <w:t xml:space="preserve"> внесении изменений в постановление Правительства Камчатского края от 17.01.2014 № 27-П «Об установле</w:t>
      </w:r>
      <w:r>
        <w:rPr>
          <w:rFonts w:ascii="Times New Roman" w:hAnsi="Times New Roman"/>
          <w:b/>
          <w:sz w:val="28"/>
        </w:rPr>
        <w:t xml:space="preserve">нии содержания ходатайства о переводе земель сельскохозяйственного назначения или земельных участков в составе таких земель, за исключением земель, находящихся в собственности Российской Федерации, в другую категорию и состава прилагаемых к нему документов</w:t>
      </w:r>
      <w:r>
        <w:rPr>
          <w:rFonts w:ascii="Times New Roman" w:hAnsi="Times New Roman"/>
          <w:b/>
          <w:sz w:val="28"/>
        </w:rPr>
        <w:t xml:space="preserve">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Учитывая протест прокуратуры Камчатского края от 29.06.2026 </w:t>
        <w:br/>
        <w:t xml:space="preserve">№ 07-7-2026/Прт-40-26-20300001,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</w:t>
      </w:r>
      <w:r>
        <w:rPr>
          <w:rFonts w:ascii="Times New Roman" w:hAnsi="Times New Roman"/>
          <w:sz w:val="28"/>
        </w:rPr>
        <w:t xml:space="preserve">. Внести в постановление Правительства Камчатского края от </w:t>
      </w:r>
      <w:r>
        <w:rPr>
          <w:rFonts w:ascii="Times New Roman" w:hAnsi="Times New Roman"/>
          <w:sz w:val="28"/>
        </w:rPr>
        <w:t xml:space="preserve">1</w:t>
      </w:r>
      <w:r>
        <w:rPr>
          <w:rFonts w:ascii="Times New Roman" w:hAnsi="Times New Roman"/>
          <w:sz w:val="28"/>
        </w:rPr>
        <w:t xml:space="preserve">7.01.2014 № 27-П «Об установлении содержания ходатайства о переводе земель сельскохозяйственного назначения или земельных участков в составе таких земель, за исключением земель, находящихся в собственности Российской Федерации, в другую категорию и состава</w:t>
      </w:r>
      <w:r>
        <w:rPr>
          <w:rFonts w:ascii="Times New Roman" w:hAnsi="Times New Roman"/>
          <w:sz w:val="28"/>
        </w:rPr>
        <w:t xml:space="preserve"> прилагаемых к нему документов»</w:t>
      </w:r>
      <w:r>
        <w:rPr>
          <w:rFonts w:ascii="Times New Roman" w:hAnsi="Times New Roman"/>
          <w:sz w:val="28"/>
        </w:rPr>
        <w:t xml:space="preserve"> следующие изменения: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1) наименование изложить в следующей редакции:</w:t>
      </w:r>
      <w:r>
        <w:rPr>
          <w:rFonts w:ascii="Times New Roman" w:hAnsi="Times New Roman"/>
          <w:sz w:val="28"/>
        </w:rPr>
      </w:r>
      <w:r/>
    </w:p>
    <w:p>
      <w:pPr>
        <w:ind w:left="0" w:right="0" w:firstLine="0"/>
        <w:jc w:val="center"/>
        <w:spacing w:after="0" w:line="240" w:lineRule="auto"/>
        <w:rPr>
          <w:b/>
          <w:bCs/>
        </w:rPr>
      </w:pPr>
      <w:r>
        <w:rPr>
          <w:rFonts w:ascii="Times New Roman" w:hAnsi="Times New Roman"/>
          <w:b w:val="0"/>
          <w:bCs w:val="0"/>
          <w:sz w:val="28"/>
        </w:rPr>
        <w:t xml:space="preserve">«</w:t>
      </w:r>
      <w:r>
        <w:rPr>
          <w:rFonts w:ascii="Times New Roman" w:hAnsi="Times New Roman"/>
          <w:b/>
          <w:bCs/>
          <w:sz w:val="28"/>
        </w:rPr>
        <w:t xml:space="preserve">Об установлении содержания ходатайства о переводе земель сельскохозяйственного назначения, за исключением земель, находящихся в федеральной собственности, в другую </w:t>
      </w:r>
      <w:r>
        <w:rPr>
          <w:rFonts w:ascii="Times New Roman" w:hAnsi="Times New Roman"/>
          <w:b/>
          <w:bCs/>
          <w:sz w:val="28"/>
        </w:rPr>
        <w:t xml:space="preserve">категорию</w:t>
      </w:r>
      <w:r>
        <w:rPr>
          <w:rFonts w:ascii="Times New Roman" w:hAnsi="Times New Roman"/>
          <w:b/>
          <w:bCs/>
          <w:sz w:val="28"/>
        </w:rPr>
        <w:t xml:space="preserve"> и состава прилагаемых к нему</w:t>
      </w:r>
      <w:r>
        <w:rPr>
          <w:rFonts w:ascii="Times New Roman" w:hAnsi="Times New Roman"/>
          <w:b/>
          <w:bCs/>
          <w:sz w:val="28"/>
        </w:rPr>
        <w:t xml:space="preserve"> документов</w:t>
      </w:r>
      <w:r>
        <w:rPr>
          <w:rFonts w:ascii="Times New Roman" w:hAnsi="Times New Roman"/>
          <w:b w:val="0"/>
          <w:bCs w:val="0"/>
          <w:sz w:val="28"/>
        </w:rPr>
        <w:t xml:space="preserve">»;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2) преамбулу изложить в следующей редакции: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соответствии c пунктом 1 части 2 статьи 2 Федерального закона </w:t>
        <w:br/>
        <w:t xml:space="preserve">от 21.12.2014 № 172-ФЗ «О переводе земель или земельных участков из одной категории в другую</w:t>
      </w:r>
      <w:r>
        <w:rPr>
          <w:rFonts w:ascii="Times New Roman" w:hAnsi="Times New Roman"/>
          <w:sz w:val="28"/>
        </w:rPr>
        <w:t xml:space="preserve">»;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3) постановляющую часть изложить в следующей редакции: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«ПРАВИТЕЛЬСТВО ПОСТАНОВЛЯЕТ: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1. У</w:t>
      </w:r>
      <w:r>
        <w:rPr>
          <w:rFonts w:ascii="Times New Roman" w:hAnsi="Times New Roman"/>
          <w:sz w:val="28"/>
        </w:rPr>
        <w:t xml:space="preserve">станови</w:t>
      </w:r>
      <w:r>
        <w:rPr>
          <w:rFonts w:ascii="Times New Roman" w:hAnsi="Times New Roman"/>
          <w:sz w:val="28"/>
        </w:rPr>
        <w:t xml:space="preserve">ть содержан</w:t>
      </w:r>
      <w:r>
        <w:rPr>
          <w:rFonts w:ascii="Times New Roman" w:hAnsi="Times New Roman"/>
          <w:sz w:val="28"/>
        </w:rPr>
        <w:t xml:space="preserve">ие ходатайства о переводе земель сельскохозяйственного назначения, за исключением земель, находящихся в федеральной собственности, в другую категорию и состав прилагаемых к нему документов согласно приложению к настоящему постановлению.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П</w:t>
      </w:r>
      <w:r>
        <w:rPr>
          <w:rFonts w:ascii="Times New Roman" w:hAnsi="Times New Roman"/>
          <w:sz w:val="28"/>
        </w:rPr>
        <w:t xml:space="preserve">ризнать утратившим силу постановление Правительства Камчатского края от 21.05.2008 № 158-П «Об установлении содержания ходатайства о переводе земель сельскохозяйственного назначения или земельных участков в составе таких земель в другую категорию и состава</w:t>
      </w:r>
      <w:r>
        <w:rPr>
          <w:rFonts w:ascii="Times New Roman" w:hAnsi="Times New Roman"/>
          <w:sz w:val="28"/>
        </w:rPr>
        <w:t xml:space="preserve"> прилагаемых к нему документов».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Настоящее постановление вступает в силу через 10 дней после дня его официального опубликования.»;</w:t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4) приложение изложить в редакции согласно приложению к настоящему постановлению.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0" w:right="0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</w:t>
            </w:r>
            <w:r>
              <w:rPr>
                <w:rFonts w:ascii="Times New Roman" w:hAnsi="Times New Roman"/>
                <w:color w:val="ffffff" w:themeColor="background1"/>
                <w:sz w:val="24"/>
                <w:highlight w:val="white"/>
              </w:rPr>
              <w:t xml:space="preserve">горизонта</w:t>
            </w:r>
            <w:r>
              <w:rPr>
                <w:rFonts w:ascii="Times New Roman" w:hAnsi="Times New Roman"/>
                <w:color w:val="ffffff" w:themeColor="background1"/>
                <w:sz w:val="24"/>
                <w:highlight w:val="white"/>
              </w:rPr>
              <w:t xml:space="preserve">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06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4"/>
        <w:ind w:left="8079" w:right="0" w:hanging="2835"/>
        <w:spacing w:before="0"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«Приложение к постановлению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4"/>
        <w:ind w:left="8079" w:right="0" w:hanging="8079"/>
        <w:spacing w:before="0"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</w:rPr>
        <w:t xml:space="preserve">Правительства 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4"/>
        <w:ind w:left="8079" w:right="0" w:hanging="8079"/>
        <w:spacing w:before="0"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</w:rPr>
        <w:t xml:space="preserve">от 17.01.2014 № 27-П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4"/>
        <w:ind w:left="8079" w:right="0" w:hanging="8079"/>
        <w:spacing w:before="0"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4"/>
        <w:ind w:left="8079" w:right="0" w:hanging="8079"/>
        <w:spacing w:before="0"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4"/>
        <w:jc w:val="center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  <w:t xml:space="preserve">Содержание 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jc w:val="center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</w:rPr>
        <w:t xml:space="preserve">ходатайства о переводе земель сельскохозяйственного назначения, за исключением земель, находящихся в федеральной собственности, в другую категорию и состав прилагаемых к нему документов</w:t>
      </w:r>
      <w:r>
        <w:rPr>
          <w:rFonts w:ascii="Times New Roman" w:hAnsi="Times New Roman"/>
          <w:b w:val="0"/>
          <w:sz w:val="28"/>
        </w:rPr>
        <w:t xml:space="preserve">  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4"/>
        <w:jc w:val="center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88" w:lineRule="atLeast"/>
        <w:rPr>
          <w:rFonts w:ascii="Times New Roman" w:hAnsi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highlight w:val="none"/>
        </w:rPr>
        <w:t xml:space="preserve">1. Содержание </w:t>
      </w:r>
      <w:r>
        <w:rPr>
          <w:rFonts w:ascii="Times New Roman" w:hAnsi="Times New Roman"/>
          <w:b w:val="0"/>
          <w:sz w:val="28"/>
        </w:rPr>
        <w:t xml:space="preserve">ходатайства о переводе земель сельскохозяйственного назначения, за исключением земель, находящихся в федеральной собственности, в другую категорию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1418" w:right="0" w:firstLine="0"/>
        <w:jc w:val="center"/>
        <w:spacing w:before="0" w:after="0" w:line="288" w:lineRule="atLeast"/>
        <w:rPr>
          <w:rFonts w:ascii="Times New Roman" w:hAnsi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</w:rPr>
        <w:t xml:space="preserve">1. </w:t>
      </w:r>
      <w:r>
        <w:rPr>
          <w:rFonts w:ascii="Times New Roman" w:hAnsi="Times New Roman"/>
          <w:sz w:val="28"/>
        </w:rPr>
        <w:t xml:space="preserve">Ходатайство о переводе земель сельскохозяйственного назначения, </w:t>
        <w:br/>
        <w:t xml:space="preserve">за исключением земель, находящихся в федеральной собственности, </w:t>
        <w:br/>
        <w:t xml:space="preserve">в другую </w:t>
      </w:r>
      <w:r>
        <w:rPr>
          <w:rFonts w:ascii="Times New Roman" w:hAnsi="Times New Roman"/>
          <w:sz w:val="28"/>
        </w:rPr>
        <w:t xml:space="preserve">категорию</w:t>
      </w:r>
      <w:r>
        <w:rPr>
          <w:rFonts w:ascii="Times New Roman" w:hAnsi="Times New Roman"/>
          <w:sz w:val="28"/>
        </w:rPr>
        <w:t xml:space="preserve"> (далее </w:t>
      </w:r>
      <w:r>
        <w:rPr>
          <w:rFonts w:ascii="Times New Roman" w:hAnsi="Times New Roman"/>
          <w:b w:val="0"/>
          <w:i w:val="0"/>
          <w:strike w:val="0"/>
          <w:sz w:val="28"/>
          <w:highlight w:val="none"/>
        </w:rPr>
        <w:t xml:space="preserve">–</w:t>
      </w:r>
      <w:r>
        <w:rPr>
          <w:rFonts w:ascii="Times New Roman" w:hAnsi="Times New Roman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</w:rPr>
        <w:t xml:space="preserve">ходатайство), </w:t>
      </w:r>
      <w:r>
        <w:rPr>
          <w:rFonts w:ascii="Times New Roman" w:hAnsi="Times New Roman"/>
          <w:sz w:val="28"/>
          <w:highlight w:val="white"/>
        </w:rPr>
        <w:t xml:space="preserve">подаваемое заинтересованным </w:t>
        <w:br/>
        <w:t xml:space="preserve">лицом в Министерство имущественных и земельных отношений Камчатского края (далее – Министерство),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должно содержать: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  <w:t xml:space="preserve">1) сведения о заявителе ходатайства: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 xml:space="preserve">фамилия, имя, отчество (при наличии), вид документа, удостоверяющего личность, его серия и но</w:t>
      </w:r>
      <w:r>
        <w:rPr>
          <w:rFonts w:ascii="Times New Roman" w:hAnsi="Times New Roman"/>
          <w:sz w:val="28"/>
          <w:szCs w:val="28"/>
          <w:highlight w:val="white"/>
        </w:rPr>
        <w:t xml:space="preserve">мер, </w:t>
      </w:r>
      <w:r>
        <w:rPr>
          <w:rFonts w:ascii="Times New Roman" w:hAnsi="Times New Roman"/>
          <w:sz w:val="28"/>
          <w:szCs w:val="28"/>
          <w:highlight w:val="white"/>
        </w:rPr>
        <w:t xml:space="preserve">адрес регистрации по месту жительства</w:t>
      </w:r>
      <w:r>
        <w:rPr>
          <w:rFonts w:ascii="Times New Roman" w:hAnsi="Times New Roman"/>
          <w:sz w:val="28"/>
          <w:szCs w:val="28"/>
          <w:highlight w:val="white"/>
        </w:rPr>
        <w:t xml:space="preserve">, почтовый адрес и (или) адрес электрон</w:t>
      </w:r>
      <w:r>
        <w:rPr>
          <w:rFonts w:ascii="Times New Roman" w:hAnsi="Times New Roman"/>
          <w:sz w:val="28"/>
          <w:szCs w:val="28"/>
        </w:rPr>
        <w:t xml:space="preserve">ной почты (для физических лиц);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фамилия, имя, отчество (при наличии), вид документа, удостоверяющего личность, его серия и номер, </w:t>
      </w:r>
      <w:r>
        <w:rPr>
          <w:rFonts w:ascii="Times New Roman" w:hAnsi="Times New Roman"/>
          <w:sz w:val="28"/>
          <w:szCs w:val="28"/>
          <w:highlight w:val="white"/>
        </w:rPr>
        <w:t xml:space="preserve">адрес регистрации по месту жительства,</w:t>
      </w:r>
      <w:r>
        <w:rPr>
          <w:rFonts w:ascii="Times New Roman" w:hAnsi="Times New Roman"/>
          <w:sz w:val="28"/>
          <w:szCs w:val="28"/>
        </w:rPr>
        <w:t xml:space="preserve"> почтовый адрес </w:t>
      </w:r>
      <w:r>
        <w:rPr>
          <w:rFonts w:ascii="Times New Roman" w:hAnsi="Times New Roman"/>
          <w:sz w:val="28"/>
          <w:szCs w:val="28"/>
        </w:rPr>
        <w:t xml:space="preserve">и (или) адрес электронной почты</w:t>
      </w:r>
      <w:r>
        <w:rPr>
          <w:rFonts w:ascii="Times New Roman" w:hAnsi="Times New Roman"/>
          <w:sz w:val="28"/>
          <w:szCs w:val="28"/>
        </w:rPr>
        <w:t xml:space="preserve">, 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highlight w:val="white"/>
        </w:rPr>
        <w:t xml:space="preserve">дата постановки на учет в налоговом органе</w:t>
      </w:r>
      <w:r>
        <w:rPr>
          <w:rFonts w:ascii="Times New Roman" w:hAnsi="Times New Roman"/>
          <w:sz w:val="28"/>
          <w:szCs w:val="28"/>
          <w:highlight w:val="white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для индивидуальных предпринимателей);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 xml:space="preserve">наименование, юридический и почтовый адрес, основной государственный регистрационный номер, </w:t>
      </w:r>
      <w:r>
        <w:rPr>
          <w:rFonts w:ascii="Times New Roman" w:hAnsi="Times New Roman"/>
          <w:sz w:val="28"/>
          <w:szCs w:val="28"/>
          <w:highlight w:val="white"/>
        </w:rPr>
        <w:t xml:space="preserve">дата государственной регистрации юридического лица</w:t>
      </w:r>
      <w:r>
        <w:rPr>
          <w:rFonts w:ascii="Times New Roman" w:hAnsi="Times New Roman"/>
          <w:sz w:val="28"/>
          <w:szCs w:val="28"/>
        </w:rPr>
        <w:t xml:space="preserve"> (для юридических лиц, исполнительных органов Камч</w:t>
      </w:r>
      <w:r>
        <w:rPr>
          <w:rFonts w:ascii="Times New Roman" w:hAnsi="Times New Roman"/>
          <w:sz w:val="28"/>
          <w:szCs w:val="28"/>
        </w:rPr>
        <w:t xml:space="preserve">атского края, органов местного самоуправления муниципальных образований в Камчатском крае);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</w:rPr>
        <w:t xml:space="preserve">фамилия, имя, отчество (при наличии),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вид документа, удостоверяющего личность, его серия и номер,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наименование и реквизиты документа, подтверждающего полномочия действовать от имени заявителя (в случае, если ходатайство подается представителем заявителя);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2)</w:t>
      </w:r>
      <w:r>
        <w:rPr>
          <w:rFonts w:ascii="Times New Roman" w:hAnsi="Times New Roman"/>
          <w:sz w:val="28"/>
          <w:szCs w:val="28"/>
          <w:highlight w:val="none"/>
        </w:rPr>
        <w:t xml:space="preserve"> сведения о землях </w:t>
      </w:r>
      <w:r>
        <w:rPr>
          <w:rFonts w:ascii="Times New Roman" w:hAnsi="Times New Roman"/>
          <w:sz w:val="28"/>
        </w:rPr>
        <w:t xml:space="preserve">сельскохозяйственного назначения, за исключением земель, находящихся в федеральной собственности,</w:t>
      </w:r>
      <w:r>
        <w:rPr>
          <w:rFonts w:ascii="Times New Roman" w:hAnsi="Times New Roman"/>
          <w:sz w:val="28"/>
          <w:szCs w:val="28"/>
          <w:highlight w:val="none"/>
        </w:rPr>
        <w:t xml:space="preserve"> перевод которых </w:t>
      </w:r>
      <w:r>
        <w:rPr>
          <w:rFonts w:ascii="Times New Roman" w:hAnsi="Times New Roman"/>
          <w:b w:val="0"/>
          <w:sz w:val="28"/>
        </w:rPr>
        <w:t xml:space="preserve">в другую категорию предполагается осуществить (далее – земли</w:t>
      </w:r>
      <w:r>
        <w:rPr>
          <w:rFonts w:ascii="Times New Roman" w:hAnsi="Times New Roman"/>
          <w:b w:val="0"/>
          <w:sz w:val="28"/>
        </w:rPr>
        <w:t xml:space="preserve">):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а)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координатное</w:t>
      </w:r>
      <w:r>
        <w:rPr>
          <w:rFonts w:ascii="Times New Roman" w:hAnsi="Times New Roman"/>
          <w:sz w:val="28"/>
          <w:szCs w:val="28"/>
          <w:highlight w:val="none"/>
        </w:rPr>
        <w:t xml:space="preserve"> описание границ </w:t>
      </w:r>
      <w:r>
        <w:rPr>
          <w:rFonts w:ascii="Times New Roman" w:hAnsi="Times New Roman"/>
          <w:sz w:val="28"/>
          <w:szCs w:val="28"/>
          <w:highlight w:val="none"/>
        </w:rPr>
        <w:t xml:space="preserve">земель</w:t>
      </w:r>
      <w:r>
        <w:rPr>
          <w:rFonts w:ascii="Times New Roman" w:hAnsi="Times New Roman"/>
          <w:b w:val="0"/>
          <w:sz w:val="28"/>
        </w:rPr>
        <w:t xml:space="preserve">;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b w:val="0"/>
          <w:bCs w:val="0"/>
          <w:sz w:val="28"/>
          <w:szCs w:val="28"/>
          <w:highlight w:val="white"/>
          <w14:ligatures w14:val="none"/>
        </w:rPr>
        <w:t xml:space="preserve">б) номер кадастрового квартала, в границах которого расположены земли; 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в) описание местоположения земель</w:t>
      </w:r>
      <w:r>
        <w:rPr>
          <w:rFonts w:ascii="Times New Roman" w:hAnsi="Times New Roman"/>
          <w:b w:val="0"/>
          <w:sz w:val="28"/>
        </w:rPr>
        <w:t xml:space="preserve">;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г) </w:t>
      </w:r>
      <w:r>
        <w:rPr>
          <w:rFonts w:ascii="Times New Roman" w:hAnsi="Times New Roman"/>
          <w:sz w:val="28"/>
          <w:szCs w:val="28"/>
          <w:highlight w:val="none"/>
        </w:rPr>
        <w:t xml:space="preserve">площадь земель;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д) категория земель, в состав которых входят земли, и категория земель, перевод в состав которых предполагается осуществить;  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е) </w:t>
      </w:r>
      <w:r>
        <w:rPr>
          <w:rFonts w:ascii="Times New Roman" w:hAnsi="Times New Roman"/>
          <w:sz w:val="28"/>
          <w:szCs w:val="28"/>
          <w:highlight w:val="none"/>
        </w:rPr>
        <w:t xml:space="preserve">сведения о принадлежности земель к сельскохозяйственным угодьям, в том числе особо ценным;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  <w:t xml:space="preserve">ж) о</w:t>
      </w:r>
      <w:r>
        <w:rPr>
          <w:rFonts w:ascii="Times New Roman" w:hAnsi="Times New Roman"/>
          <w:sz w:val="28"/>
          <w:szCs w:val="28"/>
        </w:rPr>
        <w:t xml:space="preserve">боснование перевода земель в другую категорию земель, включающее цель перевода земель в другую категорию и обоснование необходимости использо</w:t>
      </w:r>
      <w:r>
        <w:rPr>
          <w:rFonts w:ascii="Times New Roman" w:hAnsi="Times New Roman"/>
          <w:sz w:val="28"/>
          <w:szCs w:val="28"/>
        </w:rPr>
        <w:t xml:space="preserve">вания земель в составе испрашиваемой категории земель, несовместимого с нахожд</w:t>
      </w:r>
      <w:r>
        <w:rPr>
          <w:rFonts w:ascii="Times New Roman" w:hAnsi="Times New Roman"/>
          <w:sz w:val="28"/>
          <w:szCs w:val="28"/>
        </w:rPr>
        <w:t xml:space="preserve">ением в составе земель сельско</w:t>
      </w:r>
      <w:r>
        <w:rPr>
          <w:rFonts w:ascii="Times New Roman" w:hAnsi="Times New Roman"/>
          <w:sz w:val="28"/>
          <w:szCs w:val="28"/>
        </w:rPr>
        <w:t xml:space="preserve">хозяйственного назначения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/>
          <w:sz w:val="28"/>
          <w:szCs w:val="28"/>
          <w:highlight w:val="white"/>
        </w:rPr>
        <w:t xml:space="preserve">) обоснование отсутствия иных вариантов использования земель из состава других категорий земель для испрашиваемых целей</w:t>
      </w:r>
      <w:r>
        <w:rPr>
          <w:rFonts w:ascii="Times New Roman" w:hAnsi="Times New Roman"/>
          <w:sz w:val="28"/>
          <w:szCs w:val="28"/>
          <w:highlight w:val="white"/>
        </w:rPr>
        <w:t xml:space="preserve">, а также финансово-экономическое обоснование целесообразности перевода земель из одной категории в другую</w:t>
      </w:r>
      <w:r>
        <w:rPr>
          <w:rFonts w:ascii="Times New Roman" w:hAnsi="Times New Roman"/>
          <w:sz w:val="28"/>
          <w:szCs w:val="28"/>
          <w:highlight w:val="white"/>
        </w:rPr>
        <w:t xml:space="preserve"> (в случаях, предусмотренных законодательством Российской Федерации); 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/>
          <w:sz w:val="28"/>
          <w:szCs w:val="28"/>
          <w:highlight w:val="white"/>
        </w:rPr>
        <w:t xml:space="preserve">) </w:t>
      </w:r>
      <w:r>
        <w:rPr>
          <w:rFonts w:ascii="Times New Roman" w:hAnsi="Times New Roman"/>
          <w:sz w:val="28"/>
          <w:szCs w:val="28"/>
          <w:highlight w:val="white"/>
        </w:rPr>
        <w:t xml:space="preserve">реквизиты решения о создании особо охраняемой природной территории </w:t>
      </w:r>
      <w:r>
        <w:rPr>
          <w:rFonts w:ascii="Times New Roman" w:hAnsi="Times New Roman"/>
          <w:sz w:val="28"/>
          <w:szCs w:val="28"/>
          <w:highlight w:val="white"/>
        </w:rPr>
        <w:t xml:space="preserve">(в случае перевода земель на основании пункта 2 части 1 статьи 7 Федерального закона от 21.12.2004 № 172-ФЗ «О переводе земель или земельных участк</w:t>
      </w:r>
      <w:r>
        <w:rPr>
          <w:rFonts w:ascii="Times New Roman" w:hAnsi="Times New Roman"/>
          <w:sz w:val="28"/>
          <w:szCs w:val="28"/>
          <w:highlight w:val="white"/>
        </w:rPr>
        <w:t xml:space="preserve">ов из одной категории в другую» (далее – Федеральный закон № 172-ФЗ)</w:t>
      </w:r>
      <w:r>
        <w:rPr>
          <w:rFonts w:ascii="Times New Roman" w:hAnsi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к) </w:t>
      </w:r>
      <w:r>
        <w:rPr>
          <w:rFonts w:ascii="Times New Roman" w:hAnsi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</w:rPr>
        <w:t xml:space="preserve">ч</w:t>
      </w:r>
      <w:r>
        <w:rPr>
          <w:rFonts w:ascii="Times New Roman" w:hAnsi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</w:rPr>
        <w:t xml:space="preserve">й</w:t>
      </w:r>
      <w:r>
        <w:rPr>
          <w:rFonts w:ascii="Times New Roman" w:hAnsi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/>
          <w:sz w:val="28"/>
          <w:szCs w:val="28"/>
          <w:highlight w:val="white"/>
        </w:rPr>
        <w:t xml:space="preserve">у.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2. Состав документов, прилагаемых к ходатайству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/>
          <w:sz w:val="28"/>
          <w:szCs w:val="28"/>
          <w:highlight w:val="none"/>
        </w:rPr>
        <w:t xml:space="preserve">К ходатайству прилагаются следующие документы: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1) копия документа, удостоверяющего личность заявителя (для физических лиц, индивидуальных предпринимателей, представителей заявителя);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680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2) документ, подтверждающий полномочия представителя заявителя </w:t>
        <w:br/>
        <w:t xml:space="preserve">(</w:t>
      </w:r>
      <w:r>
        <w:rPr>
          <w:rFonts w:ascii="Times New Roman" w:hAnsi="Times New Roman"/>
          <w:sz w:val="28"/>
          <w:szCs w:val="28"/>
        </w:rPr>
        <w:t xml:space="preserve">в случае, если ходатайство подается представителем заявителя)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3) с</w:t>
      </w:r>
      <w:r>
        <w:rPr>
          <w:rFonts w:ascii="Times New Roman" w:hAnsi="Times New Roman"/>
          <w:sz w:val="28"/>
          <w:szCs w:val="28"/>
        </w:rPr>
        <w:t xml:space="preserve">огласие правообладателя </w:t>
      </w:r>
      <w:r>
        <w:rPr>
          <w:rFonts w:ascii="Times New Roman" w:hAnsi="Times New Roman"/>
          <w:sz w:val="28"/>
          <w:szCs w:val="28"/>
        </w:rPr>
        <w:t xml:space="preserve">объекта, </w:t>
      </w:r>
      <w:r>
        <w:rPr>
          <w:rFonts w:ascii="Times New Roman" w:hAnsi="Times New Roman"/>
          <w:sz w:val="28"/>
          <w:szCs w:val="28"/>
        </w:rPr>
        <w:t xml:space="preserve">расположенного в границах земель</w:t>
      </w:r>
      <w:r>
        <w:rPr>
          <w:rFonts w:ascii="Times New Roman" w:hAnsi="Times New Roman"/>
          <w:sz w:val="28"/>
          <w:szCs w:val="28"/>
        </w:rPr>
        <w:t xml:space="preserve">, на перевод земель в другую категорию;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4) у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твержденный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 проект рекультивации части сельскохозяйственных угодий, предоставляемой на период осуществления строительства линейных объектов, либо прошитые, заверенные печатью (при наличии) заявителя,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подавшего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 ходатайство, и подписанные заявителем и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л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и уполномоченным заявителем лицом копия такого проекта рекультивации либо копия раздела проектной документации, содержащего проект рекультивации части сельскохозяйственных угодий, предоставляемой на период осуществления строительства линейных объектов (с п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риложением титульных листов проектной документации и соответствующего раздела (тома) такой документации) (в случае перевода земель на основании пункта 6 части 1 статьи 7 </w:t>
      </w:r>
      <w:r>
        <w:rPr>
          <w:rFonts w:ascii="Times New Roman" w:hAnsi="Times New Roman"/>
          <w:sz w:val="28"/>
          <w:szCs w:val="28"/>
        </w:rPr>
        <w:t xml:space="preserve">Федерального закона № 172-ФЗ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);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5) у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твержденный проект рекультивации земель в связи с добычей полезных ископаемых либо прошитые, заверенные печатью (при наличии) заявителя, обратившегося с ходатайством, и подписанные заявителем или уполномоченным заявителем лицом копия такого проекта рекульт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и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вации либо копия раздела проектной документации, содержащего проект рекультивации в связи с добычей полезных ископаемых (с приложением титульных листов проектной документации и соответствующего раздела (тома) такой документации) (в случае перевода земель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на основании пункта 8 части 1 статьи 7 </w:t>
      </w:r>
      <w:r>
        <w:rPr>
          <w:rFonts w:ascii="Times New Roman" w:hAnsi="Times New Roman"/>
          <w:sz w:val="28"/>
          <w:szCs w:val="28"/>
        </w:rPr>
        <w:t xml:space="preserve">Федерального закона № 172-ФЗ)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6) з</w:t>
      </w:r>
      <w:r>
        <w:rPr>
          <w:rFonts w:ascii="Times New Roman" w:hAnsi="Times New Roman"/>
          <w:sz w:val="28"/>
          <w:szCs w:val="28"/>
        </w:rPr>
        <w:t xml:space="preserve">аключение </w:t>
      </w:r>
      <w:r>
        <w:rPr>
          <w:rFonts w:ascii="Times New Roman" w:hAnsi="Times New Roman"/>
          <w:sz w:val="28"/>
          <w:szCs w:val="28"/>
          <w:highlight w:val="white"/>
        </w:rPr>
        <w:t xml:space="preserve">органа местного самоуправления</w:t>
      </w:r>
      <w:r>
        <w:rPr>
          <w:rFonts w:ascii="Times New Roman" w:hAnsi="Times New Roman"/>
          <w:sz w:val="28"/>
          <w:szCs w:val="28"/>
          <w:highlight w:val="white"/>
        </w:rPr>
        <w:t xml:space="preserve">, подт</w:t>
      </w:r>
      <w:r>
        <w:rPr>
          <w:rFonts w:ascii="Times New Roman" w:hAnsi="Times New Roman"/>
          <w:sz w:val="28"/>
          <w:szCs w:val="28"/>
        </w:rPr>
        <w:t xml:space="preserve">верждающее отсутствие иных вариантов размещения соответствующих объектов (в случае перевода земель на основании </w:t>
      </w:r>
      <w:hyperlink r:id="rId13" w:tooltip="https://login.consultant.ru/link/?req=doc&amp;base=LAW&amp;n=512728&amp;dst=100151&amp;field=134&amp;date=10.07.2026" w:history="1">
        <w:r>
          <w:rPr>
            <w:rFonts w:ascii="Times New Roman" w:hAnsi="Times New Roman"/>
            <w:sz w:val="28"/>
            <w:szCs w:val="28"/>
          </w:rPr>
          <w:t xml:space="preserve">пунктов 4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4" w:tooltip="https://login.consultant.ru/link/?req=doc&amp;base=LAW&amp;n=512728&amp;dst=100153&amp;field=134&amp;date=10.07.2026" w:history="1">
        <w:r>
          <w:rPr>
            <w:rFonts w:ascii="Times New Roman" w:hAnsi="Times New Roman"/>
            <w:sz w:val="28"/>
            <w:szCs w:val="28"/>
          </w:rPr>
          <w:t xml:space="preserve">7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5" w:tooltip="https://login.consultant.ru/link/?req=doc&amp;base=LAW&amp;n=512728&amp;dst=100155&amp;field=134&amp;date=10.07.2026" w:history="1">
        <w:r>
          <w:rPr>
            <w:rFonts w:ascii="Times New Roman" w:hAnsi="Times New Roman"/>
            <w:sz w:val="28"/>
            <w:szCs w:val="28"/>
          </w:rPr>
          <w:t xml:space="preserve">9 части 1 статьи 7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№ 172-ФЗ</w:t>
      </w:r>
      <w:r>
        <w:rPr>
          <w:rFonts w:ascii="Times New Roman" w:hAnsi="Times New Roman"/>
          <w:sz w:val="28"/>
          <w:szCs w:val="28"/>
        </w:rPr>
        <w:t xml:space="preserve">);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7) утвержденный проект консервации земель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либо прошитая, заверенная печатью (при наличии) заявителя,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подавшего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 ходатайство, и подписанная заявителем или уполномоченным заявителем лицом копия такого проекта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(в случае перевода земель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на основании пункта 1 части 1 статьи 7 </w:t>
      </w:r>
      <w:r>
        <w:rPr>
          <w:rFonts w:ascii="Times New Roman" w:hAnsi="Times New Roman"/>
          <w:sz w:val="28"/>
          <w:szCs w:val="28"/>
        </w:rPr>
        <w:t xml:space="preserve">Федерального закона № 172-ФЗ)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8) документ, подтверждающий отнесение </w:t>
      </w:r>
      <w:r>
        <w:rPr>
          <w:rFonts w:ascii="Times New Roman" w:hAnsi="Times New Roman"/>
          <w:sz w:val="28"/>
          <w:szCs w:val="28"/>
        </w:rPr>
        <w:t xml:space="preserve">земель к землям природоохранного, историко-культурного, рекреационного и иного особо ценного назначения</w:t>
      </w:r>
      <w:r>
        <w:rPr>
          <w:rFonts w:ascii="Times New Roman" w:hAnsi="Times New Roman"/>
          <w:sz w:val="28"/>
          <w:szCs w:val="28"/>
        </w:rPr>
        <w:t xml:space="preserve"> (в случае перевода земель на основании пункта 2 части 1 статьи 7 Федерального закона  № 172-ФЗ)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9) к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опия лицензии на пользование недрами, включающей горноотводный акт и графические приложения, содержащие информацию об уточненных границах горного отвода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 (в случае перевода земель на основании пункта 8 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части 1 статьи 7 </w:t>
      </w:r>
      <w:r>
        <w:rPr>
          <w:rFonts w:ascii="Times New Roman" w:hAnsi="Times New Roman"/>
          <w:sz w:val="28"/>
          <w:szCs w:val="28"/>
        </w:rPr>
        <w:t xml:space="preserve">Федерального закона № 172-ФЗ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).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».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68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418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86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6">
    <w:name w:val="Heading 1 Char"/>
    <w:basedOn w:val="860"/>
    <w:link w:val="8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7">
    <w:name w:val="Heading 2 Char"/>
    <w:basedOn w:val="860"/>
    <w:link w:val="856"/>
    <w:uiPriority w:val="9"/>
    <w:rPr>
      <w:rFonts w:ascii="Liberation Sans" w:hAnsi="Liberation Sans" w:eastAsia="Liberation Sans" w:cs="Liberation Sans"/>
      <w:sz w:val="34"/>
    </w:rPr>
  </w:style>
  <w:style w:type="character" w:styleId="698">
    <w:name w:val="Heading 3 Char"/>
    <w:basedOn w:val="860"/>
    <w:link w:val="8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9">
    <w:name w:val="Heading 4 Char"/>
    <w:basedOn w:val="860"/>
    <w:link w:val="8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>
    <w:name w:val="Heading 5 Char"/>
    <w:basedOn w:val="860"/>
    <w:link w:val="8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1">
    <w:name w:val="Heading 6"/>
    <w:basedOn w:val="854"/>
    <w:next w:val="854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2">
    <w:name w:val="Heading 6 Char"/>
    <w:basedOn w:val="860"/>
    <w:link w:val="70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3">
    <w:name w:val="Heading 7"/>
    <w:basedOn w:val="854"/>
    <w:next w:val="854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>
    <w:name w:val="Heading 7 Char"/>
    <w:basedOn w:val="860"/>
    <w:link w:val="70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5">
    <w:name w:val="Heading 8"/>
    <w:basedOn w:val="854"/>
    <w:next w:val="854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6">
    <w:name w:val="Heading 8 Char"/>
    <w:basedOn w:val="860"/>
    <w:link w:val="70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7">
    <w:name w:val="Heading 9"/>
    <w:basedOn w:val="854"/>
    <w:next w:val="854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>
    <w:name w:val="Heading 9 Char"/>
    <w:basedOn w:val="860"/>
    <w:link w:val="70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9">
    <w:name w:val="List Paragraph"/>
    <w:basedOn w:val="854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character" w:styleId="711">
    <w:name w:val="Title Char"/>
    <w:basedOn w:val="860"/>
    <w:link w:val="900"/>
    <w:uiPriority w:val="10"/>
    <w:rPr>
      <w:sz w:val="48"/>
      <w:szCs w:val="48"/>
    </w:rPr>
  </w:style>
  <w:style w:type="character" w:styleId="712">
    <w:name w:val="Subtitle Char"/>
    <w:basedOn w:val="860"/>
    <w:link w:val="896"/>
    <w:uiPriority w:val="11"/>
    <w:rPr>
      <w:sz w:val="24"/>
      <w:szCs w:val="24"/>
    </w:rPr>
  </w:style>
  <w:style w:type="paragraph" w:styleId="713">
    <w:name w:val="Quote"/>
    <w:basedOn w:val="854"/>
    <w:next w:val="854"/>
    <w:link w:val="714"/>
    <w:uiPriority w:val="29"/>
    <w:qFormat/>
    <w:pPr>
      <w:ind w:left="720" w:right="720"/>
    </w:pPr>
    <w:rPr>
      <w:i/>
    </w:rPr>
  </w:style>
  <w:style w:type="character" w:styleId="714">
    <w:name w:val="Quote Char"/>
    <w:link w:val="713"/>
    <w:uiPriority w:val="29"/>
    <w:rPr>
      <w:i/>
    </w:rPr>
  </w:style>
  <w:style w:type="paragraph" w:styleId="715">
    <w:name w:val="Intense Quote"/>
    <w:basedOn w:val="854"/>
    <w:next w:val="854"/>
    <w:link w:val="7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>
    <w:name w:val="Intense Quote Char"/>
    <w:link w:val="715"/>
    <w:uiPriority w:val="30"/>
    <w:rPr>
      <w:i/>
    </w:rPr>
  </w:style>
  <w:style w:type="character" w:styleId="717">
    <w:name w:val="Header Char"/>
    <w:basedOn w:val="860"/>
    <w:link w:val="868"/>
    <w:uiPriority w:val="99"/>
  </w:style>
  <w:style w:type="character" w:styleId="718">
    <w:name w:val="Footer Char"/>
    <w:basedOn w:val="860"/>
    <w:link w:val="898"/>
    <w:uiPriority w:val="99"/>
  </w:style>
  <w:style w:type="paragraph" w:styleId="719">
    <w:name w:val="Caption"/>
    <w:basedOn w:val="854"/>
    <w:next w:val="854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basedOn w:val="860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 Light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2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0">
    <w:name w:val="List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4">
    <w:name w:val="List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5">
    <w:name w:val="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Bordered &amp; 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Bordered &amp; 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4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basedOn w:val="860"/>
    <w:uiPriority w:val="99"/>
    <w:unhideWhenUsed/>
    <w:rPr>
      <w:vertAlign w:val="superscript"/>
    </w:rPr>
  </w:style>
  <w:style w:type="paragraph" w:styleId="849">
    <w:name w:val="endnote text"/>
    <w:basedOn w:val="854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basedOn w:val="860"/>
    <w:uiPriority w:val="99"/>
    <w:semiHidden/>
    <w:unhideWhenUsed/>
    <w:rPr>
      <w:vertAlign w:val="superscript"/>
    </w:r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link w:val="863"/>
    <w:qFormat/>
  </w:style>
  <w:style w:type="paragraph" w:styleId="855">
    <w:name w:val="Heading 1"/>
    <w:next w:val="854"/>
    <w:link w:val="88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6">
    <w:name w:val="Heading 2"/>
    <w:next w:val="854"/>
    <w:link w:val="905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7">
    <w:name w:val="Heading 3"/>
    <w:next w:val="854"/>
    <w:link w:val="874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8">
    <w:name w:val="Heading 4"/>
    <w:next w:val="854"/>
    <w:link w:val="90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9">
    <w:name w:val="Heading 5"/>
    <w:next w:val="854"/>
    <w:link w:val="87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60" w:default="1">
    <w:name w:val="Default Paragraph Font"/>
    <w:uiPriority w:val="1"/>
    <w:semiHidden/>
    <w:unhideWhenUsed/>
  </w:style>
  <w:style w:type="table" w:styleId="8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2" w:default="1">
    <w:name w:val="No List"/>
    <w:uiPriority w:val="99"/>
    <w:semiHidden/>
    <w:unhideWhenUsed/>
  </w:style>
  <w:style w:type="character" w:styleId="863" w:customStyle="1">
    <w:name w:val="Обычный1"/>
  </w:style>
  <w:style w:type="paragraph" w:styleId="864">
    <w:name w:val="toc 2"/>
    <w:next w:val="854"/>
    <w:link w:val="865"/>
    <w:uiPriority w:val="39"/>
    <w:pPr>
      <w:ind w:left="200"/>
    </w:pPr>
    <w:rPr>
      <w:rFonts w:ascii="XO Thames" w:hAnsi="XO Thames"/>
      <w:sz w:val="28"/>
    </w:rPr>
  </w:style>
  <w:style w:type="character" w:styleId="865" w:customStyle="1">
    <w:name w:val="Оглавление 2 Знак"/>
    <w:link w:val="864"/>
    <w:rPr>
      <w:rFonts w:ascii="XO Thames" w:hAnsi="XO Thames"/>
      <w:sz w:val="28"/>
    </w:rPr>
  </w:style>
  <w:style w:type="paragraph" w:styleId="866">
    <w:name w:val="toc 4"/>
    <w:next w:val="854"/>
    <w:link w:val="867"/>
    <w:uiPriority w:val="39"/>
    <w:pPr>
      <w:ind w:left="600"/>
    </w:pPr>
    <w:rPr>
      <w:rFonts w:ascii="XO Thames" w:hAnsi="XO Thames"/>
      <w:sz w:val="28"/>
    </w:rPr>
  </w:style>
  <w:style w:type="character" w:styleId="867" w:customStyle="1">
    <w:name w:val="Оглавление 4 Знак"/>
    <w:link w:val="866"/>
    <w:rPr>
      <w:rFonts w:ascii="XO Thames" w:hAnsi="XO Thames"/>
      <w:sz w:val="28"/>
    </w:rPr>
  </w:style>
  <w:style w:type="paragraph" w:styleId="868">
    <w:name w:val="Header"/>
    <w:basedOn w:val="854"/>
    <w:link w:val="869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Верхний колонтитул Знак"/>
    <w:basedOn w:val="863"/>
    <w:link w:val="868"/>
    <w:uiPriority w:val="99"/>
  </w:style>
  <w:style w:type="paragraph" w:styleId="870">
    <w:name w:val="toc 6"/>
    <w:next w:val="854"/>
    <w:link w:val="871"/>
    <w:uiPriority w:val="39"/>
    <w:pPr>
      <w:ind w:left="1000"/>
    </w:pPr>
    <w:rPr>
      <w:rFonts w:ascii="XO Thames" w:hAnsi="XO Thames"/>
      <w:sz w:val="28"/>
    </w:rPr>
  </w:style>
  <w:style w:type="character" w:styleId="871" w:customStyle="1">
    <w:name w:val="Оглавление 6 Знак"/>
    <w:link w:val="870"/>
    <w:rPr>
      <w:rFonts w:ascii="XO Thames" w:hAnsi="XO Thames"/>
      <w:sz w:val="28"/>
    </w:rPr>
  </w:style>
  <w:style w:type="paragraph" w:styleId="872">
    <w:name w:val="toc 7"/>
    <w:next w:val="854"/>
    <w:link w:val="873"/>
    <w:uiPriority w:val="39"/>
    <w:pPr>
      <w:ind w:left="1200"/>
    </w:pPr>
    <w:rPr>
      <w:rFonts w:ascii="XO Thames" w:hAnsi="XO Thames"/>
      <w:sz w:val="28"/>
    </w:rPr>
  </w:style>
  <w:style w:type="character" w:styleId="873" w:customStyle="1">
    <w:name w:val="Оглавление 7 Знак"/>
    <w:link w:val="872"/>
    <w:rPr>
      <w:rFonts w:ascii="XO Thames" w:hAnsi="XO Thames"/>
      <w:sz w:val="28"/>
    </w:rPr>
  </w:style>
  <w:style w:type="character" w:styleId="874" w:customStyle="1">
    <w:name w:val="Заголовок 3 Знак"/>
    <w:link w:val="857"/>
    <w:rPr>
      <w:rFonts w:ascii="XO Thames" w:hAnsi="XO Thames"/>
      <w:b/>
      <w:sz w:val="26"/>
    </w:rPr>
  </w:style>
  <w:style w:type="paragraph" w:styleId="875">
    <w:name w:val="Plain Text"/>
    <w:basedOn w:val="854"/>
    <w:link w:val="876"/>
    <w:pPr>
      <w:spacing w:after="0" w:line="240" w:lineRule="auto"/>
    </w:pPr>
    <w:rPr>
      <w:rFonts w:ascii="Calibri" w:hAnsi="Calibri"/>
    </w:rPr>
  </w:style>
  <w:style w:type="character" w:styleId="876" w:customStyle="1">
    <w:name w:val="Текст Знак"/>
    <w:basedOn w:val="863"/>
    <w:link w:val="875"/>
    <w:rPr>
      <w:rFonts w:ascii="Calibri" w:hAnsi="Calibri"/>
    </w:rPr>
  </w:style>
  <w:style w:type="paragraph" w:styleId="877">
    <w:name w:val="toc 3"/>
    <w:next w:val="854"/>
    <w:link w:val="878"/>
    <w:uiPriority w:val="39"/>
    <w:pPr>
      <w:ind w:left="400"/>
    </w:pPr>
    <w:rPr>
      <w:rFonts w:ascii="XO Thames" w:hAnsi="XO Thames"/>
      <w:sz w:val="28"/>
    </w:rPr>
  </w:style>
  <w:style w:type="character" w:styleId="878" w:customStyle="1">
    <w:name w:val="Оглавление 3 Знак"/>
    <w:link w:val="877"/>
    <w:rPr>
      <w:rFonts w:ascii="XO Thames" w:hAnsi="XO Thames"/>
      <w:sz w:val="28"/>
    </w:rPr>
  </w:style>
  <w:style w:type="character" w:styleId="879" w:customStyle="1">
    <w:name w:val="Заголовок 5 Знак"/>
    <w:link w:val="859"/>
    <w:rPr>
      <w:rFonts w:ascii="XO Thames" w:hAnsi="XO Thames"/>
      <w:b/>
      <w:sz w:val="22"/>
    </w:rPr>
  </w:style>
  <w:style w:type="character" w:styleId="880" w:customStyle="1">
    <w:name w:val="Заголовок 1 Знак"/>
    <w:link w:val="855"/>
    <w:rPr>
      <w:rFonts w:ascii="XO Thames" w:hAnsi="XO Thames"/>
      <w:b/>
      <w:sz w:val="32"/>
    </w:rPr>
  </w:style>
  <w:style w:type="paragraph" w:styleId="881" w:customStyle="1">
    <w:name w:val="Гиперссылка1"/>
    <w:basedOn w:val="889"/>
    <w:link w:val="882"/>
    <w:rPr>
      <w:color w:val="0563c1" w:themeColor="hyperlink"/>
      <w:u w:val="single"/>
    </w:rPr>
  </w:style>
  <w:style w:type="character" w:styleId="882">
    <w:name w:val="Hyperlink"/>
    <w:basedOn w:val="860"/>
    <w:link w:val="881"/>
    <w:rPr>
      <w:color w:val="0563c1" w:themeColor="hyperlink"/>
      <w:u w:val="single"/>
    </w:rPr>
  </w:style>
  <w:style w:type="paragraph" w:styleId="883" w:customStyle="1">
    <w:name w:val="Footnote"/>
    <w:link w:val="884"/>
    <w:pPr>
      <w:ind w:firstLine="851"/>
      <w:jc w:val="both"/>
    </w:pPr>
    <w:rPr>
      <w:rFonts w:ascii="XO Thames" w:hAnsi="XO Thames"/>
    </w:rPr>
  </w:style>
  <w:style w:type="character" w:styleId="884" w:customStyle="1">
    <w:name w:val="Footnote"/>
    <w:link w:val="883"/>
    <w:rPr>
      <w:rFonts w:ascii="XO Thames" w:hAnsi="XO Thames"/>
      <w:sz w:val="22"/>
    </w:rPr>
  </w:style>
  <w:style w:type="paragraph" w:styleId="885">
    <w:name w:val="toc 1"/>
    <w:next w:val="854"/>
    <w:link w:val="886"/>
    <w:uiPriority w:val="39"/>
    <w:rPr>
      <w:rFonts w:ascii="XO Thames" w:hAnsi="XO Thames"/>
      <w:b/>
      <w:sz w:val="28"/>
    </w:rPr>
  </w:style>
  <w:style w:type="character" w:styleId="886" w:customStyle="1">
    <w:name w:val="Оглавление 1 Знак"/>
    <w:link w:val="885"/>
    <w:rPr>
      <w:rFonts w:ascii="XO Thames" w:hAnsi="XO Thames"/>
      <w:b/>
      <w:sz w:val="28"/>
    </w:rPr>
  </w:style>
  <w:style w:type="paragraph" w:styleId="887" w:customStyle="1">
    <w:name w:val="Header and Footer"/>
    <w:link w:val="888"/>
    <w:pPr>
      <w:jc w:val="both"/>
      <w:spacing w:line="240" w:lineRule="auto"/>
    </w:pPr>
    <w:rPr>
      <w:rFonts w:ascii="XO Thames" w:hAnsi="XO Thames"/>
      <w:sz w:val="20"/>
    </w:rPr>
  </w:style>
  <w:style w:type="character" w:styleId="888" w:customStyle="1">
    <w:name w:val="Header and Footer"/>
    <w:link w:val="887"/>
    <w:rPr>
      <w:rFonts w:ascii="XO Thames" w:hAnsi="XO Thames"/>
      <w:sz w:val="20"/>
    </w:rPr>
  </w:style>
  <w:style w:type="paragraph" w:styleId="889" w:customStyle="1">
    <w:name w:val="Основной шрифт абзаца1"/>
  </w:style>
  <w:style w:type="paragraph" w:styleId="890">
    <w:name w:val="toc 9"/>
    <w:next w:val="854"/>
    <w:link w:val="891"/>
    <w:uiPriority w:val="39"/>
    <w:pPr>
      <w:ind w:left="1600"/>
    </w:pPr>
    <w:rPr>
      <w:rFonts w:ascii="XO Thames" w:hAnsi="XO Thames"/>
      <w:sz w:val="28"/>
    </w:rPr>
  </w:style>
  <w:style w:type="character" w:styleId="891" w:customStyle="1">
    <w:name w:val="Оглавление 9 Знак"/>
    <w:link w:val="890"/>
    <w:rPr>
      <w:rFonts w:ascii="XO Thames" w:hAnsi="XO Thames"/>
      <w:sz w:val="28"/>
    </w:rPr>
  </w:style>
  <w:style w:type="paragraph" w:styleId="892">
    <w:name w:val="toc 8"/>
    <w:next w:val="854"/>
    <w:link w:val="893"/>
    <w:uiPriority w:val="39"/>
    <w:pPr>
      <w:ind w:left="1400"/>
    </w:pPr>
    <w:rPr>
      <w:rFonts w:ascii="XO Thames" w:hAnsi="XO Thames"/>
      <w:sz w:val="28"/>
    </w:rPr>
  </w:style>
  <w:style w:type="character" w:styleId="893" w:customStyle="1">
    <w:name w:val="Оглавление 8 Знак"/>
    <w:link w:val="892"/>
    <w:rPr>
      <w:rFonts w:ascii="XO Thames" w:hAnsi="XO Thames"/>
      <w:sz w:val="28"/>
    </w:rPr>
  </w:style>
  <w:style w:type="paragraph" w:styleId="894">
    <w:name w:val="toc 5"/>
    <w:next w:val="854"/>
    <w:link w:val="895"/>
    <w:uiPriority w:val="39"/>
    <w:pPr>
      <w:ind w:left="800"/>
    </w:pPr>
    <w:rPr>
      <w:rFonts w:ascii="XO Thames" w:hAnsi="XO Thames"/>
      <w:sz w:val="28"/>
    </w:rPr>
  </w:style>
  <w:style w:type="character" w:styleId="895" w:customStyle="1">
    <w:name w:val="Оглавление 5 Знак"/>
    <w:link w:val="894"/>
    <w:rPr>
      <w:rFonts w:ascii="XO Thames" w:hAnsi="XO Thames"/>
      <w:sz w:val="28"/>
    </w:rPr>
  </w:style>
  <w:style w:type="paragraph" w:styleId="896">
    <w:name w:val="Subtitle"/>
    <w:next w:val="854"/>
    <w:link w:val="89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7" w:customStyle="1">
    <w:name w:val="Подзаголовок Знак"/>
    <w:link w:val="896"/>
    <w:rPr>
      <w:rFonts w:ascii="XO Thames" w:hAnsi="XO Thames"/>
      <w:i/>
      <w:sz w:val="24"/>
    </w:rPr>
  </w:style>
  <w:style w:type="paragraph" w:styleId="898">
    <w:name w:val="Footer"/>
    <w:basedOn w:val="854"/>
    <w:link w:val="8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99" w:customStyle="1">
    <w:name w:val="Нижний колонтитул Знак"/>
    <w:basedOn w:val="863"/>
    <w:link w:val="898"/>
    <w:rPr>
      <w:rFonts w:ascii="Times New Roman" w:hAnsi="Times New Roman"/>
      <w:sz w:val="28"/>
    </w:rPr>
  </w:style>
  <w:style w:type="paragraph" w:styleId="900">
    <w:name w:val="Title"/>
    <w:next w:val="854"/>
    <w:link w:val="90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1" w:customStyle="1">
    <w:name w:val="Название Знак"/>
    <w:link w:val="900"/>
    <w:rPr>
      <w:rFonts w:ascii="XO Thames" w:hAnsi="XO Thames"/>
      <w:b/>
      <w:caps/>
      <w:sz w:val="40"/>
    </w:rPr>
  </w:style>
  <w:style w:type="paragraph" w:styleId="902">
    <w:name w:val="Balloon Text"/>
    <w:basedOn w:val="854"/>
    <w:link w:val="903"/>
    <w:pPr>
      <w:spacing w:after="0" w:line="240" w:lineRule="auto"/>
    </w:pPr>
    <w:rPr>
      <w:rFonts w:ascii="Segoe UI" w:hAnsi="Segoe UI"/>
      <w:sz w:val="18"/>
    </w:rPr>
  </w:style>
  <w:style w:type="character" w:styleId="903" w:customStyle="1">
    <w:name w:val="Текст выноски Знак"/>
    <w:basedOn w:val="863"/>
    <w:link w:val="902"/>
    <w:rPr>
      <w:rFonts w:ascii="Segoe UI" w:hAnsi="Segoe UI"/>
      <w:sz w:val="18"/>
    </w:rPr>
  </w:style>
  <w:style w:type="character" w:styleId="904" w:customStyle="1">
    <w:name w:val="Заголовок 4 Знак"/>
    <w:link w:val="858"/>
    <w:rPr>
      <w:rFonts w:ascii="XO Thames" w:hAnsi="XO Thames"/>
      <w:b/>
      <w:sz w:val="24"/>
    </w:rPr>
  </w:style>
  <w:style w:type="character" w:styleId="905" w:customStyle="1">
    <w:name w:val="Заголовок 2 Знак"/>
    <w:link w:val="856"/>
    <w:rPr>
      <w:rFonts w:ascii="XO Thames" w:hAnsi="XO Thames"/>
      <w:b/>
      <w:sz w:val="28"/>
    </w:rPr>
  </w:style>
  <w:style w:type="table" w:styleId="906">
    <w:name w:val="Table Grid"/>
    <w:basedOn w:val="86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7" w:customStyle="1">
    <w:name w:val="Сетка таблицы1"/>
    <w:basedOn w:val="86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8" w:customStyle="1">
    <w:name w:val="Сетка таблицы2"/>
    <w:basedOn w:val="86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Relationship Id="rId13" Type="http://schemas.openxmlformats.org/officeDocument/2006/relationships/hyperlink" Target="https://login.consultant.ru/link/?req=doc&amp;base=LAW&amp;n=512728&amp;dst=100151&amp;field=134&amp;date=10.07.2026" TargetMode="External"/><Relationship Id="rId14" Type="http://schemas.openxmlformats.org/officeDocument/2006/relationships/hyperlink" Target="https://login.consultant.ru/link/?req=doc&amp;base=LAW&amp;n=512728&amp;dst=100153&amp;field=134&amp;date=10.07.2026" TargetMode="External"/><Relationship Id="rId15" Type="http://schemas.openxmlformats.org/officeDocument/2006/relationships/hyperlink" Target="https://login.consultant.ru/link/?req=doc&amp;base=LAW&amp;n=512728&amp;dst=100155&amp;field=134&amp;date=10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chavvaya</cp:lastModifiedBy>
  <cp:revision>32</cp:revision>
  <dcterms:created xsi:type="dcterms:W3CDTF">2025-01-31T01:52:00Z</dcterms:created>
  <dcterms:modified xsi:type="dcterms:W3CDTF">2026-07-13T03:29:42Z</dcterms:modified>
</cp:coreProperties>
</file>