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38" y="0"/>
                    <wp:lineTo x="-38" y="20855"/>
                    <wp:lineTo x="20930" y="20855"/>
                    <wp:lineTo x="20930" y="0"/>
                    <wp:lineTo x="-38" y="0"/>
                  </wp:wrapPolygon>
                </wp:wrapTight>
                <wp:docPr id="1" name="Рисунок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75 0 -175 96551 96898 96551 96898 0 -175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6"/>
        <w:jc w:val="center"/>
        <w:spacing w:before="0"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pStyle w:val="656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Style w:val="656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Style w:val="656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ЦИФРОВОГО РАЗВИТИЯ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56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56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656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56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W w:w="4253" w:type="dxa"/>
            <w:textDirection w:val="lrTb"/>
            <w:noWrap w:val="false"/>
          </w:tcPr>
          <w:p>
            <w:pPr>
              <w:pStyle w:val="656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656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656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656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745"/>
        <w:tblW w:w="9458" w:type="dxa"/>
        <w:tblInd w:w="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58" w:type="dxa"/>
            <w:textDirection w:val="lrTb"/>
            <w:noWrap w:val="false"/>
          </w:tcPr>
          <w:p>
            <w:pPr>
              <w:pStyle w:val="656"/>
              <w:jc w:val="center"/>
              <w:spacing w:before="0" w:after="159" w:line="62" w:lineRule="atLeast"/>
              <w:widowControl/>
              <w:rPr>
                <w:rFonts w:ascii="Calibri" w:hAnsi="Calibri" w:eastAsia="Calibri" w:cs="Liberation San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lang w:val="ru-RU" w:bidi="ar-SA"/>
              </w:rPr>
              <w:t xml:space="preserve">Об информационной системе «Портал учета и хранения данных»</w:t>
            </w:r>
            <w:r>
              <w:rPr>
                <w:rFonts w:ascii="Calibri" w:hAnsi="Calibri" w:eastAsia="Calibri" w:cs="Liberation Sans"/>
              </w:rPr>
            </w:r>
          </w:p>
        </w:tc>
      </w:tr>
    </w:tbl>
    <w:p>
      <w:pPr>
        <w:pStyle w:val="656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56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 частями 2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position w:val="0"/>
          <w:sz w:val="28"/>
          <w:vertAlign w:val="baseline"/>
        </w:rPr>
        <w:t xml:space="preserve">, 2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25.5 Положения о Министерстве цифрового развития Камчатского края, утвержденного постановлением Правительства Камчатского края от 09.06.2023 № 320-П,</w:t>
      </w:r>
      <w:r/>
    </w:p>
    <w:p>
      <w:pPr>
        <w:pStyle w:val="656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56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56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Создать информационную систему «Портал учета и хранения данных» (далее – Система).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 Утвердить Положение об информационной системе «Портал учета и хранения данных» согласно приложению к настоящему приказу.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 Определить государственным заказчиком и оператором Системы Министерство цифрового развития Камчатского края.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 Определить администратором Системы краевое государственное автономное учреждение «Информационно-технологический центр Камчатского края».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 Настоящий приказ вступает в силу после дня его официального опубликования.</w:t>
      </w:r>
      <w:r/>
    </w:p>
    <w:p>
      <w:pPr>
        <w:pStyle w:val="656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56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56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74"/>
        <w:gridCol w:w="4395"/>
        <w:gridCol w:w="2270"/>
      </w:tblGrid>
      <w:tr>
        <w:tblPrEx/>
        <w:trPr>
          <w:trHeight w:val="2220"/>
        </w:trPr>
        <w:tc>
          <w:tcPr>
            <w:tcW w:w="2974" w:type="dxa"/>
            <w:textDirection w:val="lrTb"/>
            <w:noWrap w:val="false"/>
          </w:tcPr>
          <w:p>
            <w:pPr>
              <w:pStyle w:val="656"/>
              <w:ind w:right="27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56"/>
              <w:ind w:left="30" w:right="27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656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pStyle w:val="656"/>
              <w:jc w:val="right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Г.В. Бондаренко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656"/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к приказу</w:t>
      </w:r>
      <w:r>
        <w:rPr>
          <w:rFonts w:ascii="Times New Roman" w:hAnsi="Times New Roman"/>
          <w:sz w:val="28"/>
        </w:rPr>
      </w:r>
    </w:p>
    <w:p>
      <w:pPr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Министерства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цифрового развития</w:t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Камчатского края</w:t>
      </w:r>
      <w:r>
        <w:rPr>
          <w:rFonts w:ascii="Times New Roman" w:hAnsi="Times New Roman"/>
          <w:sz w:val="28"/>
          <w:szCs w:val="28"/>
        </w:rPr>
      </w:r>
      <w:r/>
    </w:p>
    <w:tbl>
      <w:tblPr>
        <w:tblStyle w:val="745"/>
        <w:tblW w:w="4635" w:type="dxa"/>
        <w:tblInd w:w="516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9"/>
        <w:gridCol w:w="1869"/>
        <w:gridCol w:w="488"/>
        <w:gridCol w:w="18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656"/>
              <w:ind w:left="-65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Liberation Sans"/>
                <w:sz w:val="28"/>
                <w:szCs w:val="28"/>
                <w:lang w:val="ru-RU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pStyle w:val="656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 w:cs="Liberation Sans"/>
                <w:color w:val="ffffff" w:themeColor="background1"/>
                <w:sz w:val="28"/>
                <w:szCs w:val="28"/>
                <w:lang w:val="ru-RU" w:bidi="ar-SA"/>
              </w:rPr>
              <w:t xml:space="preserve">[</w:t>
            </w:r>
            <w:r>
              <w:rPr>
                <w:rFonts w:ascii="Times New Roman" w:hAnsi="Times New Roman" w:eastAsia="Calibri" w:cs="Liberation Sans"/>
                <w:color w:val="ffffff" w:themeColor="background1"/>
                <w:sz w:val="28"/>
                <w:szCs w:val="28"/>
                <w:lang w:val="en-US" w:bidi="ar-SA"/>
              </w:rPr>
              <w:t xml:space="preserve">R</w:t>
            </w:r>
            <w:r>
              <w:rPr>
                <w:rFonts w:ascii="Times New Roman" w:hAnsi="Times New Roman" w:eastAsia="Calibri" w:cs="Liberation Sans"/>
                <w:color w:val="ffffff" w:themeColor="background1"/>
                <w:sz w:val="16"/>
                <w:szCs w:val="28"/>
                <w:lang w:val="en-US" w:bidi="ar-SA"/>
              </w:rPr>
              <w:t xml:space="preserve">EGDATESTAMP</w:t>
            </w:r>
            <w:r>
              <w:rPr>
                <w:rFonts w:ascii="Times New Roman" w:hAnsi="Times New Roman" w:eastAsia="Calibri" w:cs="Liberation Sans"/>
                <w:color w:val="ffffff" w:themeColor="background1"/>
                <w:sz w:val="16"/>
                <w:szCs w:val="28"/>
                <w:lang w:val="ru-RU" w:bidi="ar-SA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656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Liberation Sans"/>
                <w:sz w:val="28"/>
                <w:szCs w:val="28"/>
                <w:lang w:val="ru-RU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56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 w:cs="Liberation Sans"/>
                <w:color w:val="ffffff" w:themeColor="background1"/>
                <w:sz w:val="28"/>
                <w:szCs w:val="28"/>
                <w:lang w:val="ru-RU" w:bidi="ar-SA"/>
              </w:rPr>
              <w:t xml:space="preserve">[R</w:t>
            </w:r>
            <w:r>
              <w:rPr>
                <w:rFonts w:ascii="Times New Roman" w:hAnsi="Times New Roman" w:eastAsia="Calibri" w:cs="Liberation Sans"/>
                <w:color w:val="ffffff" w:themeColor="background1"/>
                <w:sz w:val="16"/>
                <w:szCs w:val="28"/>
                <w:lang w:val="ru-RU" w:bidi="ar-SA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pStyle w:val="656"/>
      </w:pPr>
      <w:r/>
      <w:r/>
    </w:p>
    <w:p>
      <w:pPr>
        <w:pStyle w:val="656"/>
        <w:jc w:val="center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Положение </w:t>
        <w:br/>
        <w:t xml:space="preserve"> об информационной системе «Портал учета и хранения данных»</w:t>
      </w:r>
      <w:r/>
    </w:p>
    <w:p>
      <w:pPr>
        <w:pStyle w:val="656"/>
        <w:ind w:firstLine="709"/>
        <w:jc w:val="center"/>
        <w:spacing w:before="0" w:after="0" w:line="57" w:lineRule="atLeast"/>
      </w:pPr>
      <w:r/>
      <w:r/>
    </w:p>
    <w:p>
      <w:pPr>
        <w:pStyle w:val="656"/>
        <w:ind w:firstLine="709"/>
        <w:jc w:val="center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Общие положения</w:t>
      </w:r>
      <w:r/>
    </w:p>
    <w:p>
      <w:pPr>
        <w:pStyle w:val="656"/>
        <w:ind w:firstLine="709"/>
        <w:jc w:val="both"/>
        <w:spacing w:before="0" w:after="0" w:line="57" w:lineRule="atLeast"/>
      </w:pPr>
      <w:r/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 Настоящее Положение определяет цели, задачи, функции информационной системы «Портал учета и хранения данных» (далее – Система), участников Системы и их функции, структуру Системы, сведения,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содержащиеся в Системе, правовой режим информации, содержащейся в Системе, доступ к Системе, а также порядок взаимодействия с единым федеральным информационным регистром, содержащим сведения о населении Российской Федерации, и региональной витриной данных.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Для целей настоящего Положения используются следующие понятия: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оператор Системы – Министерство цифрового развития Камчатского края;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администратор Системы – краевое государственное автономное учреждение «Информационно-технологический центр Камчатского края»;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поль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зователь – исполнительный орган Камчатского края или орган местного самоуправления муниципального образования в Камчатском крае (далее – орган местного самоуправления), получивший доступ к Системе на основании соглашения, заключенного с оператором Системы;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ЕРН – 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диный федеральный информационный регистр, содержащий сведения о населении Российской Федерации, предусмотренный Федеральным законом от 08.06.2020 № 168-ФЗ «О едином федеральном информационном регистре, содержащем сведения о населении Российской Федерации»;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Правила – Правила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Федерации, утвержденные постановлением Правительства Российской Федерации от 09.10.2021 № 1723;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СМЭВ – единая система межведомственного электронного взаимодействия, положение о которой утверждено постановлением Правительства Российской Федерации от 08.09.2010 № 697 «О единой системе межведомственного электронного взаимодействия»;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 региональная витрина данных – компонент Системы, создаваемый с использованием типового тиражируемо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 программного обеспечения витрин данных и предназначенный для формирования, обработки, хранения, актуализации и предоставления наборов данных, а также организации информационного обмена с информационными системами исполнительных органов Камчатского края;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 набор данных – совокупность сведений, объединенных по определенным признакам и предназначенных для использования в установленных паспортом набора данных целях;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 паспорт набора данных – документ, содержащий сведения об источнике данных, составе набора данных, целях его использования, периодичности актуализации, способах передачи, круге получателей и условиях доступа;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 ФГИС «ЕИП НСУД» – федеральная государственная информационная система «Единая информационная платформа национальной системы управления данными», положение о которой утверждено постановлением Правительства Российской Федерации от 14.05.2021 № 733;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11) модель государственных данных – модель государственных данных, размещенная в ФГИС «ЕИП НСУД» и применяемая при формировании, размещении и актуализации наборов данных региональной витрины данных.</w:t>
      </w:r>
      <w:r/>
    </w:p>
    <w:p>
      <w:pPr>
        <w:pStyle w:val="656"/>
        <w:ind w:firstLine="709"/>
        <w:jc w:val="both"/>
        <w:spacing w:before="0" w:after="0" w:line="57" w:lineRule="atLeast"/>
      </w:pPr>
      <w:r/>
      <w:r/>
    </w:p>
    <w:p>
      <w:pPr>
        <w:pStyle w:val="656"/>
        <w:ind w:firstLine="709"/>
        <w:jc w:val="center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Цели и задачи Системы</w:t>
      </w:r>
      <w:r/>
    </w:p>
    <w:p>
      <w:pPr>
        <w:pStyle w:val="656"/>
        <w:ind w:firstLine="709"/>
        <w:jc w:val="both"/>
        <w:spacing w:before="0" w:after="0" w:line="57" w:lineRule="atLeast"/>
      </w:pPr>
      <w:r/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Целями Системы являются: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повышение эффективности деятельности исполнительных органов Камчатского края, органов местного самоуправления и качества принимаемых управленческих решений на основе актуальных, достоверных и сопоставимых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совершенствование предоставления государственных и муниципальных услуг и выполнения государственных и муниципальных функций, в том числе в электронной форме;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обеспечение актуальности и достоверности информационных ресурсов пользователей, содержащих сведения о населении Российской Федерации, путем использования сведений, содержащихся в ЕРН;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создание посредством региональной витрины данных единого информационного пространства для сбора, обработки, хранения, предоставления, мониторинга и анализа данных.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Основными задачами Системы являются: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обеспечение получения сведений, содержащихся в ЕРН, посредством СМЭВ;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обеспечение хранения и предоставления пользователям сведений, содержащихся в ЕРН, в объеме, необходимом для реализации их полномочий;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обеспечение актуализации информационных ресурсов пользователей на основании сведений, содержащихся в ЕРН;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обеспечение качества наборов данных, передаваемых в витрину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обеспечение информационного взаимодействия региональной витрины данных с информационными системами пользователей;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формирование и ведение перечня наборов данных, размещаемых в региональной витрине данных, а также паспортов таких наборов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 обеспечение контроля качества наборов данных, передаваемых в региональную витрину данных, включая их полноту, достоверность, актуальность, непротиворечивость и связанность, а также выявление ошибок в таких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 обеспечение мониторинга и анализа данных, представляемых информационными системами пользователей, в том числе формирования аналитических отчетов и отслеживания статусов заявлений о предоставлении государственных услуг.</w:t>
      </w:r>
      <w:r/>
    </w:p>
    <w:p>
      <w:pPr>
        <w:pStyle w:val="656"/>
        <w:ind w:firstLine="709"/>
        <w:jc w:val="both"/>
        <w:spacing w:before="0" w:after="0" w:line="57" w:lineRule="atLeast"/>
      </w:pPr>
      <w:r/>
      <w:r/>
    </w:p>
    <w:p>
      <w:pPr>
        <w:pStyle w:val="656"/>
        <w:jc w:val="center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Функции Системы</w:t>
      </w:r>
      <w:r/>
    </w:p>
    <w:p>
      <w:pPr>
        <w:pStyle w:val="656"/>
        <w:jc w:val="center"/>
        <w:spacing w:before="0" w:after="0" w:line="57" w:lineRule="atLeast"/>
      </w:pPr>
      <w:r/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 Основными функциями Системы являются: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отслеживание статусов заявлений о предоставлении государственных и муниципальных услуг;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формирование, хранение и предоставление аналитических и статистических отчетов;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сбор данных из информационных систем пользователей, их извлечение, преобразование, приведение к единому формату и загрузка в хранилище;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обеспечение информационного обмена между информационными системами пользователей посредством механизмов интеграционного взаимодействия;</w:t>
      </w:r>
      <w:r/>
    </w:p>
    <w:p>
      <w:pPr>
        <w:pStyle w:val="656"/>
        <w:ind w:firstLine="709"/>
        <w:jc w:val="both"/>
        <w:spacing w:before="0"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получение сведений из государственных реестров, в том числе содержащихся в ЕРН в составе перечней сведений, приведенных в приложениях 1 и 2 к Правилам, из федеральных государственных информационных систем;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прием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обработка сведений, содержащихся в ЕРН, предоставляемых в режиме рассылки, в том числе с использованием директивных видов сведений по территориальному признаку;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 направление запросов и получение сведений, содержащихся в ЕРН, в режиме «запрос–ответ»;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автоматизированная актуализация сведений, содержащихся в ЕРН;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хранение сведений, содержащихся в ЕРН, в объеме, необходимом для реализации полномочий пользователей;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 предоставление пользователям сведений, содержащихся в ЕРН, в пределах их полномочий;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11) формирование, ведение и актуализация перечня наборов данных региональной витрины данных и метаданных таких наборов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12) прием, преоб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разование, структурирование, первоначальная загрузка и последующая автоматизированная актуализация наборов данных региональной витрины данных с учетом модели государственных данных и в соответствии с периодичностью, установленной паспортами наборов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13) предоставление наборов данных региональной витрины данных пользователям посредством СМЭВ с использованием зарегистрированных запросов к региональной витрине данных, а также иными способами, предусмотренными законодательством Российской Федерации;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14) контроль полноты, достоверности, актуальности, непротиворечивости и связанности наборов данных региональной витрины данных, выявление ошибок и инцидентов качества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15) разграничение прав доступа пользователей Системы к сведениям и наборам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16) ведение учета и журналирование операций со сведениями, содержащимися в ЕРН, а также операций по загрузке, обновлению и предоставлению наборов данных в региональную витрину данных.</w:t>
      </w:r>
      <w:r/>
    </w:p>
    <w:p>
      <w:pPr>
        <w:pStyle w:val="656"/>
        <w:ind w:firstLine="709"/>
        <w:jc w:val="both"/>
        <w:spacing w:before="0" w:after="0" w:line="57" w:lineRule="atLeast"/>
      </w:pPr>
      <w:r/>
      <w:r/>
    </w:p>
    <w:p>
      <w:pPr>
        <w:pStyle w:val="656"/>
        <w:jc w:val="center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Участники Системы и функции участников Системы</w:t>
      </w:r>
      <w:r/>
    </w:p>
    <w:p>
      <w:pPr>
        <w:pStyle w:val="656"/>
        <w:jc w:val="center"/>
        <w:spacing w:before="0" w:after="0" w:line="57" w:lineRule="atLeast"/>
      </w:pPr>
      <w:r/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 Участниками Системы являются: оператор Системы, администратор Системы и пользователи.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 Функциями оператора Системы являются:</w:t>
      </w:r>
      <w:r/>
    </w:p>
    <w:p>
      <w:pPr>
        <w:pStyle w:val="656"/>
        <w:ind w:firstLine="680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издание правовых актов о вводе в эксплуатацию, развитии и выводе из эксплуатации Системы;</w:t>
      </w:r>
      <w:r/>
    </w:p>
    <w:p>
      <w:pPr>
        <w:pStyle w:val="656"/>
        <w:ind w:firstLine="680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заключение с пользователями соглашений о предоставлении доступа к Системе;</w:t>
      </w:r>
      <w:r/>
    </w:p>
    <w:p>
      <w:pPr>
        <w:pStyle w:val="656"/>
        <w:ind w:firstLine="680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определение направлений развития Системы;</w:t>
      </w:r>
      <w:r/>
    </w:p>
    <w:p>
      <w:pPr>
        <w:pStyle w:val="656"/>
        <w:ind w:firstLine="680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определение пользователей Системы;</w:t>
      </w:r>
      <w:r/>
    </w:p>
    <w:p>
      <w:pPr>
        <w:pStyle w:val="656"/>
        <w:ind w:firstLine="680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контроль функционирования Системы.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8. Функциями администратора Системы являются: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осуществление мероприятий по обслуживанию, сопровождению, модернизации и развитию Системы, в том числе с помощью привлечения третьих лиц;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обеспечение бесперебойного функционирования Системы, контроля и мониторинга показателей функционирования Системы;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обеспечение целостности, сохранности и резервного копирования данных Системы, а также восстановления работоспособности Системы;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обеспечение технического взаимодействия Системы с ЕРН, контроль размещения полученных данных в Системе;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рассмотрение заявок на получение доступа к Системе;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предоставление пользователям доступа к Системе на основании соглашений, заключенных между пользователями и оператором Системы;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 обеспечение разграничения прав доступа участников Системы и журналирование их действий;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 осуществление технической поддержки пользователей и консультирование по вопросам функционирования Системы;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 обеспечение защиты информации, содержащейся в Системе, в соответствии с требованиями нормативных правовых актов Российской Федерации;</w:t>
      </w:r>
      <w:r/>
    </w:p>
    <w:p>
      <w:pPr>
        <w:pStyle w:val="656"/>
        <w:ind w:firstLine="709"/>
        <w:jc w:val="both"/>
        <w:spacing w:before="0" w:after="0" w:line="56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 организация и осуществление обработки персональных данных, а также определение цели обработки персональных данных, состава персональных данных, подлежащих обработке в Системе, действий (операций), совершаемых с персональными данными.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9. Функциями пользователя являются: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использование информации, размещенной в Системе, исключительно в пределах своих полномочий и для целей, предусмотренных нормативными правовыми актами Российской Федерации и Камчатского края;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обеспечение правомерности предоставления данных, а также полноты, достоверности, актуальности при их передаче в региональную витрину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обеспечение первоначальной загрузки и последующей актуализации передаваемых наборов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обеспечение технической готовности информационной системы пользователя к информационному взаимодействию с региональной витриной данных.</w:t>
      </w:r>
      <w:r/>
    </w:p>
    <w:p>
      <w:pPr>
        <w:pStyle w:val="656"/>
        <w:jc w:val="center"/>
        <w:spacing w:before="119" w:after="62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Структура Системы</w:t>
      </w:r>
      <w:r/>
    </w:p>
    <w:p>
      <w:pPr>
        <w:pStyle w:val="656"/>
        <w:ind w:firstLine="794"/>
        <w:keepLines/>
        <w:spacing w:before="119" w:after="62" w:line="57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6"/>
        <w:ind w:firstLine="794"/>
        <w:keepLines/>
        <w:spacing w:before="0"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10. В состав Системы входят: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хранилище данных, предназначенное для хранения сведений, поступающих в Систему, в том числе сведений, поступающих из ЕРН, а также наборов данных региональной витрины данных;</w:t>
      </w:r>
      <w:r/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интеграционный компонент, предназначенный для обеспечения информационного взаимодействия Системы с информационными системами пользователей и иными информационными системами;</w:t>
      </w:r>
      <w:r/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компонент взаимодействия с ЕРН;</w:t>
      </w:r>
      <w:r/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региональная витрина данных;</w:t>
      </w:r>
      <w:r/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информационно-аналитический компонент, предназначенный для мониторинга и анализа данных, формирования аналитических и статистических отчетов, а также отслеживания статусов заявлений о предоставлении государственных услуг;</w:t>
      </w:r>
      <w:r/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компонент администрирования, предназначенный для управления настройками Системы, разграничения прав доступа пользователей Системы, ведения учета и журналирования операций.</w:t>
      </w:r>
      <w:r/>
    </w:p>
    <w:p>
      <w:pPr>
        <w:pStyle w:val="656"/>
        <w:ind w:firstLine="794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11. Система осуществляет информационное взаимодействие:</w:t>
      </w:r>
      <w:r/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с ЕРН – посредством СМЭВ;</w:t>
      </w:r>
      <w:r/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с информационными системами пользователей – посредством механизмов интеграционного взаимодействия на основании заключенных с оператором Системы соглашений;</w:t>
      </w:r>
      <w:r/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с ФГИС «ЕИП НСУД» – в части использования модели государственных данных и регистрации информационных ресурсов и моделей государственных данных;</w:t>
      </w:r>
      <w:r/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с иными информационными системами – при наличии правовых оснований и в порядке, установленном законодательством Российской Федерации.</w:t>
      </w:r>
      <w:r/>
    </w:p>
    <w:p>
      <w:pPr>
        <w:pStyle w:val="656"/>
        <w:ind w:firstLine="794"/>
        <w:jc w:val="both"/>
        <w:keepLines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12. Детализированный состав компонентов Системы, их архитектура и технические характеристики определяются технической и эксплуатационной документацией Системы.</w:t>
      </w:r>
      <w:r/>
    </w:p>
    <w:p>
      <w:pPr>
        <w:pStyle w:val="656"/>
        <w:jc w:val="center"/>
        <w:spacing w:before="119" w:after="62" w:line="57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6"/>
        <w:jc w:val="center"/>
        <w:spacing w:before="119" w:after="62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Сведения, содержащиеся в Системе, правовой режим информации, содержащейся в Системе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56"/>
        <w:jc w:val="center"/>
        <w:spacing w:before="119" w:after="62" w:line="57" w:lineRule="atLeast"/>
      </w:pPr>
      <w:r/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13. Наполнение и актуализация сведений в Системе осуществляются посредством данных, поступающих из информационных систем пользователей и иных информационных систем.</w:t>
      </w:r>
      <w:r/>
    </w:p>
    <w:p>
      <w:pPr>
        <w:pStyle w:val="656"/>
        <w:ind w:left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14. В Системе содержится следующая информация:</w:t>
      </w:r>
      <w:r/>
    </w:p>
    <w:p>
      <w:pPr>
        <w:pStyle w:val="656"/>
        <w:ind w:left="709"/>
        <w:jc w:val="both"/>
        <w:spacing w:before="0"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данные о региональных и федеральных поручениях из информационной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56"/>
        <w:jc w:val="both"/>
        <w:spacing w:before="0" w:after="0" w:line="57" w:lineRule="atLeas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системы «Единая система электронного документооборота»;</w:t>
      </w:r>
      <w:r>
        <w:rPr>
          <w:sz w:val="24"/>
          <w:szCs w:val="24"/>
        </w:rPr>
      </w:r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сведения, содержащиеся в ЕРН, предоставляемые в соответствии с Федеральным законом от 08.06.2020 № 168-ФЗ и Правилами;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сведения о запросах, ответах, предоставлении сведений, содержащихся в ЕРН, и действиях пользователей при работе с такими сведениями;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наборы данных, размещаемые в региональной витрине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метаданные наборов данных региональной витрины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сведения об операциях по загрузке, обновлению и предоставлению наборов данных региональной витрины данных.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15. Ответственность за полноту, актуальность и достоверность сведений, направляемых в Систему из информационных систем пользователей, несут пользователи.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16. Правомочия обладателя информации, содержащейся в Системе, осуществляет оператор Системы.</w:t>
      </w:r>
      <w:r/>
    </w:p>
    <w:p>
      <w:pPr>
        <w:pStyle w:val="656"/>
        <w:ind w:firstLine="709"/>
        <w:jc w:val="both"/>
        <w:spacing w:before="0" w:after="0" w:line="57" w:lineRule="atLeast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17. Система предназначена в том числе для обработки персональных данных. Использование персональных данных, содержащихся в ЕРН, осу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ществляется исключительно в целях предоставления конкретных государственных и муниципальных услуг, выполнения конкретных государственных и муниципальных функций, обеспечения актуальности и достоверности информационных ресурсов участников Системы путем прив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едения содержащихся в них сведений в соответствие со сведениями ЕРН, а также в иных целях, прямо предусмотренных законодательством Российской Федерации, при наличии нормативных правовых оснований, определяющих состав таких сведений и цели их использования.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18. 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Обработка и хранение персональных данных, содержащихся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Системе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, осуществляются с учетом требований федерального законодательства о государственной и иной охраняемой законом тайне, а также с учетом требований федерального законодательства о персональных данных, в том числе в соответст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вии с Федеральным законом от 27.06.2006 года №152-ФЗ «О персональных данных» и Постановлением Правительства РФ от 01.11.2012 года №1119 «Об утверждении требований к защите персональных данных при их обработке в информационных системах персональных данных».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19. В случаях, предусмотренных законодательством Российской Федерации, сведения ЕРН предоставляются и используются в обезличенном виде. 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20. Сведения, составляющие государственную тайну, не подлежат размещению, передаче, обработке и хранению в Системе.</w:t>
      </w:r>
      <w:r/>
    </w:p>
    <w:p>
      <w:pPr>
        <w:pStyle w:val="656"/>
        <w:ind w:firstLine="709"/>
        <w:jc w:val="both"/>
        <w:spacing w:before="0" w:after="0" w:line="57" w:lineRule="atLeast"/>
      </w:pPr>
      <w:r/>
      <w:r/>
    </w:p>
    <w:p>
      <w:pPr>
        <w:pStyle w:val="656"/>
        <w:jc w:val="center"/>
        <w:spacing w:before="119" w:after="62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Доступ к Системе</w:t>
      </w:r>
      <w:r/>
    </w:p>
    <w:p>
      <w:pPr>
        <w:pStyle w:val="656"/>
        <w:jc w:val="center"/>
        <w:spacing w:before="119" w:after="62" w:line="57" w:lineRule="atLeast"/>
      </w:pPr>
      <w:r/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21. Для доступа к Системе пользователи заключают Соглашение с оператором Системы, которое должно содержать: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состав предоставляемого доступа: к сведениям ЕРН, к региональной витрине данных либо одновременно к сведениям ЕРН и региональной витрине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при подключении к сведениям ЕРН – перечень сведений ЕРН, к которым предоставляется доступ, цели их использования и режим получения сведений;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при подключении к региональной витрине данных – перечень наборов данных, к которым предоставляется доступ, направление информационного обмена и реквизиты паспортов наборов данных;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порядок информационного взаимодействия;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условия приостановления и прекращения доступа;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обязанности пользователя по обеспечению защиты информации.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22. Порядок подключения пользователей к Системе, состав документов, необходимых для подключения к Системе устанавливаются администратором Системы в организационно-распорядительной документации по защите</w:t>
        <w:br/>
        <w:t xml:space="preserve">информации, содержащейся в Системе.</w:t>
      </w:r>
      <w:r/>
    </w:p>
    <w:p>
      <w:pPr>
        <w:pStyle w:val="656"/>
        <w:jc w:val="both"/>
        <w:spacing w:before="0" w:after="0" w:line="57" w:lineRule="atLeast"/>
      </w:pPr>
      <w:r/>
      <w:r/>
    </w:p>
    <w:p>
      <w:pPr>
        <w:pStyle w:val="656"/>
        <w:jc w:val="center"/>
        <w:spacing w:before="119" w:after="62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8. Порядок взаимодействия Системы с региональной витриной данных</w:t>
      </w:r>
      <w:r/>
    </w:p>
    <w:p>
      <w:pPr>
        <w:pStyle w:val="656"/>
        <w:spacing w:before="119" w:after="62" w:line="57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6"/>
        <w:ind w:firstLine="708"/>
        <w:jc w:val="both"/>
        <w:spacing w:before="119" w:after="62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23. Источниками данных региональной витрины данных являются информационные системы пользователей, а также иные информационные системы, взаимодействие с которыми осуществляется в соответствии с законодательством Российской Федерации и Камчатского края.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24. Состав наборов данных, источники данных, периодичность их обновления, способы передачи, круг получателей и условия доступа определяются паспортами наборов данных, утверждаемыми администратором Системы.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25. Передача данных в региональную витрину данных, включая первоначальную загрузку и последующую актуализацию наборов данных, осуществляются в автоматизированном режиме с периодичностью, установленной паспортами наборов данных.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26. Пользователь, информационная система которого яв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ляется источником данных для региональной витрины данных, обеспечивает соответствие передаваемых данных требованиям законодательства Российской Федерации и Камчатского края, а также их полноту, достоверность, актуальность, непротиворечивость и связанность.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27. Доступ к наборам данных региональной витрины данных предоставляется пользователям в пределах их полномочий и в объеме, необходимом для реализации соответствующих полномочий.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28. Формирование, размещение и актуализация наборов данных региональной витрины данных осуществляются с учетом модели государственных данных, размещенной в ФГИС «ЕИП НСУД».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29. Информационные ресурсы и модели государственных данных, используемые при функционировании региональной витрины данных, подлежат регистрации в установленном порядке.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30. Предоставление данных региональной витрины данных осуществляется посредством СМЭВ с использованием зарегистрированных запросов к региональной витрине данных.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31. Региональная витрина данных обеспечивает доступность наборов данных в режиме, необходимом для реализации соответствующих полномочий пользователей.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32. Администратор Системы организует контроль качества наборов данных региональной витрины данных, в том числе реагирование на инциденты качества данных.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33. Для обеспечения функционирования региональной витрины данных могут использоваться облачные услуги, предоставляемые посредством государственной единой облачной платформы, в случаях и порядке, предусмотренных законодательством Российской Федерации.</w:t>
      </w:r>
      <w:r/>
    </w:p>
    <w:p>
      <w:pPr>
        <w:pStyle w:val="656"/>
        <w:ind w:firstLine="709"/>
        <w:jc w:val="both"/>
        <w:spacing w:before="0" w:after="0" w:line="57" w:lineRule="atLeast"/>
      </w:pPr>
      <w:r/>
      <w:r/>
    </w:p>
    <w:p>
      <w:pPr>
        <w:pStyle w:val="656"/>
        <w:jc w:val="center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9. Порядок получения и использования сведений, содержащихся в ЕРН</w:t>
      </w:r>
      <w:r/>
    </w:p>
    <w:p>
      <w:pPr>
        <w:pStyle w:val="656"/>
        <w:jc w:val="center"/>
        <w:spacing w:before="0" w:after="0" w:line="57" w:lineRule="atLeast"/>
      </w:pPr>
      <w:r/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34. Сведения, содержащиеся в ЕРН, предоставляются посредством Системы: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 режиме «запрос–ответ» в отношении конкретного физического лица;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 режиме рассылки, в том числе с использованием директивных видов сведений по территориальному признаку.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35. Формирование записей о населении и внесение в них изменений осуществляется в автоматизированном режиме. Ручной ввод или изменение сведений, полученных из ЕРН, не допускается.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36. Первоначальная загрузка и последующее обновление сведений ЕРН осуществляются автоматически посредством СМЭВ в порядке, предусмотренном Правилами.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37. Состав сведений, предоставляемых из ЕРН в режиме «запрос–ответ», определяется приложением № 1 к Правилам.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38. Состав сведений, предоставляемых из ЕРН в режиме рассылки, в том числе с использованием директивных видов сведений, определяется приложением № 2 к Правилам.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 Прямой (непосредственный) доступ физических и юридических лиц к сведениям, полученным из ЕРН и содержащимся в Системе, исключается.</w:t>
      </w:r>
      <w:r/>
    </w:p>
    <w:p>
      <w:pPr>
        <w:pStyle w:val="656"/>
        <w:ind w:firstLine="709"/>
        <w:jc w:val="both"/>
        <w:spacing w:before="0" w:after="0" w:line="57" w:lineRule="atLeas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 Конкретный состав сведений ЕРН, предоставляемых пользоват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елю, определяется нормативными правовыми основаниями пользователя, целями использования сведений, режимом их получения и соглашением, заключенным с оператором Системы, и не может превышать объем сведений, необходимый для реализации полномочий пользователя.</w:t>
      </w:r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1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DejaVu Sans">
    <w:panose1 w:val="020B0603030804020204"/>
  </w:font>
  <w:font w:name="Segoe UI">
    <w:panose1 w:val="020B0502040504020204"/>
  </w:font>
  <w:font w:name="Calibri">
    <w:panose1 w:val="020F0502020204030204"/>
  </w:font>
  <w:font w:name="Liberation Sans">
    <w:panose1 w:val="020B0604020202020204"/>
  </w:font>
  <w:font w:name="Open Sans">
    <w:panose1 w:val="020B0606030504020204"/>
  </w:font>
  <w:font w:name="SimSun">
    <w:panose1 w:val="0200050600000002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10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</w:r>
  </w:p>
  <w:p>
    <w:pPr>
      <w:pStyle w:val="7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3">
    <w:name w:val="No List"/>
    <w:uiPriority w:val="99"/>
    <w:semiHidden/>
    <w:unhideWhenUsed/>
  </w:style>
  <w:style w:type="table" w:styleId="51">
    <w:name w:val="Plain Table 1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8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7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paragraph" w:styleId="191">
    <w:name w:val="TOC Heading"/>
    <w:uiPriority w:val="39"/>
    <w:unhideWhenUsed/>
  </w:style>
  <w:style w:type="paragraph" w:styleId="656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Liberation Sans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7">
    <w:name w:val="Heading 1"/>
    <w:basedOn w:val="656"/>
    <w:next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58">
    <w:name w:val="Heading 2"/>
    <w:basedOn w:val="656"/>
    <w:next w:val="65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656"/>
    <w:next w:val="6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60">
    <w:name w:val="Heading 4"/>
    <w:basedOn w:val="656"/>
    <w:next w:val="65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1">
    <w:name w:val="Heading 5"/>
    <w:basedOn w:val="656"/>
    <w:next w:val="65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2">
    <w:name w:val="Heading 6"/>
    <w:basedOn w:val="656"/>
    <w:next w:val="65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63">
    <w:name w:val="Heading 7"/>
    <w:basedOn w:val="656"/>
    <w:next w:val="65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4">
    <w:name w:val="Heading 8"/>
    <w:basedOn w:val="656"/>
    <w:next w:val="65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5">
    <w:name w:val="Heading 9"/>
    <w:basedOn w:val="656"/>
    <w:next w:val="65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  <w:qFormat/>
  </w:style>
  <w:style w:type="character" w:styleId="667" w:customStyle="1">
    <w:name w:val="Символ сноски"/>
    <w:uiPriority w:val="99"/>
    <w:unhideWhenUsed/>
    <w:qFormat/>
    <w:rPr>
      <w:vertAlign w:val="superscript"/>
    </w:rPr>
  </w:style>
  <w:style w:type="character" w:styleId="668">
    <w:name w:val="footnote reference"/>
    <w:rPr>
      <w:vertAlign w:val="superscript"/>
    </w:rPr>
  </w:style>
  <w:style w:type="character" w:styleId="66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70">
    <w:name w:val="endnote reference"/>
    <w:rPr>
      <w:vertAlign w:val="superscript"/>
    </w:rPr>
  </w:style>
  <w:style w:type="character" w:styleId="671">
    <w:name w:val="Hyperlink"/>
    <w:basedOn w:val="666"/>
    <w:uiPriority w:val="99"/>
    <w:unhideWhenUsed/>
    <w:rPr>
      <w:color w:val="0563c1" w:themeColor="hyperlink"/>
      <w:u w:val="single"/>
    </w:rPr>
  </w:style>
  <w:style w:type="character" w:styleId="672" w:customStyle="1">
    <w:name w:val="Heading 1 Char"/>
    <w:basedOn w:val="666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673" w:customStyle="1">
    <w:name w:val="Heading 2 Char"/>
    <w:basedOn w:val="666"/>
    <w:uiPriority w:val="9"/>
    <w:qFormat/>
    <w:rPr>
      <w:rFonts w:ascii="Liberation Sans" w:hAnsi="Liberation Sans" w:eastAsia="Liberation Sans" w:cs="Liberation Sans"/>
      <w:sz w:val="34"/>
    </w:rPr>
  </w:style>
  <w:style w:type="character" w:styleId="674" w:customStyle="1">
    <w:name w:val="Heading 3 Char"/>
    <w:basedOn w:val="666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675" w:customStyle="1">
    <w:name w:val="Heading 4 Char"/>
    <w:basedOn w:val="666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6" w:customStyle="1">
    <w:name w:val="Heading 5 Char"/>
    <w:basedOn w:val="666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7" w:customStyle="1">
    <w:name w:val="Heading 6 Char"/>
    <w:basedOn w:val="666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8" w:customStyle="1">
    <w:name w:val="Heading 7 Char"/>
    <w:basedOn w:val="666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9" w:customStyle="1">
    <w:name w:val="Heading 8 Char"/>
    <w:basedOn w:val="666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0" w:customStyle="1">
    <w:name w:val="Heading 9 Char"/>
    <w:basedOn w:val="666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1" w:customStyle="1">
    <w:name w:val="Title Char"/>
    <w:basedOn w:val="666"/>
    <w:uiPriority w:val="10"/>
    <w:qFormat/>
    <w:rPr>
      <w:sz w:val="48"/>
      <w:szCs w:val="48"/>
    </w:rPr>
  </w:style>
  <w:style w:type="character" w:styleId="682" w:customStyle="1">
    <w:name w:val="Subtitle Char"/>
    <w:basedOn w:val="666"/>
    <w:uiPriority w:val="11"/>
    <w:qFormat/>
    <w:rPr>
      <w:sz w:val="24"/>
      <w:szCs w:val="24"/>
    </w:rPr>
  </w:style>
  <w:style w:type="character" w:styleId="683" w:customStyle="1">
    <w:name w:val="Quote Char"/>
    <w:uiPriority w:val="29"/>
    <w:qFormat/>
    <w:rPr>
      <w:i/>
    </w:rPr>
  </w:style>
  <w:style w:type="character" w:styleId="684" w:customStyle="1">
    <w:name w:val="Intense Quote Char"/>
    <w:uiPriority w:val="30"/>
    <w:qFormat/>
    <w:rPr>
      <w:i/>
    </w:rPr>
  </w:style>
  <w:style w:type="character" w:styleId="685" w:customStyle="1">
    <w:name w:val="Caption Char"/>
    <w:basedOn w:val="666"/>
    <w:uiPriority w:val="35"/>
    <w:qFormat/>
    <w:rPr>
      <w:b/>
      <w:bCs/>
      <w:color w:val="5b9bd5" w:themeColor="accent1"/>
      <w:sz w:val="18"/>
      <w:szCs w:val="18"/>
    </w:rPr>
  </w:style>
  <w:style w:type="character" w:styleId="686" w:customStyle="1">
    <w:name w:val="Footnote Text Char"/>
    <w:uiPriority w:val="99"/>
    <w:qFormat/>
    <w:rPr>
      <w:sz w:val="18"/>
    </w:rPr>
  </w:style>
  <w:style w:type="character" w:styleId="687" w:customStyle="1">
    <w:name w:val="Endnote Text Char"/>
    <w:uiPriority w:val="99"/>
    <w:qFormat/>
    <w:rPr>
      <w:sz w:val="20"/>
    </w:rPr>
  </w:style>
  <w:style w:type="character" w:styleId="688" w:customStyle="1">
    <w:name w:val="Заголовок 1 Знак"/>
    <w:basedOn w:val="666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689" w:customStyle="1">
    <w:name w:val="Заголовок 2 Знак"/>
    <w:basedOn w:val="666"/>
    <w:uiPriority w:val="9"/>
    <w:qFormat/>
    <w:rPr>
      <w:rFonts w:ascii="Liberation Sans" w:hAnsi="Liberation Sans" w:eastAsia="Liberation Sans" w:cs="Liberation Sans"/>
      <w:sz w:val="34"/>
    </w:rPr>
  </w:style>
  <w:style w:type="character" w:styleId="690" w:customStyle="1">
    <w:name w:val="Заголовок 3 Знак"/>
    <w:basedOn w:val="666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691" w:customStyle="1">
    <w:name w:val="Заголовок 4 Знак"/>
    <w:basedOn w:val="666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2" w:customStyle="1">
    <w:name w:val="Заголовок 5 Знак"/>
    <w:basedOn w:val="666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3" w:customStyle="1">
    <w:name w:val="Заголовок 6 Знак"/>
    <w:basedOn w:val="666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4" w:customStyle="1">
    <w:name w:val="Заголовок 7 Знак"/>
    <w:basedOn w:val="666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5" w:customStyle="1">
    <w:name w:val="Заголовок 8 Знак"/>
    <w:basedOn w:val="666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6" w:customStyle="1">
    <w:name w:val="Заголовок 9 Знак"/>
    <w:basedOn w:val="666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7" w:customStyle="1">
    <w:name w:val="Заголовок Знак"/>
    <w:basedOn w:val="666"/>
    <w:uiPriority w:val="10"/>
    <w:qFormat/>
    <w:rPr>
      <w:sz w:val="48"/>
      <w:szCs w:val="48"/>
    </w:rPr>
  </w:style>
  <w:style w:type="character" w:styleId="698" w:customStyle="1">
    <w:name w:val="Подзаголовок Знак"/>
    <w:basedOn w:val="666"/>
    <w:uiPriority w:val="11"/>
    <w:qFormat/>
    <w:rPr>
      <w:sz w:val="24"/>
      <w:szCs w:val="24"/>
    </w:rPr>
  </w:style>
  <w:style w:type="character" w:styleId="699" w:customStyle="1">
    <w:name w:val="Цитата 2 Знак"/>
    <w:link w:val="736"/>
    <w:uiPriority w:val="29"/>
    <w:qFormat/>
    <w:rPr>
      <w:i/>
    </w:rPr>
  </w:style>
  <w:style w:type="character" w:styleId="700" w:customStyle="1">
    <w:name w:val="Выделенная цитата Знак"/>
    <w:link w:val="737"/>
    <w:uiPriority w:val="30"/>
    <w:qFormat/>
    <w:rPr>
      <w:i/>
    </w:rPr>
  </w:style>
  <w:style w:type="character" w:styleId="701" w:customStyle="1">
    <w:name w:val="Header Char"/>
    <w:basedOn w:val="666"/>
    <w:uiPriority w:val="99"/>
    <w:qFormat/>
  </w:style>
  <w:style w:type="character" w:styleId="702" w:customStyle="1">
    <w:name w:val="Footer Char"/>
    <w:basedOn w:val="666"/>
    <w:uiPriority w:val="99"/>
    <w:qFormat/>
  </w:style>
  <w:style w:type="character" w:styleId="703" w:customStyle="1">
    <w:name w:val="Название объекта Знак"/>
    <w:basedOn w:val="666"/>
    <w:uiPriority w:val="35"/>
    <w:qFormat/>
    <w:rPr>
      <w:b/>
      <w:bCs/>
      <w:color w:val="5b9bd5" w:themeColor="accent1"/>
      <w:sz w:val="18"/>
      <w:szCs w:val="18"/>
    </w:rPr>
  </w:style>
  <w:style w:type="character" w:styleId="704" w:customStyle="1">
    <w:name w:val="Текст сноски Знак"/>
    <w:uiPriority w:val="99"/>
    <w:qFormat/>
    <w:rPr>
      <w:sz w:val="18"/>
    </w:rPr>
  </w:style>
  <w:style w:type="character" w:styleId="705" w:customStyle="1">
    <w:name w:val="Текст концевой сноски Знак"/>
    <w:uiPriority w:val="99"/>
    <w:qFormat/>
    <w:rPr>
      <w:sz w:val="20"/>
    </w:rPr>
  </w:style>
  <w:style w:type="character" w:styleId="706" w:customStyle="1">
    <w:name w:val="Текст Знак"/>
    <w:basedOn w:val="666"/>
    <w:link w:val="716"/>
    <w:uiPriority w:val="99"/>
    <w:semiHidden/>
    <w:qFormat/>
    <w:rPr>
      <w:rFonts w:ascii="Calibri" w:hAnsi="Calibri" w:eastAsia="Calibri" w:cs="Times New Roman"/>
      <w:szCs w:val="21"/>
    </w:rPr>
  </w:style>
  <w:style w:type="character" w:styleId="707" w:customStyle="1">
    <w:name w:val="Нижний колонтитул Знак"/>
    <w:basedOn w:val="666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08" w:customStyle="1">
    <w:name w:val="Текст выноски Знак"/>
    <w:basedOn w:val="666"/>
    <w:link w:val="715"/>
    <w:uiPriority w:val="99"/>
    <w:semiHidden/>
    <w:qFormat/>
    <w:rPr>
      <w:rFonts w:ascii="Segoe UI" w:hAnsi="Segoe UI" w:cs="Segoe UI"/>
      <w:sz w:val="18"/>
      <w:szCs w:val="18"/>
    </w:rPr>
  </w:style>
  <w:style w:type="character" w:styleId="709" w:customStyle="1">
    <w:name w:val="Верхний колонтитул Знак"/>
    <w:basedOn w:val="666"/>
    <w:uiPriority w:val="99"/>
    <w:qFormat/>
  </w:style>
  <w:style w:type="paragraph" w:styleId="710">
    <w:name w:val="Заголовок"/>
    <w:basedOn w:val="656"/>
    <w:next w:val="711"/>
    <w:qFormat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711">
    <w:name w:val="Body Text"/>
    <w:basedOn w:val="656"/>
    <w:pPr>
      <w:spacing w:before="0" w:after="140" w:line="276" w:lineRule="auto"/>
    </w:pPr>
  </w:style>
  <w:style w:type="paragraph" w:styleId="712">
    <w:name w:val="List"/>
    <w:basedOn w:val="711"/>
    <w:rPr>
      <w:rFonts w:cs="Droid Sans"/>
    </w:rPr>
  </w:style>
  <w:style w:type="paragraph" w:styleId="713">
    <w:name w:val="Caption"/>
    <w:basedOn w:val="656"/>
    <w:next w:val="656"/>
    <w:link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714">
    <w:name w:val="Указатель"/>
    <w:basedOn w:val="656"/>
    <w:qFormat/>
    <w:pPr>
      <w:suppressLineNumbers/>
    </w:pPr>
    <w:rPr>
      <w:rFonts w:cs="Droid Sans"/>
    </w:rPr>
  </w:style>
  <w:style w:type="paragraph" w:styleId="715">
    <w:name w:val="Balloon Text"/>
    <w:basedOn w:val="656"/>
    <w:link w:val="70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16">
    <w:name w:val="Plain Text"/>
    <w:basedOn w:val="656"/>
    <w:link w:val="706"/>
    <w:uiPriority w:val="99"/>
    <w:semiHidden/>
    <w:unhideWhenUsed/>
    <w:qFormat/>
    <w:pPr>
      <w:spacing w:before="0" w:after="0" w:line="240" w:lineRule="auto"/>
    </w:pPr>
    <w:rPr>
      <w:rFonts w:ascii="Calibri" w:hAnsi="Calibri" w:eastAsia="Calibri" w:cs="Times New Roman"/>
      <w:szCs w:val="21"/>
    </w:rPr>
  </w:style>
  <w:style w:type="paragraph" w:styleId="717">
    <w:name w:val="endnote text"/>
    <w:basedOn w:val="656"/>
    <w:link w:val="70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8">
    <w:name w:val="footnote text"/>
    <w:basedOn w:val="656"/>
    <w:link w:val="70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9">
    <w:name w:val="toc 8"/>
    <w:basedOn w:val="656"/>
    <w:next w:val="656"/>
    <w:uiPriority w:val="39"/>
    <w:unhideWhenUsed/>
    <w:pPr>
      <w:ind w:left="1984"/>
      <w:spacing w:before="0" w:after="57"/>
    </w:pPr>
  </w:style>
  <w:style w:type="paragraph" w:styleId="720" w:customStyle="1">
    <w:name w:val="Header and Footer"/>
    <w:basedOn w:val="656"/>
    <w:qFormat/>
  </w:style>
  <w:style w:type="paragraph" w:styleId="721">
    <w:name w:val="Header"/>
    <w:basedOn w:val="656"/>
    <w:link w:val="709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22">
    <w:name w:val="toc 9"/>
    <w:basedOn w:val="656"/>
    <w:next w:val="656"/>
    <w:uiPriority w:val="39"/>
    <w:unhideWhenUsed/>
    <w:pPr>
      <w:ind w:left="2268"/>
      <w:spacing w:before="0" w:after="57"/>
    </w:pPr>
  </w:style>
  <w:style w:type="paragraph" w:styleId="723">
    <w:name w:val="toc 7"/>
    <w:basedOn w:val="656"/>
    <w:next w:val="656"/>
    <w:uiPriority w:val="39"/>
    <w:unhideWhenUsed/>
    <w:pPr>
      <w:ind w:left="1701"/>
      <w:spacing w:before="0" w:after="57"/>
    </w:pPr>
  </w:style>
  <w:style w:type="paragraph" w:styleId="724">
    <w:name w:val="index heading"/>
    <w:basedOn w:val="725"/>
  </w:style>
  <w:style w:type="paragraph" w:styleId="725" w:customStyle="1">
    <w:name w:val="Заголовок1"/>
    <w:basedOn w:val="656"/>
    <w:next w:val="711"/>
    <w:qFormat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726">
    <w:name w:val="toc 1"/>
    <w:basedOn w:val="656"/>
    <w:next w:val="656"/>
    <w:uiPriority w:val="39"/>
    <w:unhideWhenUsed/>
    <w:pPr>
      <w:spacing w:before="0" w:after="57"/>
    </w:pPr>
  </w:style>
  <w:style w:type="paragraph" w:styleId="727">
    <w:name w:val="toc 6"/>
    <w:basedOn w:val="656"/>
    <w:next w:val="656"/>
    <w:uiPriority w:val="39"/>
    <w:unhideWhenUsed/>
    <w:pPr>
      <w:ind w:left="1417"/>
      <w:spacing w:before="0" w:after="57"/>
    </w:pPr>
  </w:style>
  <w:style w:type="paragraph" w:styleId="728">
    <w:name w:val="table of figures"/>
    <w:basedOn w:val="656"/>
    <w:next w:val="656"/>
    <w:uiPriority w:val="99"/>
    <w:unhideWhenUsed/>
    <w:pPr>
      <w:spacing w:before="0" w:after="0"/>
    </w:pPr>
  </w:style>
  <w:style w:type="paragraph" w:styleId="729">
    <w:name w:val="toc 3"/>
    <w:basedOn w:val="656"/>
    <w:next w:val="656"/>
    <w:uiPriority w:val="39"/>
    <w:unhideWhenUsed/>
    <w:pPr>
      <w:ind w:left="567"/>
      <w:spacing w:before="0" w:after="57"/>
    </w:pPr>
  </w:style>
  <w:style w:type="paragraph" w:styleId="730">
    <w:name w:val="toc 2"/>
    <w:basedOn w:val="656"/>
    <w:next w:val="656"/>
    <w:uiPriority w:val="39"/>
    <w:unhideWhenUsed/>
    <w:pPr>
      <w:ind w:left="283"/>
      <w:spacing w:before="0" w:after="57"/>
    </w:pPr>
  </w:style>
  <w:style w:type="paragraph" w:styleId="731">
    <w:name w:val="toc 4"/>
    <w:basedOn w:val="656"/>
    <w:next w:val="656"/>
    <w:uiPriority w:val="39"/>
    <w:unhideWhenUsed/>
    <w:pPr>
      <w:ind w:left="850"/>
      <w:spacing w:before="0" w:after="57"/>
    </w:pPr>
  </w:style>
  <w:style w:type="paragraph" w:styleId="732">
    <w:name w:val="toc 5"/>
    <w:basedOn w:val="656"/>
    <w:next w:val="656"/>
    <w:uiPriority w:val="39"/>
    <w:unhideWhenUsed/>
    <w:pPr>
      <w:ind w:left="1134"/>
      <w:spacing w:before="0" w:after="57"/>
    </w:pPr>
  </w:style>
  <w:style w:type="paragraph" w:styleId="733">
    <w:name w:val="Title"/>
    <w:basedOn w:val="656"/>
    <w:next w:val="656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4">
    <w:name w:val="Footer"/>
    <w:basedOn w:val="656"/>
    <w:link w:val="707"/>
    <w:uiPriority w:val="99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35">
    <w:name w:val="Subtitle"/>
    <w:basedOn w:val="656"/>
    <w:next w:val="656"/>
    <w:link w:val="698"/>
    <w:uiPriority w:val="11"/>
    <w:qFormat/>
    <w:pPr>
      <w:spacing w:before="200" w:after="200"/>
    </w:pPr>
    <w:rPr>
      <w:sz w:val="24"/>
      <w:szCs w:val="24"/>
    </w:rPr>
  </w:style>
  <w:style w:type="paragraph" w:styleId="736">
    <w:name w:val="Quote"/>
    <w:basedOn w:val="656"/>
    <w:next w:val="656"/>
    <w:link w:val="699"/>
    <w:uiPriority w:val="29"/>
    <w:qFormat/>
    <w:pPr>
      <w:ind w:left="720" w:right="720"/>
    </w:pPr>
    <w:rPr>
      <w:i/>
    </w:rPr>
  </w:style>
  <w:style w:type="paragraph" w:styleId="737">
    <w:name w:val="Intense Quote"/>
    <w:basedOn w:val="656"/>
    <w:next w:val="656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8" w:customStyle="1">
    <w:name w:val="Указатель1"/>
    <w:basedOn w:val="656"/>
    <w:qFormat/>
    <w:pPr>
      <w:suppressLineNumbers/>
    </w:pPr>
    <w:rPr>
      <w:rFonts w:cs="Droid Sans"/>
    </w:rPr>
  </w:style>
  <w:style w:type="paragraph" w:styleId="739">
    <w:name w:val="List Paragraph"/>
    <w:basedOn w:val="656"/>
    <w:uiPriority w:val="34"/>
    <w:qFormat/>
    <w:pPr>
      <w:contextualSpacing/>
      <w:ind w:left="720"/>
      <w:spacing w:before="0" w:after="160"/>
    </w:pPr>
  </w:style>
  <w:style w:type="paragraph" w:styleId="740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Liberation Sans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41" w:customStyle="1">
    <w:name w:val="Заголовок оглавления1"/>
    <w:uiPriority w:val="39"/>
    <w:unhideWhenUsed/>
    <w:qFormat/>
    <w:pPr>
      <w:jc w:val="left"/>
      <w:spacing w:before="0" w:after="160" w:line="259" w:lineRule="auto"/>
      <w:widowControl/>
    </w:pPr>
    <w:rPr>
      <w:rFonts w:ascii="Calibri" w:hAnsi="Calibri" w:eastAsia="Calibri" w:cs="Liberation Sans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42" w:customStyle="1">
    <w:name w:val="ConsPlusNormal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ar-SA"/>
    </w:rPr>
  </w:style>
  <w:style w:type="numbering" w:styleId="743" w:default="1">
    <w:name w:val="Без списка"/>
    <w:uiPriority w:val="99"/>
    <w:semiHidden/>
    <w:unhideWhenUsed/>
    <w:qFormat/>
  </w:style>
  <w:style w:type="table" w:styleId="74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"/>
    <w:basedOn w:val="74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6" w:customStyle="1">
    <w:name w:val="Table Grid Light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 w:customStyle="1">
    <w:name w:val="Таблица простая 11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8" w:customStyle="1">
    <w:name w:val="Таблица простая 21"/>
    <w:basedOn w:val="74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9" w:customStyle="1">
    <w:name w:val="Таблица простая 31"/>
    <w:basedOn w:val="744"/>
    <w:uiPriority w:val="99"/>
    <w:tblPr/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50" w:customStyle="1">
    <w:name w:val="Таблица простая 41"/>
    <w:basedOn w:val="744"/>
    <w:uiPriority w:val="99"/>
    <w:tblPr/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51" w:customStyle="1">
    <w:name w:val="Таблица простая 51"/>
    <w:basedOn w:val="744"/>
    <w:uiPriority w:val="99"/>
    <w:tblPr/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 w:customStyle="1">
    <w:name w:val="Таблица-сетка 1 светлая1"/>
    <w:basedOn w:val="744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3" w:customStyle="1">
    <w:name w:val="Grid Table 1 Light - Accent 1"/>
    <w:basedOn w:val="744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4" w:customStyle="1">
    <w:name w:val="Grid Table 1 Light - Accent 2"/>
    <w:basedOn w:val="744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5" w:customStyle="1">
    <w:name w:val="Grid Table 1 Light - Accent 3"/>
    <w:basedOn w:val="744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6" w:customStyle="1">
    <w:name w:val="Grid Table 1 Light - Accent 4"/>
    <w:basedOn w:val="744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7" w:customStyle="1">
    <w:name w:val="Grid Table 1 Light - Accent 5"/>
    <w:basedOn w:val="744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8" w:customStyle="1">
    <w:name w:val="Grid Table 1 Light - Accent 6"/>
    <w:basedOn w:val="744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 w:customStyle="1">
    <w:name w:val="Таблица-сетка 21"/>
    <w:basedOn w:val="744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44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44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44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44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44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44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31"/>
    <w:basedOn w:val="744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44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44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44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44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44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44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Таблица-сетка 41"/>
    <w:basedOn w:val="744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44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2d8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775" w:customStyle="1">
    <w:name w:val="Grid Table 4 - Accent 2"/>
    <w:basedOn w:val="744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776" w:customStyle="1">
    <w:name w:val="Grid Table 4 - Accent 3"/>
    <w:basedOn w:val="744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777" w:customStyle="1">
    <w:name w:val="Grid Table 4 - Accent 4"/>
    <w:basedOn w:val="744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778" w:customStyle="1">
    <w:name w:val="Grid Table 4 - Accent 5"/>
    <w:basedOn w:val="744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44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780" w:customStyle="1">
    <w:name w:val="Таблица-сетка 5 темная1"/>
    <w:basedOn w:val="74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4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4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4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4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4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4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787" w:customStyle="1">
    <w:name w:val="Таблица-сетка 6 цветная1"/>
    <w:basedOn w:val="744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788" w:customStyle="1">
    <w:name w:val="Grid Table 6 Colorful - Accent 1"/>
    <w:basedOn w:val="744"/>
    <w:uiPriority w:val="99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</w:style>
  <w:style w:type="table" w:styleId="789" w:customStyle="1">
    <w:name w:val="Grid Table 6 Colorful - Accent 2"/>
    <w:basedOn w:val="744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</w:style>
  <w:style w:type="table" w:styleId="790" w:customStyle="1">
    <w:name w:val="Grid Table 6 Colorful - Accent 3"/>
    <w:basedOn w:val="744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</w:style>
  <w:style w:type="table" w:styleId="791" w:customStyle="1">
    <w:name w:val="Grid Table 6 Colorful - Accent 4"/>
    <w:basedOn w:val="744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</w:style>
  <w:style w:type="table" w:styleId="792" w:customStyle="1">
    <w:name w:val="Grid Table 6 Colorful - Accent 5"/>
    <w:basedOn w:val="744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793" w:customStyle="1">
    <w:name w:val="Grid Table 6 Colorful - Accent 6"/>
    <w:basedOn w:val="744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794" w:customStyle="1">
    <w:name w:val="Таблица-сетка 7 цветная1"/>
    <w:basedOn w:val="744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44"/>
    <w:uiPriority w:val="99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44"/>
    <w:uiPriority w:val="99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44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44"/>
    <w:uiPriority w:val="99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44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44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Список-таблица 1 светлая1"/>
    <w:basedOn w:val="744"/>
    <w:uiPriority w:val="99"/>
    <w:tblPr/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44"/>
    <w:uiPriority w:val="99"/>
    <w:tblPr/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44"/>
    <w:uiPriority w:val="99"/>
    <w:tblPr/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44"/>
    <w:uiPriority w:val="99"/>
    <w:tblPr/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44"/>
    <w:uiPriority w:val="99"/>
    <w:tblPr/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44"/>
    <w:uiPriority w:val="99"/>
    <w:tblPr/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44"/>
    <w:uiPriority w:val="99"/>
    <w:tblPr/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Список-таблица 21"/>
    <w:basedOn w:val="744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44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44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44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44"/>
    <w:uiPriority w:val="99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44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44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15" w:customStyle="1">
    <w:name w:val="Список-таблица 31"/>
    <w:basedOn w:val="74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 w:customStyle="1">
    <w:name w:val="List Table 3 - Accent 1"/>
    <w:basedOn w:val="744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 w:customStyle="1">
    <w:name w:val="List Table 3 - Accent 2"/>
    <w:basedOn w:val="744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List Table 3 - Accent 3"/>
    <w:basedOn w:val="744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 w:customStyle="1">
    <w:name w:val="List Table 3 - Accent 4"/>
    <w:basedOn w:val="744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List Table 3 - Accent 5"/>
    <w:basedOn w:val="744"/>
    <w:uiPriority w:val="99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 w:customStyle="1">
    <w:name w:val="List Table 3 - Accent 6"/>
    <w:basedOn w:val="744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 w:customStyle="1">
    <w:name w:val="Список-таблица 41"/>
    <w:basedOn w:val="74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 w:customStyle="1">
    <w:name w:val="List Table 4 - Accent 1"/>
    <w:basedOn w:val="744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 w:customStyle="1">
    <w:name w:val="List Table 4 - Accent 2"/>
    <w:basedOn w:val="744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 w:customStyle="1">
    <w:name w:val="List Table 4 - Accent 3"/>
    <w:basedOn w:val="744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 w:customStyle="1">
    <w:name w:val="List Table 4 - Accent 4"/>
    <w:basedOn w:val="744"/>
    <w:uiPriority w:val="9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 w:customStyle="1">
    <w:name w:val="List Table 4 - Accent 5"/>
    <w:basedOn w:val="744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 w:customStyle="1">
    <w:name w:val="List Table 4 - Accent 6"/>
    <w:basedOn w:val="744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 w:customStyle="1">
    <w:name w:val="Список-таблица 5 темная1"/>
    <w:basedOn w:val="744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44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44"/>
    <w:uiPriority w:val="99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44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44"/>
    <w:uiPriority w:val="99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44"/>
    <w:uiPriority w:val="99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44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6" w:customStyle="1">
    <w:name w:val="Список-таблица 6 цветная1"/>
    <w:basedOn w:val="744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List Table 6 Colorful - Accent 1"/>
    <w:basedOn w:val="744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44"/>
    <w:uiPriority w:val="99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39" w:customStyle="1">
    <w:name w:val="List Table 6 Colorful - Accent 3"/>
    <w:basedOn w:val="744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40" w:customStyle="1">
    <w:name w:val="List Table 6 Colorful - Accent 4"/>
    <w:basedOn w:val="744"/>
    <w:uiPriority w:val="99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41" w:customStyle="1">
    <w:name w:val="List Table 6 Colorful - Accent 5"/>
    <w:basedOn w:val="744"/>
    <w:uiPriority w:val="99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42" w:customStyle="1">
    <w:name w:val="List Table 6 Colorful - Accent 6"/>
    <w:basedOn w:val="744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43" w:customStyle="1">
    <w:name w:val="Список-таблица 7 цветная1"/>
    <w:basedOn w:val="744"/>
    <w:uiPriority w:val="99"/>
    <w:tblPr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44"/>
    <w:uiPriority w:val="99"/>
    <w:tblPr>
      <w:tblBorders>
        <w:right w:val="single" w:color="5B9BD5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44"/>
    <w:uiPriority w:val="99"/>
    <w:tblPr>
      <w:tblBorders>
        <w:right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44"/>
    <w:uiPriority w:val="99"/>
    <w:tblPr>
      <w:tblBorders>
        <w:right w:val="single" w:color="C9C9C9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44"/>
    <w:uiPriority w:val="99"/>
    <w:tblPr>
      <w:tblBorders>
        <w:right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44"/>
    <w:uiPriority w:val="99"/>
    <w:tblPr>
      <w:tblBorders>
        <w:right w:val="single" w:color="8DA9DB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44"/>
    <w:uiPriority w:val="99"/>
    <w:tblPr>
      <w:tblBorders>
        <w:right w:val="single" w:color="A9D08E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44"/>
    <w:uiPriority w:val="99"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51" w:customStyle="1">
    <w:name w:val="Lined - Accent 1"/>
    <w:basedOn w:val="744"/>
    <w:uiPriority w:val="99"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852" w:customStyle="1">
    <w:name w:val="Lined - Accent 2"/>
    <w:basedOn w:val="744"/>
    <w:uiPriority w:val="99"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853" w:customStyle="1">
    <w:name w:val="Lined - Accent 3"/>
    <w:basedOn w:val="744"/>
    <w:uiPriority w:val="99"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854" w:customStyle="1">
    <w:name w:val="Lined - Accent 4"/>
    <w:basedOn w:val="744"/>
    <w:uiPriority w:val="99"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855" w:customStyle="1">
    <w:name w:val="Lined - Accent 5"/>
    <w:basedOn w:val="744"/>
    <w:uiPriority w:val="99"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856" w:customStyle="1">
    <w:name w:val="Lined - Accent 6"/>
    <w:basedOn w:val="744"/>
    <w:uiPriority w:val="99"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857" w:customStyle="1">
    <w:name w:val="Bordered &amp; Lined - Accent"/>
    <w:basedOn w:val="744"/>
    <w:uiPriority w:val="99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58" w:customStyle="1">
    <w:name w:val="Bordered &amp; Lined - Accent 1"/>
    <w:basedOn w:val="744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859" w:customStyle="1">
    <w:name w:val="Bordered &amp; Lined - Accent 2"/>
    <w:basedOn w:val="744"/>
    <w:uiPriority w:val="99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860" w:customStyle="1">
    <w:name w:val="Bordered &amp; Lined - Accent 3"/>
    <w:basedOn w:val="744"/>
    <w:uiPriority w:val="99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861" w:customStyle="1">
    <w:name w:val="Bordered &amp; Lined - Accent 4"/>
    <w:basedOn w:val="744"/>
    <w:uiPriority w:val="99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862" w:customStyle="1">
    <w:name w:val="Bordered &amp; Lined - Accent 5"/>
    <w:basedOn w:val="744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863" w:customStyle="1">
    <w:name w:val="Bordered &amp; Lined - Accent 6"/>
    <w:basedOn w:val="744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864" w:customStyle="1">
    <w:name w:val="Bordered"/>
    <w:basedOn w:val="744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5" w:customStyle="1">
    <w:name w:val="Bordered - Accent 1"/>
    <w:basedOn w:val="744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44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67" w:customStyle="1">
    <w:name w:val="Bordered - Accent 3"/>
    <w:basedOn w:val="744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68" w:customStyle="1">
    <w:name w:val="Bordered - Accent 4"/>
    <w:basedOn w:val="744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69" w:customStyle="1">
    <w:name w:val="Bordered - Accent 5"/>
    <w:basedOn w:val="744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70" w:customStyle="1">
    <w:name w:val="Bordered - Accent 6"/>
    <w:basedOn w:val="744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871" w:customStyle="1">
    <w:name w:val="Сетка таблицы1"/>
    <w:basedOn w:val="74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2" w:customStyle="1">
    <w:name w:val="Сетка таблицы2"/>
    <w:basedOn w:val="74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DF1-1EC0-48B1-8B9D-B35BF0D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dc:description/>
  <dc:language>ru-RU</dc:language>
  <cp:lastModifiedBy>barkanovia</cp:lastModifiedBy>
  <cp:revision>23</cp:revision>
  <dcterms:created xsi:type="dcterms:W3CDTF">2023-07-23T23:09:00Z</dcterms:created>
  <dcterms:modified xsi:type="dcterms:W3CDTF">2026-07-09T21:09:41Z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9A5646751C1F4754AD6CD029930B9B74_12</vt:lpwstr>
  </property>
  <property fmtid="{D5CDD505-2E9C-101B-9397-08002B2CF9AE}" pid="3" name="KSOProductBuildVer">
    <vt:lpwstr>1049-12.2.0.23196</vt:lpwstr>
  </property>
</Properties>
</file>