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отдельные постановления Правительства 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Внести в часть 4 приложения к постановлению Правительства </w:t>
      </w:r>
      <w:r>
        <w:rPr>
          <w:rFonts w:ascii="Times New Roman" w:hAnsi="Times New Roman"/>
          <w:b w:val="0"/>
          <w:bCs w:val="0"/>
          <w:sz w:val="28"/>
        </w:rPr>
        <w:t xml:space="preserve">Камчатского края от 28.12.2012 № 605-П «О предоставлении государственных услуг исполнительными органами Камчатского края в многофункциональных центрах предоставления государственных и муниципальных услуг»</w:t>
      </w:r>
      <w:r>
        <w:rPr>
          <w:rFonts w:ascii="Times New Roman" w:hAnsi="Times New Roman"/>
          <w:b w:val="0"/>
          <w:bCs w:val="0"/>
          <w:sz w:val="28"/>
        </w:rPr>
        <w:t xml:space="preserve"> изменение, изложив ее в следующей редакции: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«4. Государственные услуги, предоставление которых организуется Министерством имущественных и земельных отношений Камчатского края: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1) предварительное согласование предоставления земельного участка;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2) установление публичного сервитута;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3) 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4) утверждение границ охранных зон газораспределительных сетей и установление ограничений использования земельных участков, расположенных в границах таких зон;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5)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6) 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имущества.».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2. Внести в часть 4 приложения к постановлению Правительства Камчатского края от 01.08.2018 № 323-П «О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перечне государственных услуг, предоставляемых исполнительными органами Камчатского края в многофункциональных центрах предоставления государственных и муниципальных услуг, предоставление которых посредством комплексного запроса не осуществляется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» изменение, изложив ее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«4. Государственные услуги, предоставление которых организуется Министерством имущественных и земельных отношений Камчатского края: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1) предварительное согласование предоставления земельного участка;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2) установление публичного сервитута;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3) 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4) утверждение границ охранных зон газораспределительных сетей и установление ограничений использования земельных участков, расположенных в границах таких зон;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5)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8"/>
        </w:rPr>
        <w:t xml:space="preserve">6) 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имущества.».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постановление вступает в силу со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4"/>
      </w:rPr>
    </w:r>
    <w:r>
      <w:rPr>
        <w:rFonts w:ascii="Times New Roman" w:hAnsi="Times New Roman" w:eastAsia="Times New Roman" w:cs="Times New Roman"/>
        <w:sz w:val="28"/>
        <w:szCs w:val="24"/>
      </w:rPr>
    </w:r>
    <w:r/>
  </w:p>
  <w:p>
    <w:pPr>
      <w:pStyle w:val="8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57"/>
    <w:link w:val="85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4">
    <w:name w:val="Heading 2 Char"/>
    <w:basedOn w:val="857"/>
    <w:link w:val="853"/>
    <w:uiPriority w:val="9"/>
    <w:rPr>
      <w:rFonts w:ascii="Liberation Sans" w:hAnsi="Liberation Sans" w:eastAsia="Liberation Sans" w:cs="Liberation Sans"/>
      <w:sz w:val="34"/>
    </w:rPr>
  </w:style>
  <w:style w:type="character" w:styleId="695">
    <w:name w:val="Heading 3 Char"/>
    <w:basedOn w:val="857"/>
    <w:link w:val="85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6">
    <w:name w:val="Heading 4 Char"/>
    <w:basedOn w:val="857"/>
    <w:link w:val="85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7">
    <w:name w:val="Heading 5 Char"/>
    <w:basedOn w:val="857"/>
    <w:link w:val="85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8">
    <w:name w:val="Heading 6"/>
    <w:basedOn w:val="851"/>
    <w:next w:val="85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9">
    <w:name w:val="Heading 6 Char"/>
    <w:basedOn w:val="857"/>
    <w:link w:val="69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0">
    <w:name w:val="Heading 7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>
    <w:name w:val="Heading 7 Char"/>
    <w:basedOn w:val="857"/>
    <w:link w:val="70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2">
    <w:name w:val="Heading 8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>
    <w:name w:val="Heading 8 Char"/>
    <w:basedOn w:val="857"/>
    <w:link w:val="7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4">
    <w:name w:val="Heading 9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5">
    <w:name w:val="Heading 9 Char"/>
    <w:basedOn w:val="857"/>
    <w:link w:val="7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6">
    <w:name w:val="List Paragraph"/>
    <w:basedOn w:val="851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character" w:styleId="708">
    <w:name w:val="Title Char"/>
    <w:basedOn w:val="857"/>
    <w:link w:val="897"/>
    <w:uiPriority w:val="10"/>
    <w:rPr>
      <w:sz w:val="48"/>
      <w:szCs w:val="48"/>
    </w:rPr>
  </w:style>
  <w:style w:type="character" w:styleId="709">
    <w:name w:val="Subtitle Char"/>
    <w:basedOn w:val="857"/>
    <w:link w:val="893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65"/>
    <w:uiPriority w:val="99"/>
  </w:style>
  <w:style w:type="character" w:styleId="715">
    <w:name w:val="Footer Char"/>
    <w:basedOn w:val="857"/>
    <w:link w:val="895"/>
    <w:uiPriority w:val="99"/>
  </w:style>
  <w:style w:type="paragraph" w:styleId="716">
    <w:name w:val="Caption"/>
    <w:basedOn w:val="851"/>
    <w:next w:val="851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57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1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5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6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7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2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51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57"/>
    <w:uiPriority w:val="99"/>
    <w:unhideWhenUsed/>
    <w:rPr>
      <w:vertAlign w:val="superscript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</w:style>
  <w:style w:type="paragraph" w:styleId="852">
    <w:name w:val="Heading 1"/>
    <w:next w:val="851"/>
    <w:link w:val="87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3">
    <w:name w:val="Heading 2"/>
    <w:next w:val="851"/>
    <w:link w:val="90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4">
    <w:name w:val="Heading 3"/>
    <w:next w:val="851"/>
    <w:link w:val="87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5">
    <w:name w:val="Heading 4"/>
    <w:next w:val="851"/>
    <w:link w:val="90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6">
    <w:name w:val="Heading 5"/>
    <w:next w:val="851"/>
    <w:link w:val="87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</w:style>
  <w:style w:type="paragraph" w:styleId="861">
    <w:name w:val="toc 2"/>
    <w:next w:val="851"/>
    <w:link w:val="862"/>
    <w:uiPriority w:val="39"/>
    <w:pPr>
      <w:ind w:left="200"/>
    </w:pPr>
    <w:rPr>
      <w:rFonts w:ascii="XO Thames" w:hAnsi="XO Thames"/>
      <w:sz w:val="28"/>
    </w:rPr>
  </w:style>
  <w:style w:type="character" w:styleId="862" w:customStyle="1">
    <w:name w:val="Оглавление 2 Знак"/>
    <w:link w:val="861"/>
    <w:rPr>
      <w:rFonts w:ascii="XO Thames" w:hAnsi="XO Thames"/>
      <w:sz w:val="28"/>
    </w:rPr>
  </w:style>
  <w:style w:type="paragraph" w:styleId="863">
    <w:name w:val="toc 4"/>
    <w:next w:val="851"/>
    <w:link w:val="864"/>
    <w:uiPriority w:val="39"/>
    <w:pPr>
      <w:ind w:left="600"/>
    </w:pPr>
    <w:rPr>
      <w:rFonts w:ascii="XO Thames" w:hAnsi="XO Thames"/>
      <w:sz w:val="28"/>
    </w:rPr>
  </w:style>
  <w:style w:type="character" w:styleId="864" w:customStyle="1">
    <w:name w:val="Оглавление 4 Знак"/>
    <w:link w:val="863"/>
    <w:rPr>
      <w:rFonts w:ascii="XO Thames" w:hAnsi="XO Thames"/>
      <w:sz w:val="28"/>
    </w:rPr>
  </w:style>
  <w:style w:type="paragraph" w:styleId="865">
    <w:name w:val="Header"/>
    <w:basedOn w:val="851"/>
    <w:link w:val="866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60"/>
    <w:link w:val="865"/>
    <w:uiPriority w:val="99"/>
  </w:style>
  <w:style w:type="paragraph" w:styleId="867">
    <w:name w:val="toc 6"/>
    <w:next w:val="851"/>
    <w:link w:val="868"/>
    <w:uiPriority w:val="39"/>
    <w:pPr>
      <w:ind w:left="1000"/>
    </w:pPr>
    <w:rPr>
      <w:rFonts w:ascii="XO Thames" w:hAnsi="XO Thames"/>
      <w:sz w:val="28"/>
    </w:rPr>
  </w:style>
  <w:style w:type="character" w:styleId="868" w:customStyle="1">
    <w:name w:val="Оглавление 6 Знак"/>
    <w:link w:val="867"/>
    <w:rPr>
      <w:rFonts w:ascii="XO Thames" w:hAnsi="XO Thames"/>
      <w:sz w:val="28"/>
    </w:rPr>
  </w:style>
  <w:style w:type="paragraph" w:styleId="869">
    <w:name w:val="toc 7"/>
    <w:next w:val="851"/>
    <w:link w:val="870"/>
    <w:uiPriority w:val="39"/>
    <w:pPr>
      <w:ind w:left="1200"/>
    </w:pPr>
    <w:rPr>
      <w:rFonts w:ascii="XO Thames" w:hAnsi="XO Thames"/>
      <w:sz w:val="28"/>
    </w:rPr>
  </w:style>
  <w:style w:type="character" w:styleId="870" w:customStyle="1">
    <w:name w:val="Оглавление 7 Знак"/>
    <w:link w:val="869"/>
    <w:rPr>
      <w:rFonts w:ascii="XO Thames" w:hAnsi="XO Thames"/>
      <w:sz w:val="28"/>
    </w:rPr>
  </w:style>
  <w:style w:type="character" w:styleId="871" w:customStyle="1">
    <w:name w:val="Заголовок 3 Знак"/>
    <w:link w:val="854"/>
    <w:rPr>
      <w:rFonts w:ascii="XO Thames" w:hAnsi="XO Thames"/>
      <w:b/>
      <w:sz w:val="26"/>
    </w:rPr>
  </w:style>
  <w:style w:type="paragraph" w:styleId="872">
    <w:name w:val="Plain Text"/>
    <w:basedOn w:val="851"/>
    <w:link w:val="873"/>
    <w:pPr>
      <w:spacing w:after="0" w:line="240" w:lineRule="auto"/>
    </w:pPr>
    <w:rPr>
      <w:rFonts w:ascii="Calibri" w:hAnsi="Calibri"/>
    </w:rPr>
  </w:style>
  <w:style w:type="character" w:styleId="873" w:customStyle="1">
    <w:name w:val="Текст Знак"/>
    <w:basedOn w:val="860"/>
    <w:link w:val="872"/>
    <w:rPr>
      <w:rFonts w:ascii="Calibri" w:hAnsi="Calibri"/>
    </w:rPr>
  </w:style>
  <w:style w:type="paragraph" w:styleId="874">
    <w:name w:val="toc 3"/>
    <w:next w:val="851"/>
    <w:link w:val="875"/>
    <w:uiPriority w:val="39"/>
    <w:pPr>
      <w:ind w:left="400"/>
    </w:pPr>
    <w:rPr>
      <w:rFonts w:ascii="XO Thames" w:hAnsi="XO Thames"/>
      <w:sz w:val="28"/>
    </w:rPr>
  </w:style>
  <w:style w:type="character" w:styleId="875" w:customStyle="1">
    <w:name w:val="Оглавление 3 Знак"/>
    <w:link w:val="874"/>
    <w:rPr>
      <w:rFonts w:ascii="XO Thames" w:hAnsi="XO Thames"/>
      <w:sz w:val="28"/>
    </w:rPr>
  </w:style>
  <w:style w:type="character" w:styleId="876" w:customStyle="1">
    <w:name w:val="Заголовок 5 Знак"/>
    <w:link w:val="856"/>
    <w:rPr>
      <w:rFonts w:ascii="XO Thames" w:hAnsi="XO Thames"/>
      <w:b/>
      <w:sz w:val="22"/>
    </w:rPr>
  </w:style>
  <w:style w:type="character" w:styleId="877" w:customStyle="1">
    <w:name w:val="Заголовок 1 Знак"/>
    <w:link w:val="852"/>
    <w:rPr>
      <w:rFonts w:ascii="XO Thames" w:hAnsi="XO Thames"/>
      <w:b/>
      <w:sz w:val="32"/>
    </w:rPr>
  </w:style>
  <w:style w:type="paragraph" w:styleId="878" w:customStyle="1">
    <w:name w:val="Гиперссылка1"/>
    <w:basedOn w:val="886"/>
    <w:link w:val="879"/>
    <w:rPr>
      <w:color w:val="0563c1" w:themeColor="hyperlink"/>
      <w:u w:val="single"/>
    </w:rPr>
  </w:style>
  <w:style w:type="character" w:styleId="879">
    <w:name w:val="Hyperlink"/>
    <w:basedOn w:val="857"/>
    <w:link w:val="878"/>
    <w:rPr>
      <w:color w:val="0563c1" w:themeColor="hyperlink"/>
      <w:u w:val="single"/>
    </w:rPr>
  </w:style>
  <w:style w:type="paragraph" w:styleId="880" w:customStyle="1">
    <w:name w:val="Footnote"/>
    <w:link w:val="881"/>
    <w:pPr>
      <w:ind w:firstLine="851"/>
      <w:jc w:val="both"/>
    </w:pPr>
    <w:rPr>
      <w:rFonts w:ascii="XO Thames" w:hAnsi="XO Thames"/>
    </w:rPr>
  </w:style>
  <w:style w:type="character" w:styleId="881" w:customStyle="1">
    <w:name w:val="Footnote"/>
    <w:link w:val="880"/>
    <w:rPr>
      <w:rFonts w:ascii="XO Thames" w:hAnsi="XO Thames"/>
      <w:sz w:val="22"/>
    </w:rPr>
  </w:style>
  <w:style w:type="paragraph" w:styleId="882">
    <w:name w:val="toc 1"/>
    <w:next w:val="851"/>
    <w:link w:val="883"/>
    <w:uiPriority w:val="39"/>
    <w:rPr>
      <w:rFonts w:ascii="XO Thames" w:hAnsi="XO Thames"/>
      <w:b/>
      <w:sz w:val="28"/>
    </w:rPr>
  </w:style>
  <w:style w:type="character" w:styleId="883" w:customStyle="1">
    <w:name w:val="Оглавление 1 Знак"/>
    <w:link w:val="882"/>
    <w:rPr>
      <w:rFonts w:ascii="XO Thames" w:hAnsi="XO Thames"/>
      <w:b/>
      <w:sz w:val="28"/>
    </w:rPr>
  </w:style>
  <w:style w:type="paragraph" w:styleId="884" w:customStyle="1">
    <w:name w:val="Header and Footer"/>
    <w:link w:val="885"/>
    <w:pPr>
      <w:jc w:val="both"/>
      <w:spacing w:line="240" w:lineRule="auto"/>
    </w:pPr>
    <w:rPr>
      <w:rFonts w:ascii="XO Thames" w:hAnsi="XO Thames"/>
      <w:sz w:val="20"/>
    </w:rPr>
  </w:style>
  <w:style w:type="character" w:styleId="885" w:customStyle="1">
    <w:name w:val="Header and Footer"/>
    <w:link w:val="884"/>
    <w:rPr>
      <w:rFonts w:ascii="XO Thames" w:hAnsi="XO Thames"/>
      <w:sz w:val="20"/>
    </w:rPr>
  </w:style>
  <w:style w:type="paragraph" w:styleId="886" w:customStyle="1">
    <w:name w:val="Основной шрифт абзаца1"/>
  </w:style>
  <w:style w:type="paragraph" w:styleId="887">
    <w:name w:val="toc 9"/>
    <w:next w:val="851"/>
    <w:link w:val="888"/>
    <w:uiPriority w:val="39"/>
    <w:pPr>
      <w:ind w:left="1600"/>
    </w:pPr>
    <w:rPr>
      <w:rFonts w:ascii="XO Thames" w:hAnsi="XO Thames"/>
      <w:sz w:val="28"/>
    </w:rPr>
  </w:style>
  <w:style w:type="character" w:styleId="888" w:customStyle="1">
    <w:name w:val="Оглавление 9 Знак"/>
    <w:link w:val="887"/>
    <w:rPr>
      <w:rFonts w:ascii="XO Thames" w:hAnsi="XO Thames"/>
      <w:sz w:val="28"/>
    </w:rPr>
  </w:style>
  <w:style w:type="paragraph" w:styleId="889">
    <w:name w:val="toc 8"/>
    <w:next w:val="851"/>
    <w:link w:val="890"/>
    <w:uiPriority w:val="39"/>
    <w:pPr>
      <w:ind w:left="1400"/>
    </w:pPr>
    <w:rPr>
      <w:rFonts w:ascii="XO Thames" w:hAnsi="XO Thames"/>
      <w:sz w:val="28"/>
    </w:rPr>
  </w:style>
  <w:style w:type="character" w:styleId="890" w:customStyle="1">
    <w:name w:val="Оглавление 8 Знак"/>
    <w:link w:val="889"/>
    <w:rPr>
      <w:rFonts w:ascii="XO Thames" w:hAnsi="XO Thames"/>
      <w:sz w:val="28"/>
    </w:rPr>
  </w:style>
  <w:style w:type="paragraph" w:styleId="891">
    <w:name w:val="toc 5"/>
    <w:next w:val="851"/>
    <w:link w:val="892"/>
    <w:uiPriority w:val="39"/>
    <w:pPr>
      <w:ind w:left="800"/>
    </w:pPr>
    <w:rPr>
      <w:rFonts w:ascii="XO Thames" w:hAnsi="XO Thames"/>
      <w:sz w:val="28"/>
    </w:rPr>
  </w:style>
  <w:style w:type="character" w:styleId="892" w:customStyle="1">
    <w:name w:val="Оглавление 5 Знак"/>
    <w:link w:val="891"/>
    <w:rPr>
      <w:rFonts w:ascii="XO Thames" w:hAnsi="XO Thames"/>
      <w:sz w:val="28"/>
    </w:rPr>
  </w:style>
  <w:style w:type="paragraph" w:styleId="893">
    <w:name w:val="Subtitle"/>
    <w:next w:val="851"/>
    <w:link w:val="89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4" w:customStyle="1">
    <w:name w:val="Подзаголовок Знак"/>
    <w:link w:val="893"/>
    <w:rPr>
      <w:rFonts w:ascii="XO Thames" w:hAnsi="XO Thames"/>
      <w:i/>
      <w:sz w:val="24"/>
    </w:rPr>
  </w:style>
  <w:style w:type="paragraph" w:styleId="895">
    <w:name w:val="Footer"/>
    <w:basedOn w:val="851"/>
    <w:link w:val="89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6" w:customStyle="1">
    <w:name w:val="Нижний колонтитул Знак"/>
    <w:basedOn w:val="860"/>
    <w:link w:val="895"/>
    <w:rPr>
      <w:rFonts w:ascii="Times New Roman" w:hAnsi="Times New Roman"/>
      <w:sz w:val="28"/>
    </w:rPr>
  </w:style>
  <w:style w:type="paragraph" w:styleId="897">
    <w:name w:val="Title"/>
    <w:next w:val="851"/>
    <w:link w:val="89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8" w:customStyle="1">
    <w:name w:val="Название Знак"/>
    <w:link w:val="897"/>
    <w:rPr>
      <w:rFonts w:ascii="XO Thames" w:hAnsi="XO Thames"/>
      <w:b/>
      <w:caps/>
      <w:sz w:val="40"/>
    </w:rPr>
  </w:style>
  <w:style w:type="paragraph" w:styleId="899">
    <w:name w:val="Balloon Text"/>
    <w:basedOn w:val="851"/>
    <w:link w:val="900"/>
    <w:pPr>
      <w:spacing w:after="0" w:line="240" w:lineRule="auto"/>
    </w:pPr>
    <w:rPr>
      <w:rFonts w:ascii="Segoe UI" w:hAnsi="Segoe UI"/>
      <w:sz w:val="18"/>
    </w:rPr>
  </w:style>
  <w:style w:type="character" w:styleId="900" w:customStyle="1">
    <w:name w:val="Текст выноски Знак"/>
    <w:basedOn w:val="860"/>
    <w:link w:val="899"/>
    <w:rPr>
      <w:rFonts w:ascii="Segoe UI" w:hAnsi="Segoe UI"/>
      <w:sz w:val="18"/>
    </w:rPr>
  </w:style>
  <w:style w:type="character" w:styleId="901" w:customStyle="1">
    <w:name w:val="Заголовок 4 Знак"/>
    <w:link w:val="855"/>
    <w:rPr>
      <w:rFonts w:ascii="XO Thames" w:hAnsi="XO Thames"/>
      <w:b/>
      <w:sz w:val="24"/>
    </w:rPr>
  </w:style>
  <w:style w:type="character" w:styleId="902" w:customStyle="1">
    <w:name w:val="Заголовок 2 Знак"/>
    <w:link w:val="853"/>
    <w:rPr>
      <w:rFonts w:ascii="XO Thames" w:hAnsi="XO Thames"/>
      <w:b/>
      <w:sz w:val="28"/>
    </w:rPr>
  </w:style>
  <w:style w:type="table" w:styleId="903">
    <w:name w:val="Table Grid"/>
    <w:basedOn w:val="85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1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Сетка таблицы2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platonovna</cp:lastModifiedBy>
  <cp:revision>16</cp:revision>
  <dcterms:created xsi:type="dcterms:W3CDTF">2025-01-31T01:52:00Z</dcterms:created>
  <dcterms:modified xsi:type="dcterms:W3CDTF">2026-07-01T00:31:47Z</dcterms:modified>
</cp:coreProperties>
</file>