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4"/>
        <w:spacing w:before="0" w:after="0" w:line="276" w:lineRule="auto"/>
        <w:rPr>
          <w:rFonts w:ascii="Times New Roman" w:hAnsi="Times New Roman"/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38" y="0"/>
                    <wp:lineTo x="-38" y="20855"/>
                    <wp:lineTo x="20930" y="20855"/>
                    <wp:lineTo x="20930" y="0"/>
                    <wp:lineTo x="-38" y="0"/>
                  </wp:wrapPolygon>
                </wp:wrapTight>
                <wp:docPr id="1" name="Picture 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 titl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75 0 -175 96551 96898 96551 96898 0 -175 0" stroked="false">
                <v:path textboxrect="0,0,0,0"/>
                <w10:wrap type="tight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24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724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724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724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72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72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72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724"/>
        <w:ind w:firstLine="709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pStyle w:val="724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724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724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p>
      <w:pPr>
        <w:pStyle w:val="818"/>
        <w:ind w:left="0" w:right="0" w:firstLine="0"/>
        <w:jc w:val="center"/>
        <w:spacing w:before="240" w:after="0" w:line="240" w:lineRule="auto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Об у</w:t>
      </w:r>
      <w:r>
        <w:rPr>
          <w:b/>
          <w:bCs/>
          <w:sz w:val="28"/>
          <w:szCs w:val="28"/>
          <w:highlight w:val="white"/>
        </w:rPr>
        <w:t xml:space="preserve">твер</w:t>
      </w:r>
      <w:r>
        <w:rPr>
          <w:b/>
          <w:bCs/>
          <w:sz w:val="28"/>
          <w:szCs w:val="28"/>
          <w:highlight w:val="white"/>
        </w:rPr>
        <w:t xml:space="preserve">ждении методики распределения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  <w:lang w:val="ru-RU" w:eastAsia="ru-RU" w:bidi="ar-SA"/>
        </w:rPr>
        <w:t xml:space="preserve">и правил предоста</w:t>
      </w:r>
      <w:r>
        <w:rPr>
          <w:b/>
          <w:bCs/>
          <w:sz w:val="28"/>
          <w:szCs w:val="28"/>
          <w:highlight w:val="white"/>
        </w:rPr>
        <w:t xml:space="preserve">вления иных межбюджетных трансфертов из краевого бюджета, источником финансового обеспечени</w:t>
      </w:r>
      <w:r>
        <w:rPr>
          <w:b/>
          <w:bCs/>
          <w:sz w:val="28"/>
          <w:szCs w:val="28"/>
          <w:highlight w:val="white"/>
        </w:rPr>
        <w:t xml:space="preserve">я которых являются бюджетные ассигнования резервного фонда Правительства Камчатского края, бюджетам муниципальных образований в Камчатском крае на финансовое обеспечение или возмещение непредвиденных расходов, связанных с проведением аварийно-спасательных </w:t>
      </w:r>
      <w:r>
        <w:rPr>
          <w:b/>
          <w:bCs/>
          <w:sz w:val="28"/>
          <w:szCs w:val="28"/>
          <w:highlight w:val="white"/>
        </w:rPr>
        <w:t xml:space="preserve">и иных мероприятий</w:t>
      </w:r>
      <w:r>
        <w:rPr>
          <w:b/>
          <w:bCs/>
          <w:sz w:val="28"/>
          <w:szCs w:val="28"/>
          <w:highlight w:val="white"/>
        </w:rPr>
        <w:t xml:space="preserve">, направленных на </w:t>
      </w:r>
      <w:r>
        <w:rPr>
          <w:b/>
          <w:bCs/>
          <w:sz w:val="28"/>
          <w:szCs w:val="28"/>
          <w:highlight w:val="white"/>
        </w:rPr>
        <w:t xml:space="preserve">предупреждение и </w:t>
      </w:r>
      <w:r>
        <w:rPr>
          <w:b/>
          <w:bCs/>
          <w:sz w:val="28"/>
          <w:szCs w:val="28"/>
          <w:highlight w:val="white"/>
        </w:rPr>
        <w:t xml:space="preserve">ликвидацию последствий стихийных бедствий и (или) других чрезвычайных ситуаций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724"/>
        <w:ind w:firstLine="709"/>
        <w:jc w:val="both"/>
        <w:spacing w:before="0" w:after="0" w:line="240" w:lineRule="auto"/>
        <w:tabs>
          <w:tab w:val="clear" w:pos="708" w:leader="none"/>
          <w:tab w:val="left" w:pos="850" w:leader="none"/>
          <w:tab w:val="left" w:pos="992" w:leader="none"/>
        </w:tabs>
        <w:rPr>
          <w:rFonts w:ascii="Times New Roman" w:hAnsi="Times New Roman"/>
          <w:b w:val="0"/>
          <w:sz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В соответствии со статьей 139.1 Бюджетного кодекса Российской Федерации, статьей 6.2 Закона Камчатского края от 11.09.2008 </w:t>
      </w:r>
      <w:r>
        <w:rPr>
          <w:rFonts w:ascii="Times New Roman" w:hAnsi="Times New Roman"/>
          <w:b w:val="0"/>
          <w:sz w:val="28"/>
          <w:highlight w:val="white"/>
        </w:rPr>
        <w:t xml:space="preserve">№</w:t>
      </w:r>
      <w:r>
        <w:rPr>
          <w:rFonts w:ascii="Times New Roman" w:hAnsi="Times New Roman"/>
          <w:b w:val="0"/>
          <w:sz w:val="28"/>
          <w:highlight w:val="white"/>
        </w:rPr>
        <w:t xml:space="preserve"> 110 «О предоставлении отдельных межбюджетных трансфертов в Камчатском крае», частью 5 </w:t>
      </w:r>
      <w:r>
        <w:rPr>
          <w:rFonts w:ascii="Times New Roman" w:hAnsi="Times New Roman"/>
          <w:b w:val="0"/>
          <w:sz w:val="28"/>
          <w:highlight w:val="white"/>
          <w:lang w:val="ru-RU"/>
        </w:rPr>
        <w:t xml:space="preserve">п</w:t>
      </w:r>
      <w:r>
        <w:rPr>
          <w:rFonts w:ascii="Times New Roman" w:hAnsi="Times New Roman"/>
          <w:b w:val="0"/>
          <w:sz w:val="28"/>
          <w:highlight w:val="white"/>
        </w:rPr>
        <w:t xml:space="preserve">остановления Правительства Камчатского края от 28.11.2022 </w:t>
      </w:r>
      <w:r>
        <w:rPr>
          <w:rFonts w:ascii="Times New Roman" w:hAnsi="Times New Roman"/>
          <w:b w:val="0"/>
          <w:sz w:val="28"/>
          <w:highlight w:val="white"/>
        </w:rPr>
        <w:t xml:space="preserve">№</w:t>
      </w:r>
      <w:r>
        <w:rPr>
          <w:rFonts w:ascii="Times New Roman" w:hAnsi="Times New Roman"/>
          <w:b w:val="0"/>
          <w:sz w:val="28"/>
          <w:highlight w:val="white"/>
        </w:rPr>
        <w:t xml:space="preserve"> 607-П «Об утверждении Порядка использования бюджетных ассигнований резервного фонда Правительства Камчатского края» </w:t>
      </w:r>
      <w:r>
        <w:rPr>
          <w:rFonts w:ascii="Times New Roman" w:hAnsi="Times New Roman"/>
          <w:b w:val="0"/>
          <w:sz w:val="28"/>
          <w:highlight w:val="white"/>
        </w:rPr>
      </w:r>
      <w:r>
        <w:rPr>
          <w:rFonts w:ascii="Times New Roman" w:hAnsi="Times New Roman"/>
          <w:b w:val="0"/>
          <w:sz w:val="28"/>
          <w:highlight w:val="white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ПРАВИТЕЛЬСТВО ПОСТАНОВЛЯЕТ: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724"/>
        <w:ind w:firstLine="709"/>
        <w:jc w:val="both"/>
        <w:spacing w:before="0" w:after="0" w:line="240" w:lineRule="auto"/>
        <w:tabs>
          <w:tab w:val="clear" w:pos="708" w:leader="none"/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1.</w:t>
      </w:r>
      <w:r>
        <w:rPr>
          <w:rFonts w:ascii="Times New Roman" w:hAnsi="Times New Roman"/>
          <w:b w:val="0"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  <w:lang w:val="ru-RU"/>
        </w:rPr>
        <w:t xml:space="preserve">Утвердить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0"/>
          <w:highlight w:val="white"/>
          <w:lang w:val="ru-RU" w:eastAsia="ru-RU" w:bidi="ar-SA"/>
        </w:rPr>
        <w:t xml:space="preserve">методику распределения и пра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0"/>
          <w:highlight w:val="white"/>
          <w:lang w:val="ru-RU" w:eastAsia="ru-RU" w:bidi="ar-SA"/>
        </w:rPr>
        <w:t xml:space="preserve">вила предоставления иных межбюджетных трансфертов из краевого бюджета, источником финансового обеспечения которых являются бюджетные ассигнования резервного фонда Правительства Камчатского края, бюджетам муниципальных образований в Камчатском крае на финан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0"/>
          <w:highlight w:val="white"/>
          <w:lang w:val="ru-RU" w:eastAsia="ru-RU" w:bidi="ar-SA"/>
        </w:rPr>
        <w:t xml:space="preserve">совое обеспечение или возмещение непредвиденных расходов, связанных с проведением аварийно-спасательных и иных мероприятий, направленных на предупреждение и ликвидацию последствий стихийных бедствий и (или) других чрезвычайных ситуаций согласно приложению.</w:t>
      </w:r>
      <w:r/>
    </w:p>
    <w:p>
      <w:pPr>
        <w:ind w:firstLine="709"/>
        <w:jc w:val="both"/>
        <w:spacing w:before="0" w:after="0" w:line="240" w:lineRule="auto"/>
        <w:tabs>
          <w:tab w:val="clear" w:pos="708" w:leader="none"/>
          <w:tab w:val="left" w:pos="850" w:leader="none"/>
          <w:tab w:val="left" w:pos="992" w:leader="none"/>
        </w:tabs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0"/>
          <w:highlight w:val="none"/>
          <w:lang w:val="ru-RU" w:eastAsia="ru-RU" w:bidi="ar-SA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0"/>
          <w:highlight w:val="none"/>
          <w:lang w:val="ru-RU" w:eastAsia="ru-RU" w:bidi="ar-SA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2. </w:t>
      </w:r>
      <w:r>
        <w:rPr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Настоящее постановление вступает в силу </w:t>
      </w:r>
      <w:r>
        <w:rPr>
          <w:rFonts w:ascii="Times New Roman" w:hAnsi="Times New Roman"/>
          <w:color w:val="000000"/>
          <w:sz w:val="28"/>
          <w:highlight w:val="white"/>
          <w:u w:val="none"/>
          <w:shd w:val="clear" w:color="auto" w:fill="ffe779"/>
          <w:lang w:val="ru-RU"/>
        </w:rPr>
        <w:t xml:space="preserve">после дня </w:t>
      </w:r>
      <w:r>
        <w:rPr>
          <w:rFonts w:ascii="Times New Roman" w:hAnsi="Times New Roman"/>
          <w:color w:val="000000"/>
          <w:sz w:val="28"/>
          <w:highlight w:val="white"/>
          <w:u w:val="none"/>
          <w:shd w:val="clear" w:color="auto" w:fill="ffe779"/>
          <w:lang w:val="ru-RU"/>
        </w:rPr>
        <w:t xml:space="preserve">его </w:t>
      </w:r>
      <w:r>
        <w:rPr>
          <w:rFonts w:ascii="Times New Roman" w:hAnsi="Times New Roman"/>
          <w:color w:val="000000"/>
          <w:sz w:val="28"/>
          <w:highlight w:val="white"/>
          <w:u w:val="none"/>
          <w:shd w:val="clear" w:color="auto" w:fill="ffe779"/>
          <w:lang w:val="ru-RU"/>
        </w:rPr>
        <w:t xml:space="preserve">официа</w:t>
      </w:r>
      <w:r>
        <w:rPr>
          <w:rFonts w:ascii="Times New Roman" w:hAnsi="Times New Roman"/>
          <w:color w:val="000000"/>
          <w:sz w:val="28"/>
          <w:highlight w:val="white"/>
          <w:u w:val="none"/>
          <w:shd w:val="clear" w:color="ffffff" w:themeColor="background1" w:fill="ffffff" w:themeFill="background1"/>
          <w:lang w:val="ru-RU"/>
        </w:rPr>
        <w:t xml:space="preserve">льного</w:t>
      </w:r>
      <w:r>
        <w:rPr>
          <w:rFonts w:ascii="Times New Roman" w:hAnsi="Times New Roman"/>
          <w:color w:val="000000"/>
          <w:sz w:val="28"/>
          <w:highlight w:val="white"/>
          <w:u w:val="none"/>
          <w:shd w:val="clear" w:color="ffffff" w:themeColor="background1" w:fill="ffffff" w:themeFill="background1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u w:val="none"/>
          <w:shd w:val="clear" w:color="auto" w:fill="ffe779"/>
          <w:lang w:val="ru-RU"/>
        </w:rPr>
        <w:t xml:space="preserve">опубликования</w:t>
      </w:r>
      <w:r>
        <w:rPr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  <w:highlight w:val="white"/>
          <w:u w:val="none"/>
        </w:rPr>
      </w:r>
      <w:r>
        <w:rPr>
          <w:rFonts w:ascii="Times New Roman" w:hAnsi="Times New Roman"/>
          <w:color w:val="000000"/>
          <w:sz w:val="28"/>
          <w:highlight w:val="white"/>
          <w:u w:val="none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color w:val="000000"/>
          <w:sz w:val="20"/>
          <w:szCs w:val="20"/>
          <w:highlight w:val="none"/>
          <w:u w:val="none"/>
        </w:rPr>
      </w:pPr>
      <w:r>
        <w:rPr>
          <w:rFonts w:ascii="Times New Roman" w:hAnsi="Times New Roman"/>
          <w:color w:val="000000"/>
          <w:sz w:val="20"/>
          <w:szCs w:val="20"/>
          <w:highlight w:val="none"/>
          <w:u w:val="none"/>
        </w:rPr>
      </w:r>
      <w:r>
        <w:rPr>
          <w:rFonts w:ascii="Times New Roman" w:hAnsi="Times New Roman"/>
          <w:color w:val="000000"/>
          <w:sz w:val="20"/>
          <w:szCs w:val="20"/>
          <w:highlight w:val="none"/>
          <w:u w:val="none"/>
        </w:rPr>
      </w:r>
      <w:r>
        <w:rPr>
          <w:rFonts w:ascii="Times New Roman" w:hAnsi="Times New Roman"/>
          <w:color w:val="000000"/>
          <w:sz w:val="20"/>
          <w:szCs w:val="20"/>
          <w:highlight w:val="none"/>
          <w:u w:val="none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color w:val="000000"/>
          <w:sz w:val="20"/>
          <w:szCs w:val="20"/>
          <w:u w:val="none"/>
        </w:rPr>
      </w:pPr>
      <w:r>
        <w:rPr>
          <w:rFonts w:ascii="Times New Roman" w:hAnsi="Times New Roman"/>
          <w:color w:val="000000"/>
          <w:sz w:val="20"/>
          <w:szCs w:val="20"/>
          <w:u w:val="none"/>
        </w:rPr>
      </w:r>
      <w:r>
        <w:rPr>
          <w:rFonts w:ascii="Times New Roman" w:hAnsi="Times New Roman"/>
          <w:color w:val="000000"/>
          <w:sz w:val="20"/>
          <w:szCs w:val="20"/>
          <w:u w:val="none"/>
        </w:rPr>
      </w:r>
      <w:r>
        <w:rPr>
          <w:rFonts w:ascii="Times New Roman" w:hAnsi="Times New Roman"/>
          <w:color w:val="000000"/>
          <w:sz w:val="20"/>
          <w:szCs w:val="20"/>
          <w:u w:val="none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color w:val="000000"/>
          <w:sz w:val="20"/>
          <w:szCs w:val="20"/>
          <w:u w:val="none"/>
        </w:rPr>
      </w:pPr>
      <w:r>
        <w:rPr>
          <w:rFonts w:ascii="Times New Roman" w:hAnsi="Times New Roman"/>
          <w:color w:val="000000"/>
          <w:sz w:val="20"/>
          <w:szCs w:val="20"/>
          <w:u w:val="none"/>
        </w:rPr>
      </w:r>
      <w:r>
        <w:rPr>
          <w:rFonts w:ascii="Times New Roman" w:hAnsi="Times New Roman"/>
          <w:color w:val="000000"/>
          <w:sz w:val="20"/>
          <w:szCs w:val="20"/>
          <w:u w:val="none"/>
        </w:rPr>
      </w:r>
      <w:r>
        <w:rPr>
          <w:rFonts w:ascii="Times New Roman" w:hAnsi="Times New Roman"/>
          <w:color w:val="000000"/>
          <w:sz w:val="20"/>
          <w:szCs w:val="20"/>
          <w:u w:val="none"/>
        </w:rPr>
      </w:r>
    </w:p>
    <w:tbl>
      <w:tblPr>
        <w:tblW w:w="10097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975"/>
      </w:tblGrid>
      <w:tr>
        <w:tblPrEx/>
        <w:trPr>
          <w:trHeight w:val="402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pStyle w:val="724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724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724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724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724"/>
              <w:ind w:left="3" w:hanging="3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724"/>
              <w:ind w:left="3" w:hanging="3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724"/>
              <w:ind w:left="-113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2975" w:type="dxa"/>
            <w:textDirection w:val="lrTb"/>
            <w:noWrap w:val="false"/>
          </w:tcPr>
          <w:p>
            <w:pPr>
              <w:pStyle w:val="724"/>
              <w:ind w:right="135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724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724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ru-RU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724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724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</w:tbl>
    <w:p>
      <w:pPr>
        <w:pStyle w:val="724"/>
        <w:shd w:val="nil" w:color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948"/>
        <w:tblW w:w="96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"/>
        <w:gridCol w:w="480"/>
        <w:gridCol w:w="481"/>
        <w:gridCol w:w="3661"/>
        <w:gridCol w:w="480"/>
        <w:gridCol w:w="1871"/>
        <w:gridCol w:w="486"/>
        <w:gridCol w:w="169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pageBreakBefore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724"/>
              <w:ind w:left="8079" w:hanging="8079"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724"/>
              <w:ind w:left="8079" w:hanging="8079"/>
              <w:spacing w:before="0" w:after="0" w:afterAutospacing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pStyle w:val="724"/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4"/>
        <w:ind w:left="0" w:right="0" w:firstLine="0"/>
        <w:jc w:val="center"/>
        <w:spacing w:before="0" w:beforeAutospacing="0" w:after="0" w:afterAutospacing="0" w:line="240" w:lineRule="auto"/>
        <w:widowControl/>
        <w:tabs>
          <w:tab w:val="left" w:pos="0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0"/>
          <w:highlight w:val="white"/>
          <w:lang w:val="ru-RU" w:eastAsia="ru-RU" w:bidi="ar-SA"/>
        </w:rPr>
        <w:t xml:space="preserve">Методика распределения и правила предоставления </w:t>
      </w:r>
      <w:r/>
    </w:p>
    <w:p>
      <w:pPr>
        <w:pStyle w:val="724"/>
        <w:ind w:left="0" w:right="0" w:firstLine="0"/>
        <w:jc w:val="center"/>
        <w:spacing w:before="0" w:beforeAutospacing="0" w:after="0" w:afterAutospacing="0" w:line="240" w:lineRule="auto"/>
        <w:widowControl/>
        <w:tabs>
          <w:tab w:val="left" w:pos="0" w:leader="none"/>
          <w:tab w:val="clear" w:pos="708" w:leader="none"/>
        </w:tabs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0"/>
          <w:highlight w:val="white"/>
          <w:lang w:val="ru-RU" w:eastAsia="ru-RU" w:bidi="ar-SA"/>
        </w:rPr>
        <w:t xml:space="preserve">иных межбюджетных трансфертов из краевого бюджета, источником финансового обеспечения которых являются бюджетные ассигнования резервного фонда Правительства Камчатского края, бюджетам муниципальных образований в Кам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0"/>
          <w:highlight w:val="white"/>
          <w:lang w:val="ru-RU" w:eastAsia="ru-RU" w:bidi="ar-SA"/>
        </w:rPr>
        <w:t xml:space="preserve">чатском крае на финансовое обеспечение или возмещение непредвиденных расходов, связанных с проведением аварийно-спасательных и иных мероприятий, направленных на предупреждение и ликвидацию последствий стихийных бедствий и (или) других чрезвычайных ситуаций</w:t>
      </w:r>
      <w:r/>
    </w:p>
    <w:p>
      <w:pPr>
        <w:pStyle w:val="724"/>
        <w:ind w:left="0" w:righ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Настоящ</w:t>
      </w:r>
      <w:r>
        <w:rPr>
          <w:rFonts w:ascii="Times New Roman" w:hAnsi="Times New Roman"/>
          <w:sz w:val="28"/>
          <w:szCs w:val="28"/>
        </w:rPr>
        <w:t xml:space="preserve">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етодика и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равила устанавливают цели, условия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иных межбюджетных трансфертов из </w:t>
      </w:r>
      <w:r>
        <w:rPr>
          <w:rFonts w:ascii="Times New Roman" w:hAnsi="Times New Roman"/>
          <w:sz w:val="28"/>
          <w:szCs w:val="28"/>
        </w:rPr>
        <w:t xml:space="preserve">краевого </w:t>
      </w:r>
      <w:r>
        <w:rPr>
          <w:rFonts w:ascii="Times New Roman" w:hAnsi="Times New Roman"/>
          <w:sz w:val="28"/>
          <w:szCs w:val="28"/>
        </w:rPr>
        <w:t xml:space="preserve">бюджета, источником финансового обеспечения которых являются бюджетные ассигнования резервного фонда </w:t>
      </w:r>
      <w:r>
        <w:rPr>
          <w:rFonts w:ascii="Times New Roman" w:hAnsi="Times New Roman"/>
          <w:sz w:val="28"/>
          <w:szCs w:val="28"/>
        </w:rPr>
        <w:t xml:space="preserve">Правительства Камчатского края</w:t>
      </w:r>
      <w:r>
        <w:rPr>
          <w:rFonts w:ascii="Times New Roman" w:hAnsi="Times New Roman"/>
          <w:sz w:val="28"/>
          <w:szCs w:val="28"/>
        </w:rPr>
        <w:t xml:space="preserve">, бюджетам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в Камчатском </w:t>
      </w:r>
      <w:r>
        <w:rPr>
          <w:rFonts w:ascii="Times New Roman" w:hAnsi="Times New Roman"/>
          <w:sz w:val="28"/>
          <w:szCs w:val="28"/>
        </w:rPr>
        <w:t xml:space="preserve">кра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на финансовое обеспечение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0"/>
          <w:highlight w:val="white"/>
          <w:lang w:val="ru-RU" w:eastAsia="ru-RU" w:bidi="ar-SA"/>
        </w:rPr>
        <w:t xml:space="preserve">или возмещение непредвиденных расходов, связанных с проведением аварийно-спасательных и иных мероприятий, направленных на предупреждение и ликвидацию последствий стихийных бедствий и (или) других чрезвычайных ситуаций</w:t>
      </w:r>
      <w:r>
        <w:rPr>
          <w:rFonts w:ascii="Times New Roman" w:hAnsi="Times New Roman"/>
          <w:sz w:val="28"/>
          <w:szCs w:val="28"/>
        </w:rPr>
        <w:t xml:space="preserve"> (далее соответственно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муниципальные образования, резервный фонд, иные межбюджетные трансферты, чрезвычайная ситуация).</w:t>
      </w:r>
      <w:bookmarkStart w:id="3" w:name="P16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/>
      <w:bookmarkEnd w:id="3"/>
      <w:r>
        <w:rPr>
          <w:rFonts w:ascii="Times New Roman" w:hAnsi="Times New Roman"/>
          <w:sz w:val="28"/>
          <w:szCs w:val="28"/>
        </w:rPr>
        <w:t xml:space="preserve">2. Иные межбюджетные трансферты предоставляются на следующие цели:</w:t>
      </w:r>
      <w:bookmarkStart w:id="4" w:name="P16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sz w:val="28"/>
          <w:szCs w:val="28"/>
          <w:highlight w:val="white"/>
          <w14:ligatures w14:val="none"/>
        </w:rPr>
      </w:pPr>
      <w:r/>
      <w:bookmarkEnd w:id="4"/>
      <w:r>
        <w:rPr>
          <w:rFonts w:ascii="Times New Roman" w:hAnsi="Times New Roman"/>
          <w:sz w:val="28"/>
          <w:szCs w:val="28"/>
        </w:rPr>
        <w:t xml:space="preserve">1) проведение аварийно-спасательных работ при ликвидации чрезвычайных ситуаций и их последствий по </w:t>
      </w:r>
      <w:r>
        <w:rPr>
          <w:rFonts w:ascii="Times New Roman" w:hAnsi="Times New Roman"/>
          <w:color w:val="auto"/>
          <w:sz w:val="28"/>
          <w:szCs w:val="28"/>
        </w:rPr>
        <w:t xml:space="preserve">перечню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аварийно-спасательных работ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при ликвидации последствий </w:t>
      </w:r>
      <w:r>
        <w:rPr>
          <w:rFonts w:eastAsia="Times New Roman" w:cs="Times New Roman"/>
          <w:b w:val="0"/>
          <w:bCs w:val="0"/>
          <w:color w:val="000000"/>
          <w:sz w:val="28"/>
          <w:szCs w:val="20"/>
          <w:highlight w:val="white"/>
          <w:shd w:val="clear" w:color="auto" w:fill="ffff00"/>
          <w:lang w:val="ru-RU" w:eastAsia="ru-RU" w:bidi="ar-SA"/>
        </w:rPr>
        <w:t xml:space="preserve">стихийных бедствий и</w:t>
      </w:r>
      <w:r>
        <w:rPr>
          <w:sz w:val="28"/>
          <w:szCs w:val="28"/>
          <w:highlight w:val="white"/>
          <w:lang w:val="ru-RU" w:eastAsia="ru-RU" w:bidi="ar-SA"/>
        </w:rPr>
        <w:t xml:space="preserve"> (или) других чрезвы</w:t>
      </w:r>
      <w:r>
        <w:rPr>
          <w:sz w:val="28"/>
          <w:szCs w:val="28"/>
          <w:highlight w:val="white"/>
          <w:lang w:val="ru-RU" w:eastAsia="ru-RU" w:bidi="ar-SA"/>
        </w:rPr>
        <w:t xml:space="preserve">чайных ситуаций</w:t>
      </w:r>
      <w:r>
        <w:rPr>
          <w:sz w:val="28"/>
          <w:szCs w:val="28"/>
          <w:highlight w:val="white"/>
        </w:rPr>
        <w:t xml:space="preserve"> согласно приложению к настоящ</w:t>
      </w:r>
      <w:r>
        <w:rPr>
          <w:sz w:val="28"/>
          <w:szCs w:val="28"/>
          <w:highlight w:val="white"/>
        </w:rPr>
        <w:t xml:space="preserve">им П</w:t>
      </w:r>
      <w:r>
        <w:rPr>
          <w:sz w:val="28"/>
          <w:szCs w:val="28"/>
          <w:highlight w:val="white"/>
        </w:rPr>
        <w:t xml:space="preserve">равилам;</w:t>
      </w:r>
      <w:bookmarkStart w:id="5" w:name="P163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18"/>
        <w:ind w:firstLine="709"/>
        <w:jc w:val="both"/>
        <w:spacing w:before="0" w:after="0" w:line="240" w:lineRule="auto"/>
        <w:rPr>
          <w:highlight w:val="white"/>
        </w:rPr>
      </w:pPr>
      <w:r>
        <w:rPr>
          <w:highlight w:val="white"/>
        </w:rPr>
      </w:r>
      <w:bookmarkEnd w:id="5"/>
      <w:r>
        <w:rPr>
          <w:rFonts w:ascii="Times New Roman" w:hAnsi="Times New Roman"/>
          <w:sz w:val="28"/>
          <w:szCs w:val="28"/>
          <w:highlight w:val="white"/>
        </w:rPr>
        <w:t xml:space="preserve">2) развертывание и содержание в течение необходимого срока (но не более 6 месяцев) пунктов временного размещения и питания для эвакуируемых граждан.</w:t>
      </w:r>
      <w:r>
        <w:rPr>
          <w:highlight w:val="white"/>
        </w:rPr>
      </w:r>
    </w:p>
    <w:p>
      <w:pPr>
        <w:pStyle w:val="818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Иные межбюджетные трансферты предоставляются в пределах лимитов бюджетных обязательств, доведенных до Министерства </w:t>
      </w:r>
      <w:r>
        <w:rPr>
          <w:rFonts w:ascii="Times New Roman" w:hAnsi="Times New Roman"/>
          <w:sz w:val="28"/>
          <w:szCs w:val="28"/>
        </w:rPr>
        <w:t xml:space="preserve">по чрезвычайным ситуациям</w:t>
      </w:r>
      <w:r>
        <w:rPr>
          <w:rFonts w:ascii="Times New Roman" w:hAnsi="Times New Roman"/>
          <w:sz w:val="28"/>
          <w:szCs w:val="28"/>
        </w:rPr>
        <w:t xml:space="preserve"> Камчатского края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Министерство) как получателя средств краевого бюджета, на предоставление иных межбюджетных трансфертов на цели, указанные в </w:t>
      </w:r>
      <w:hyperlink w:tooltip="#P49" w:anchor="P49" w:history="1">
        <w:r>
          <w:rPr>
            <w:rFonts w:ascii="Times New Roman" w:hAnsi="Times New Roman"/>
            <w:sz w:val="28"/>
            <w:szCs w:val="28"/>
          </w:rPr>
          <w:t xml:space="preserve">части 2</w:t>
        </w:r>
      </w:hyperlink>
      <w:r>
        <w:rPr>
          <w:rFonts w:ascii="Times New Roman" w:hAnsi="Times New Roman"/>
          <w:sz w:val="28"/>
          <w:szCs w:val="28"/>
        </w:rPr>
        <w:t xml:space="preserve"> настоящих Правил.</w:t>
      </w:r>
      <w:r/>
    </w:p>
    <w:p>
      <w:pPr>
        <w:pStyle w:val="818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Объем бюджетных ассигнований краевого бюджета, выделяемых для предоставления иных межбюджетных трансфертов на цели, указанные в </w:t>
      </w:r>
      <w:hyperlink w:tooltip="#P49" w:anchor="P49" w:history="1">
        <w:r>
          <w:rPr>
            <w:rFonts w:ascii="Times New Roman" w:hAnsi="Times New Roman"/>
            <w:sz w:val="28"/>
            <w:szCs w:val="28"/>
          </w:rPr>
          <w:t xml:space="preserve">части 2</w:t>
        </w:r>
      </w:hyperlink>
      <w:r>
        <w:rPr>
          <w:rFonts w:ascii="Times New Roman" w:hAnsi="Times New Roman"/>
          <w:sz w:val="28"/>
          <w:szCs w:val="28"/>
        </w:rPr>
        <w:t xml:space="preserve"> настоящих</w:t>
      </w:r>
      <w:r>
        <w:rPr>
          <w:rFonts w:ascii="Times New Roman" w:hAnsi="Times New Roman"/>
          <w:sz w:val="28"/>
          <w:szCs w:val="28"/>
        </w:rPr>
        <w:t xml:space="preserve"> Правил, устанавливается распоряжением Правительства Камчатского края об использовании бюджетных ассигнований резервного фонда Правительства Камчатского края на основании заявки о потребности в бюджетных ассигнованиях с приложением документов, указанных в </w:t>
      </w:r>
      <w:hyperlink w:tooltip="#P64" w:anchor="P64" w:history="1">
        <w:r>
          <w:rPr>
            <w:rFonts w:ascii="Times New Roman" w:hAnsi="Times New Roman"/>
            <w:sz w:val="28"/>
            <w:szCs w:val="28"/>
          </w:rPr>
          <w:t xml:space="preserve">части </w:t>
        </w:r>
        <w:r>
          <w:rPr>
            <w:rFonts w:ascii="Times New Roman" w:hAnsi="Times New Roman"/>
            <w:sz w:val="28"/>
            <w:szCs w:val="28"/>
          </w:rPr>
          <w:t xml:space="preserve">8</w:t>
        </w:r>
      </w:hyperlink>
      <w:r>
        <w:rPr>
          <w:rFonts w:ascii="Times New Roman" w:hAnsi="Times New Roman"/>
          <w:sz w:val="28"/>
          <w:szCs w:val="28"/>
        </w:rPr>
        <w:t xml:space="preserve"> настоящих Правил.</w:t>
      </w:r>
      <w:r/>
    </w:p>
    <w:p>
      <w:pPr>
        <w:pStyle w:val="818"/>
        <w:ind w:firstLine="709"/>
        <w:jc w:val="both"/>
        <w:spacing w:before="0" w:after="0"/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ловиями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иных межбюджетных трансфертов являются:</w:t>
      </w:r>
      <w:r/>
    </w:p>
    <w:p>
      <w:pPr>
        <w:pStyle w:val="818"/>
        <w:ind w:firstLine="709"/>
        <w:jc w:val="both"/>
      </w:pP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1) для подпункта 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части 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2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 настоящих Правил </w:t>
      </w:r>
      <w:r>
        <w:rPr>
          <w:rStyle w:val="782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–</w:t>
      </w:r>
      <w:r>
        <w:rPr>
          <w:rStyle w:val="782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наличие действующего на территории муниципального образования режима функционирования «Чрезвычайная ситуация»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;</w:t>
      </w:r>
      <w:r/>
    </w:p>
    <w:p>
      <w:pPr>
        <w:pStyle w:val="818"/>
        <w:ind w:firstLine="709"/>
        <w:jc w:val="both"/>
      </w:pP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2)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для подпункта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настоящих Правил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782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наличие действующего на территории муниципального образования режима функционирования «Повышенная готовность» или режима «Чрезвычайная ситуация»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/>
    </w:p>
    <w:p>
      <w:pPr>
        <w:pStyle w:val="818"/>
        <w:ind w:firstLine="709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3) заключение соглашения о предоставлении иных межбюджетных трансфертов между Министерством и муниципальным образованием в соответствии с </w:t>
      </w:r>
      <w:hyperlink r:id="rId15" w:tooltip="file:///D:/Мои%20документы/Загрузка/соглашение).#P57" w:anchor="P57" w:history="1">
        <w:r>
          <w:rPr>
            <w:rFonts w:ascii="Times New Roman" w:hAnsi="Times New Roman"/>
            <w:b w:val="0"/>
            <w:bCs w:val="0"/>
            <w:sz w:val="28"/>
            <w:szCs w:val="28"/>
          </w:rPr>
          <w:t xml:space="preserve">частью </w:t>
        </w:r>
      </w:hyperlink>
      <w:r>
        <w:rPr>
          <w:rFonts w:ascii="Times New Roman" w:hAnsi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настоящих Правил.</w:t>
      </w:r>
      <w:bookmarkStart w:id="6" w:name="P57"/>
      <w:r/>
      <w:r/>
    </w:p>
    <w:p>
      <w:pPr>
        <w:pStyle w:val="818"/>
        <w:ind w:firstLine="709"/>
        <w:jc w:val="both"/>
      </w:pPr>
      <w:r/>
      <w:bookmarkEnd w:id="6"/>
      <w:r>
        <w:rPr>
          <w:rFonts w:ascii="Times New Roman" w:hAnsi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Предоставление иных межбюджетных трансфертов осуществляется на основании соглашения, указанного в </w:t>
      </w:r>
      <w:hyperlink w:tooltip="#P56" w:anchor="P56" w:history="1">
        <w:r>
          <w:rPr>
            <w:rFonts w:ascii="Times New Roman" w:hAnsi="Times New Roman"/>
            <w:b w:val="0"/>
            <w:bCs w:val="0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b w:val="0"/>
            <w:bCs w:val="0"/>
            <w:sz w:val="28"/>
            <w:szCs w:val="28"/>
            <w:lang w:val="ru-RU" w:eastAsia="ru-RU" w:bidi="ar-SA"/>
          </w:rPr>
          <w:t xml:space="preserve">3 части 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5 настоящих Правил, заключенного с использов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анием государственной информационной системы Камчатского края «Модифицированная программа для ЭВМ «Управление мастер-данными организации» в соответствии с типовой формой соглашения, утвержденной Министерством финансов Камчатского края (далее - соглашение).</w:t>
      </w:r>
      <w:r/>
    </w:p>
    <w:p>
      <w:pPr>
        <w:pStyle w:val="818"/>
        <w:ind w:firstLine="709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Размер иных межбюджетных трансфертов (Pi), предоставляемых бюдже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ту (i) муниципального образования из краевого бюджета, источником финансового обеспечения которых являются бюджетные ассигнования резервного фонда Правительства Камчатского края на финансовое обеспечение или возмещение непредвиденных расходов, связанных с </w:t>
      </w:r>
      <w:r>
        <w:rPr>
          <w:rFonts w:eastAsia="Times New Roman" w:cs="Times New Roman"/>
          <w:b w:val="0"/>
          <w:bCs w:val="0"/>
          <w:color w:val="000000"/>
          <w:sz w:val="28"/>
          <w:szCs w:val="20"/>
          <w:highlight w:val="white"/>
          <w:lang w:val="ru-RU" w:eastAsia="ru-RU" w:bidi="ar-SA"/>
        </w:rPr>
        <w:t xml:space="preserve">проведением аварийно-спасательных и иных мероприятий, направленных на предупреждение и ликвидацию последствий стихийных бедствий и (или) других чрезвычайных ситуаций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рассчитывается по формуле:</w:t>
      </w:r>
      <w:r/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left="0" w:right="0" w:firstLine="0"/>
        <w:jc w:val="center"/>
        <w:spacing w:before="0" w:after="0" w:line="240" w:lineRule="auto"/>
        <w:widowControl w:val="off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Pi = Пi - СМБi, где: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  <w:spacing w:before="0" w:after="0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Пi - потребность в бюджетных средствах на реализацию цели, предусмотренной </w:t>
      </w:r>
      <w:hyperlink w:tooltip="#P49" w:anchor="P49" w:history="1">
        <w:r>
          <w:rPr>
            <w:rFonts w:ascii="Times New Roman" w:hAnsi="Times New Roman"/>
            <w:b w:val="0"/>
            <w:bCs w:val="0"/>
            <w:sz w:val="28"/>
            <w:szCs w:val="28"/>
          </w:rPr>
          <w:t xml:space="preserve">частью 2</w:t>
        </w:r>
      </w:hyperlink>
      <w:r>
        <w:rPr>
          <w:rFonts w:ascii="Times New Roman" w:hAnsi="Times New Roman"/>
          <w:b w:val="0"/>
          <w:bCs w:val="0"/>
          <w:sz w:val="28"/>
          <w:szCs w:val="28"/>
        </w:rPr>
        <w:t xml:space="preserve"> настоящих Правил;</w:t>
      </w:r>
      <w:r/>
    </w:p>
    <w:p>
      <w:pPr>
        <w:pStyle w:val="818"/>
        <w:ind w:firstLine="709"/>
        <w:jc w:val="both"/>
        <w:spacing w:before="0" w:after="0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СМБi - размер средств, направляемый местной администраци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ей за счет местного бюджета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на заявленные в обращении цели для финансового обеспечения или возмещения непредвиденных расходов, связанных с </w:t>
      </w:r>
      <w:r>
        <w:rPr>
          <w:rFonts w:eastAsia="Times New Roman" w:cs="Times New Roman"/>
          <w:b w:val="0"/>
          <w:bCs w:val="0"/>
          <w:color w:val="000000"/>
          <w:sz w:val="28"/>
          <w:szCs w:val="20"/>
          <w:highlight w:val="white"/>
          <w:lang w:val="ru-RU" w:eastAsia="ru-RU" w:bidi="ar-SA"/>
        </w:rPr>
        <w:t xml:space="preserve">проведением аварийно-спасательных и иных мероприятий, направленных на предупреждение и ликвидацию последствий стихийных бедствий и (или) других чрезвычайных ситуаций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на дату обращения муниципального образования в Правительство Камчатского края с просьбой о выделении средств из резервного фонда Правительства Камчатского края муниципальному образованию.</w:t>
      </w:r>
      <w:r/>
    </w:p>
    <w:p>
      <w:pPr>
        <w:pStyle w:val="818"/>
        <w:ind w:firstLine="709"/>
        <w:jc w:val="both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8.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целях заключения соглашения муниципальные образования представляют в Министерство следующие документы: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1)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копию документа уполномоченного органа, подтверждающего факт возникновения опасного природного явления или наличия иного источника чрезвычайной ситуации; 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2)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копию решения главы местной администрации муниципального образования о введении режима функционирования «Повышенная готовность» или режима функционирования «Чрезвычайная ситуация» на территории муниципального образования, заверенн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в установленном порядке;</w:t>
      </w:r>
      <w:r/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3)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копии протоколов или решений заседания комиссии по предупреждению и ликвидации чрезвычайных ситуаций и обеспечению пожарной безопасности муниципального образования (с указанием необходимости проведения заявляемых видов работ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(оказываемых услуг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/поставленных товаров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заверенные в установленном порядке;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4)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обоснование стоимости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произведенных (планируемых) затрат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утвержденное главой муниципального образования;</w:t>
      </w:r>
      <w:r/>
    </w:p>
    <w:p>
      <w:pPr>
        <w:pStyle w:val="818"/>
        <w:ind w:firstLine="709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фотоматериалы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(при наличии)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;</w:t>
      </w:r>
      <w:r/>
    </w:p>
    <w:p>
      <w:pPr>
        <w:pStyle w:val="818"/>
        <w:ind w:firstLine="709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копи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ю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муниципального контракта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проведени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заявляемых видов работ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(оказываемые услуги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/поставл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яемые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товар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ы)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заверенную в установленном порядке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(при наличии)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;</w:t>
      </w:r>
      <w:r/>
    </w:p>
    <w:p>
      <w:pPr>
        <w:pStyle w:val="818"/>
        <w:ind w:firstLine="709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9. Перечисление иных межбюджетных трансфертов осуществляется на единый счет бюджета, открытый финансовому органу муниципального образования в территориальном органе Федерального казначейства.</w:t>
      </w:r>
      <w:r/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10. Результатом предоставления иных межбюджетных трансфертов является: 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10.1.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По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направлению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роведение аварийно-спасательных работ»: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</w:pP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- 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к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оличество спасенных граждан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и лиц, которым оказана экстренная медицинская или психологическая помощь в зоне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чрезвычайной ситуации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;</w:t>
      </w:r>
      <w:r/>
    </w:p>
    <w:p>
      <w:pPr>
        <w:pStyle w:val="818"/>
        <w:ind w:firstLine="709"/>
        <w:jc w:val="both"/>
      </w:pP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- 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п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лощадь или количество объектов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на которых полностью проведены неотложные аварийно-спасательные работы;</w:t>
      </w:r>
      <w:r/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- </w:t>
      </w: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к</w:t>
      </w:r>
      <w:r>
        <w:rPr>
          <w:rStyle w:val="782"/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оличество привлеченных сил и единиц техники звеньев территориальной подсистемы РСЧС, финансовое обеспечение которых осуществлено за счет средств </w:t>
      </w:r>
      <w:r>
        <w:rPr>
          <w:rStyle w:val="782"/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иного межбюджетного </w:t>
      </w:r>
      <w:r>
        <w:rPr>
          <w:rStyle w:val="782"/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трансферта.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10.2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о направлению «</w:t>
      </w:r>
      <w:r>
        <w:rPr>
          <w:rStyle w:val="782"/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развертывание и содержание пунктов временного размещения и питания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»:</w:t>
      </w:r>
      <w:r/>
    </w:p>
    <w:p>
      <w:pPr>
        <w:pStyle w:val="818"/>
        <w:ind w:firstLine="709"/>
        <w:jc w:val="both"/>
      </w:pPr>
      <w:r>
        <w:rPr>
          <w:rStyle w:val="782"/>
          <w:rFonts w:ascii="Times New Roman" w:hAnsi="Times New Roman"/>
          <w:b w:val="0"/>
          <w:bCs w:val="0"/>
          <w:sz w:val="28"/>
          <w:szCs w:val="28"/>
        </w:rPr>
        <w:t xml:space="preserve">- количество развернутых пунктов временного размещения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приведенных в полную готовность и укомплектованных по табелю положенности;</w:t>
      </w:r>
      <w:r/>
    </w:p>
    <w:p>
      <w:pPr>
        <w:pStyle w:val="818"/>
        <w:ind w:firstLine="709"/>
        <w:jc w:val="both"/>
      </w:pPr>
      <w:r>
        <w:rPr>
          <w:rStyle w:val="782"/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- количество человеко-дней фактического проживания и питания граждан, которым оказана своевременная помощь. </w:t>
      </w:r>
      <w:r/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shd w:val="clear" w:color="auto" w:fill="auto"/>
        </w:rPr>
        <w:t xml:space="preserve">Значение р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auto"/>
        </w:rPr>
        <w:t xml:space="preserve">езультат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auto"/>
        </w:rPr>
        <w:t xml:space="preserve">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предоставления иных межбюджетных трансфертов устанавливается в соглашении.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Оценка эффективности предоставления ины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х межбюджетных трансфертов осуществляется Министерством путем сравнения установленных соглашением плановых значений результатов предоставления иных межбюджетных трансфертов и фактически достигнутых значений указанных результатов по итогам финансового года.</w:t>
      </w:r>
      <w:bookmarkStart w:id="7" w:name="P75"/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/>
      <w:bookmarkEnd w:id="7"/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Сроки, порядок и формы отчетов о расходах бюджета муниципального образования, в целях софинансирования которых предоставля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тся ин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межбюджетны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трансферт, и о достижении значений результатов их предоставления определяются соглашением.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3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Ответственность за достоверность представляемых в Министерство документов, указанных в </w:t>
      </w:r>
      <w:hyperlink w:tooltip="#P64" w:anchor="P64" w:history="1">
        <w:r>
          <w:rPr>
            <w:rFonts w:ascii="Times New Roman" w:hAnsi="Times New Roman"/>
            <w:b w:val="0"/>
            <w:bCs w:val="0"/>
            <w:sz w:val="28"/>
            <w:szCs w:val="28"/>
          </w:rPr>
          <w:t xml:space="preserve">части </w:t>
        </w:r>
        <w:r>
          <w:rPr>
            <w:rFonts w:ascii="Times New Roman" w:hAnsi="Times New Roman"/>
            <w:b w:val="0"/>
            <w:bCs w:val="0"/>
            <w:sz w:val="28"/>
            <w:szCs w:val="28"/>
          </w:rPr>
          <w:t xml:space="preserve">8</w:t>
        </w:r>
      </w:hyperlink>
      <w:r>
        <w:rPr>
          <w:rFonts w:ascii="Times New Roman" w:hAnsi="Times New Roman"/>
          <w:b w:val="0"/>
          <w:bCs w:val="0"/>
          <w:sz w:val="28"/>
          <w:szCs w:val="28"/>
        </w:rPr>
        <w:t xml:space="preserve"> настоящих Правил, а также сведений, содержащихся в предоставляемых отчетах в соответствии с частью 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2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настоящих Правил, возлагается на главу муниципального образования (или уполномоченное должностное лицо местного самоуправления).</w:t>
      </w:r>
      <w:r/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4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Не использованные по состоянию на 1 января текущего финансового года иные межбюджетные трансферты подлежат возврату в краевой бюджет в соответствии с требованиями, установленными бюджетным законодательством Российской Федерации.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В случае если неиспользованный остаток иных межбюджетных трансфертов не перечислен в краевой бюджет, указанные средства подлежат взысканию в доход краевого бюджета в соответствии с требованиями бюджетного законодательства Российской Федерации.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В случае нецелевого использования иных межбюджетных трансфертов муниципальными образованиями в Камчатском крае применяются бюджетные меры принуждения, предусмотренные бюджетным законодательством Российской Федерации.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 Контроль за соблюдением муниципальными образованиями целей и условий предоставления иных межбюджетных трансфертов осуществляется Министерством и органами государственного финансового контроля Камчатского края.</w:t>
      </w:r>
      <w:r>
        <w:br w:type="page" w:clear="all"/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tbl>
      <w:tblPr>
        <w:tblStyle w:val="948"/>
        <w:tblW w:w="96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"/>
        <w:gridCol w:w="480"/>
        <w:gridCol w:w="481"/>
        <w:gridCol w:w="3662"/>
        <w:gridCol w:w="480"/>
        <w:gridCol w:w="1871"/>
        <w:gridCol w:w="486"/>
        <w:gridCol w:w="1699"/>
      </w:tblGrid>
      <w:tr>
        <w:tblPrEx/>
        <w:trPr>
          <w:trHeight w:val="2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pageBreakBefore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2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8"/>
                <w:highlight w:val="whit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  <w:shd w:val="clear" w:color="auto" w:fill="auto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afterAutospacing="0"/>
              <w:shd w:val="nil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Приложение 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 w:bidi="ar-SA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 w:bidi="ar-SA"/>
              </w:rPr>
              <w:t xml:space="preserve">етодик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 w:bidi="ar-SA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2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afterAutospacing="0"/>
              <w:shd w:val="nil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 w:bidi="ar-SA"/>
              </w:rPr>
              <w:t xml:space="preserve">распределения и правила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 w:bidi="ar-SA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 w:bidi="ar-SA"/>
              </w:rPr>
              <w:t xml:space="preserve"> предоставления иных межбюджетных трансфертов из краевого бюджета, источником финансового обеспечения которых являются бюджетные ассигнования резервного фонда Правительства Камчатского края, бюджетам муниципальных образований в Камч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 w:eastAsia="ru-RU" w:bidi="ar-SA"/>
              </w:rPr>
              <w:t xml:space="preserve">атском крае на финансовое обеспечение или возмещение непредвиденных расходов, связанных с проведением аварийно-спасательных и иных мероприятий, направленных на предупреждение и ликвидацию  последствий стихийных бедствий и (или) других чрезвычайных ситуаций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2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от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highlight w:val="white"/>
              </w:rPr>
              <w:t xml:space="preserve">EGDATESTAMP]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724"/>
              <w:ind w:left="8079" w:hanging="8079"/>
              <w:jc w:val="right"/>
              <w:spacing w:before="0" w:after="0" w:afterAutospacing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highlight w:val="white"/>
              </w:rPr>
              <w:t xml:space="preserve">EGNUMSTAMP]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highlight w:val="white"/>
              </w:rPr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highlight w:val="white"/>
              </w:rPr>
            </w:r>
          </w:p>
        </w:tc>
      </w:tr>
    </w:tbl>
    <w:p>
      <w:pPr>
        <w:pStyle w:val="72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18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9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еречень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9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аварийно-спасательных работ при ликвидации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9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последствий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0"/>
          <w:highlight w:val="white"/>
          <w:shd w:val="clear" w:color="auto" w:fill="ffff00"/>
          <w:lang w:val="ru-RU" w:eastAsia="ru-RU" w:bidi="ar-SA"/>
        </w:rPr>
        <w:t xml:space="preserve">стихийных бедствий и (или) других чрезвычайных ситуаций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18"/>
        <w:jc w:val="both"/>
      </w:pPr>
      <w:r/>
      <w:r/>
    </w:p>
    <w:p>
      <w:pPr>
        <w:pStyle w:val="818"/>
        <w:ind w:firstLine="0"/>
        <w:jc w:val="both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Ввод (вывод) сил и средств в зону (из зоны) чрезвычайной ситуации.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ind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Поиск пострадавших в зоне чрезвычайной ситуации.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ind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Деблокирование, извлечение и спасение пострадавших из аварийной среды.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ind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Первая помощь до оказания медицинской помощи.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ind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Локализация и ликвидация поражающих факторов источников чрезвычайной ситуации.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ind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4"/>
        <w:jc w:val="both"/>
        <w:spacing w:before="0"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3" w:right="709" w:bottom="1162" w:left="1134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roid Sans">
    <w:panose1 w:val="020B0606030804020204"/>
  </w:font>
  <w:font w:name="Open Sans">
    <w:panose1 w:val="020B0606030504020204"/>
  </w:font>
  <w:font w:name="OpenSymbol">
    <w:panose1 w:val="05010000000000000000"/>
  </w:font>
  <w:font w:name="DejaVu Sans">
    <w:panose1 w:val="020B0603030804020204"/>
  </w:font>
  <w:font w:name="Segoe UI">
    <w:panose1 w:val="020B0502040504020204"/>
  </w:font>
  <w:font w:name="Liberation Sans">
    <w:panose1 w:val="020B0604020202020204"/>
  </w:font>
  <w:font w:name="XO Thames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jc w:val="center"/>
      <w:rPr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sz w:val="24"/>
        <w:szCs w:val="24"/>
      </w:rPr>
      <w:t xml:space="preserve">7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8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link w:val="757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25">
    <w:name w:val="Heading 1"/>
    <w:next w:val="724"/>
    <w:link w:val="767"/>
    <w:uiPriority w:val="9"/>
    <w:qFormat/>
    <w:pPr>
      <w:jc w:val="both"/>
      <w:spacing w:before="120" w:beforeAutospacing="0" w:after="120" w:afterAutospacing="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ru-RU" w:bidi="ar-SA"/>
    </w:rPr>
  </w:style>
  <w:style w:type="paragraph" w:styleId="726">
    <w:name w:val="Heading 2"/>
    <w:next w:val="724"/>
    <w:link w:val="780"/>
    <w:uiPriority w:val="9"/>
    <w:qFormat/>
    <w:pPr>
      <w:jc w:val="both"/>
      <w:spacing w:before="120" w:beforeAutospacing="0" w:after="120" w:afterAutospacing="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727">
    <w:name w:val="Heading 3"/>
    <w:next w:val="724"/>
    <w:link w:val="763"/>
    <w:uiPriority w:val="9"/>
    <w:qFormat/>
    <w:pPr>
      <w:jc w:val="both"/>
      <w:spacing w:before="120" w:beforeAutospacing="0" w:after="120" w:afterAutospacing="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ru-RU" w:bidi="ar-SA"/>
    </w:rPr>
  </w:style>
  <w:style w:type="paragraph" w:styleId="728">
    <w:name w:val="Heading 4"/>
    <w:next w:val="724"/>
    <w:link w:val="779"/>
    <w:uiPriority w:val="9"/>
    <w:qFormat/>
    <w:pPr>
      <w:jc w:val="both"/>
      <w:spacing w:before="120" w:beforeAutospacing="0" w:after="120" w:afterAutospacing="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729">
    <w:name w:val="Heading 5"/>
    <w:next w:val="724"/>
    <w:link w:val="766"/>
    <w:uiPriority w:val="9"/>
    <w:qFormat/>
    <w:pPr>
      <w:jc w:val="both"/>
      <w:spacing w:before="120" w:beforeAutospacing="0" w:after="120" w:afterAutospacing="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paragraph" w:styleId="730">
    <w:name w:val="Heading 6"/>
    <w:basedOn w:val="724"/>
    <w:next w:val="724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1">
    <w:name w:val="Heading 7"/>
    <w:basedOn w:val="724"/>
    <w:next w:val="724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3">
    <w:name w:val="Heading 9"/>
    <w:basedOn w:val="724"/>
    <w:next w:val="724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4">
    <w:name w:val="Heading 1 Char"/>
    <w:basedOn w:val="756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735">
    <w:name w:val="Heading 2 Char"/>
    <w:basedOn w:val="756"/>
    <w:uiPriority w:val="9"/>
    <w:qFormat/>
    <w:rPr>
      <w:rFonts w:ascii="Liberation Sans" w:hAnsi="Liberation Sans" w:eastAsia="Liberation Sans" w:cs="Liberation Sans"/>
      <w:sz w:val="34"/>
    </w:rPr>
  </w:style>
  <w:style w:type="character" w:styleId="736">
    <w:name w:val="Heading 3 Char"/>
    <w:basedOn w:val="756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737">
    <w:name w:val="Heading 4 Char"/>
    <w:basedOn w:val="756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8">
    <w:name w:val="Heading 5 Char"/>
    <w:basedOn w:val="756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9">
    <w:name w:val="Heading 6 Char"/>
    <w:basedOn w:val="756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0">
    <w:name w:val="Heading 7 Char"/>
    <w:basedOn w:val="756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1">
    <w:name w:val="Heading 8 Char"/>
    <w:basedOn w:val="756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2">
    <w:name w:val="Heading 9 Char"/>
    <w:basedOn w:val="756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3">
    <w:name w:val="Title Char"/>
    <w:basedOn w:val="756"/>
    <w:uiPriority w:val="10"/>
    <w:qFormat/>
    <w:rPr>
      <w:sz w:val="48"/>
      <w:szCs w:val="48"/>
    </w:rPr>
  </w:style>
  <w:style w:type="character" w:styleId="744">
    <w:name w:val="Subtitle Char"/>
    <w:basedOn w:val="756"/>
    <w:uiPriority w:val="11"/>
    <w:qFormat/>
    <w:rPr>
      <w:sz w:val="24"/>
      <w:szCs w:val="24"/>
    </w:rPr>
  </w:style>
  <w:style w:type="character" w:styleId="745">
    <w:name w:val="Quote Char"/>
    <w:link w:val="790"/>
    <w:uiPriority w:val="29"/>
    <w:qFormat/>
    <w:rPr>
      <w:i/>
    </w:rPr>
  </w:style>
  <w:style w:type="character" w:styleId="746">
    <w:name w:val="Intense Quote Char"/>
    <w:link w:val="791"/>
    <w:uiPriority w:val="30"/>
    <w:qFormat/>
    <w:rPr>
      <w:i/>
    </w:rPr>
  </w:style>
  <w:style w:type="character" w:styleId="747">
    <w:name w:val="Header Char"/>
    <w:basedOn w:val="756"/>
    <w:uiPriority w:val="99"/>
    <w:qFormat/>
  </w:style>
  <w:style w:type="character" w:styleId="748">
    <w:name w:val="Footer Char"/>
    <w:basedOn w:val="756"/>
    <w:uiPriority w:val="99"/>
    <w:qFormat/>
  </w:style>
  <w:style w:type="character" w:styleId="749">
    <w:name w:val="Caption Char"/>
    <w:basedOn w:val="756"/>
    <w:uiPriority w:val="35"/>
    <w:qFormat/>
    <w:rPr>
      <w:b/>
      <w:bCs/>
      <w:color w:val="4f81bd" w:themeColor="accent1"/>
      <w:sz w:val="18"/>
      <w:szCs w:val="18"/>
    </w:rPr>
  </w:style>
  <w:style w:type="character" w:styleId="750">
    <w:name w:val="Footnote Text Char"/>
    <w:uiPriority w:val="99"/>
    <w:qFormat/>
    <w:rPr>
      <w:sz w:val="18"/>
    </w:rPr>
  </w:style>
  <w:style w:type="character" w:styleId="751">
    <w:name w:val="Символ сноски"/>
    <w:basedOn w:val="756"/>
    <w:uiPriority w:val="99"/>
    <w:unhideWhenUsed/>
    <w:qFormat/>
    <w:rPr>
      <w:vertAlign w:val="superscript"/>
    </w:rPr>
  </w:style>
  <w:style w:type="character" w:styleId="752">
    <w:name w:val="footnote reference"/>
    <w:rPr>
      <w:vertAlign w:val="superscript"/>
    </w:rPr>
  </w:style>
  <w:style w:type="character" w:styleId="753">
    <w:name w:val="Endnote Text Char"/>
    <w:uiPriority w:val="99"/>
    <w:qFormat/>
    <w:rPr>
      <w:sz w:val="20"/>
    </w:rPr>
  </w:style>
  <w:style w:type="character" w:styleId="754">
    <w:name w:val="Символ концевой сноски"/>
    <w:basedOn w:val="756"/>
    <w:uiPriority w:val="99"/>
    <w:semiHidden/>
    <w:unhideWhenUsed/>
    <w:qFormat/>
    <w:rPr>
      <w:vertAlign w:val="superscript"/>
    </w:rPr>
  </w:style>
  <w:style w:type="character" w:styleId="755">
    <w:name w:val="endnote reference"/>
    <w:rPr>
      <w:vertAlign w:val="superscript"/>
    </w:rPr>
  </w:style>
  <w:style w:type="character" w:styleId="756" w:default="1">
    <w:name w:val="Default Paragraph Font"/>
    <w:uiPriority w:val="1"/>
    <w:semiHidden/>
    <w:unhideWhenUsed/>
    <w:qFormat/>
  </w:style>
  <w:style w:type="character" w:styleId="757" w:customStyle="1">
    <w:name w:val="Обычный1"/>
    <w:qFormat/>
  </w:style>
  <w:style w:type="character" w:styleId="758" w:customStyle="1">
    <w:name w:val="Оглавление 2 Знак"/>
    <w:qFormat/>
    <w:rPr>
      <w:rFonts w:ascii="XO Thames" w:hAnsi="XO Thames"/>
      <w:sz w:val="28"/>
    </w:rPr>
  </w:style>
  <w:style w:type="character" w:styleId="759" w:customStyle="1">
    <w:name w:val="Оглавление 4 Знак"/>
    <w:qFormat/>
    <w:rPr>
      <w:rFonts w:ascii="XO Thames" w:hAnsi="XO Thames"/>
      <w:sz w:val="28"/>
    </w:rPr>
  </w:style>
  <w:style w:type="character" w:styleId="760" w:customStyle="1">
    <w:name w:val="Верхний колонтитул Знак"/>
    <w:basedOn w:val="757"/>
    <w:uiPriority w:val="99"/>
    <w:qFormat/>
  </w:style>
  <w:style w:type="character" w:styleId="761" w:customStyle="1">
    <w:name w:val="Оглавление 6 Знак"/>
    <w:qFormat/>
    <w:rPr>
      <w:rFonts w:ascii="XO Thames" w:hAnsi="XO Thames"/>
      <w:sz w:val="28"/>
    </w:rPr>
  </w:style>
  <w:style w:type="character" w:styleId="762" w:customStyle="1">
    <w:name w:val="Оглавление 7 Знак"/>
    <w:qFormat/>
    <w:rPr>
      <w:rFonts w:ascii="XO Thames" w:hAnsi="XO Thames"/>
      <w:sz w:val="28"/>
    </w:rPr>
  </w:style>
  <w:style w:type="character" w:styleId="763" w:customStyle="1">
    <w:name w:val="Заголовок 3 Знак"/>
    <w:qFormat/>
    <w:rPr>
      <w:rFonts w:ascii="XO Thames" w:hAnsi="XO Thames"/>
      <w:b/>
      <w:sz w:val="26"/>
    </w:rPr>
  </w:style>
  <w:style w:type="character" w:styleId="764" w:customStyle="1">
    <w:name w:val="Текст Знак"/>
    <w:basedOn w:val="757"/>
    <w:link w:val="805"/>
    <w:qFormat/>
    <w:rPr>
      <w:rFonts w:ascii="Calibri" w:hAnsi="Calibri"/>
    </w:rPr>
  </w:style>
  <w:style w:type="character" w:styleId="765" w:customStyle="1">
    <w:name w:val="Оглавление 3 Знак"/>
    <w:qFormat/>
    <w:rPr>
      <w:rFonts w:ascii="XO Thames" w:hAnsi="XO Thames"/>
      <w:sz w:val="28"/>
    </w:rPr>
  </w:style>
  <w:style w:type="character" w:styleId="766" w:customStyle="1">
    <w:name w:val="Заголовок 5 Знак"/>
    <w:qFormat/>
    <w:rPr>
      <w:rFonts w:ascii="XO Thames" w:hAnsi="XO Thames"/>
      <w:b/>
      <w:sz w:val="22"/>
    </w:rPr>
  </w:style>
  <w:style w:type="character" w:styleId="767" w:customStyle="1">
    <w:name w:val="Заголовок 1 Знак"/>
    <w:qFormat/>
    <w:rPr>
      <w:rFonts w:ascii="XO Thames" w:hAnsi="XO Thames"/>
      <w:b/>
      <w:sz w:val="32"/>
    </w:rPr>
  </w:style>
  <w:style w:type="character" w:styleId="768">
    <w:name w:val="Hyperlink"/>
    <w:basedOn w:val="756"/>
    <w:link w:val="807"/>
    <w:rPr>
      <w:color w:val="0563c1" w:themeColor="hyperlink"/>
      <w:u w:val="single"/>
    </w:rPr>
  </w:style>
  <w:style w:type="character" w:styleId="769" w:customStyle="1">
    <w:name w:val="Footnote"/>
    <w:link w:val="808"/>
    <w:qFormat/>
    <w:rPr>
      <w:rFonts w:ascii="XO Thames" w:hAnsi="XO Thames"/>
      <w:sz w:val="22"/>
    </w:rPr>
  </w:style>
  <w:style w:type="character" w:styleId="770" w:customStyle="1">
    <w:name w:val="Оглавление 1 Знак"/>
    <w:qFormat/>
    <w:rPr>
      <w:rFonts w:ascii="XO Thames" w:hAnsi="XO Thames"/>
      <w:b/>
      <w:sz w:val="28"/>
    </w:rPr>
  </w:style>
  <w:style w:type="character" w:styleId="771" w:customStyle="1">
    <w:name w:val="Header and Footer"/>
    <w:link w:val="800"/>
    <w:qFormat/>
    <w:rPr>
      <w:rFonts w:ascii="XO Thames" w:hAnsi="XO Thames"/>
      <w:sz w:val="20"/>
    </w:rPr>
  </w:style>
  <w:style w:type="character" w:styleId="772" w:customStyle="1">
    <w:name w:val="Оглавление 9 Знак"/>
    <w:qFormat/>
    <w:rPr>
      <w:rFonts w:ascii="XO Thames" w:hAnsi="XO Thames"/>
      <w:sz w:val="28"/>
    </w:rPr>
  </w:style>
  <w:style w:type="character" w:styleId="773" w:customStyle="1">
    <w:name w:val="Оглавление 8 Знак"/>
    <w:qFormat/>
    <w:rPr>
      <w:rFonts w:ascii="XO Thames" w:hAnsi="XO Thames"/>
      <w:sz w:val="28"/>
    </w:rPr>
  </w:style>
  <w:style w:type="character" w:styleId="774" w:customStyle="1">
    <w:name w:val="Оглавление 5 Знак"/>
    <w:qFormat/>
    <w:rPr>
      <w:rFonts w:ascii="XO Thames" w:hAnsi="XO Thames"/>
      <w:sz w:val="28"/>
    </w:rPr>
  </w:style>
  <w:style w:type="character" w:styleId="775" w:customStyle="1">
    <w:name w:val="Подзаголовок Знак"/>
    <w:qFormat/>
    <w:rPr>
      <w:rFonts w:ascii="XO Thames" w:hAnsi="XO Thames"/>
      <w:i/>
      <w:sz w:val="24"/>
    </w:rPr>
  </w:style>
  <w:style w:type="character" w:styleId="776" w:customStyle="1">
    <w:name w:val="Нижний колонтитул Знак"/>
    <w:basedOn w:val="757"/>
    <w:qFormat/>
    <w:rPr>
      <w:rFonts w:ascii="Times New Roman" w:hAnsi="Times New Roman"/>
      <w:sz w:val="28"/>
    </w:rPr>
  </w:style>
  <w:style w:type="character" w:styleId="777" w:customStyle="1">
    <w:name w:val="Название Знак"/>
    <w:qFormat/>
    <w:rPr>
      <w:rFonts w:ascii="XO Thames" w:hAnsi="XO Thames"/>
      <w:b/>
      <w:caps/>
      <w:sz w:val="40"/>
    </w:rPr>
  </w:style>
  <w:style w:type="character" w:styleId="778" w:customStyle="1">
    <w:name w:val="Текст выноски Знак"/>
    <w:basedOn w:val="757"/>
    <w:link w:val="817"/>
    <w:qFormat/>
    <w:rPr>
      <w:rFonts w:ascii="Segoe UI" w:hAnsi="Segoe UI"/>
      <w:sz w:val="18"/>
    </w:rPr>
  </w:style>
  <w:style w:type="character" w:styleId="779" w:customStyle="1">
    <w:name w:val="Заголовок 4 Знак"/>
    <w:qFormat/>
    <w:rPr>
      <w:rFonts w:ascii="XO Thames" w:hAnsi="XO Thames"/>
      <w:b/>
      <w:sz w:val="24"/>
    </w:rPr>
  </w:style>
  <w:style w:type="character" w:styleId="780" w:customStyle="1">
    <w:name w:val="Заголовок 2 Знак"/>
    <w:qFormat/>
    <w:rPr>
      <w:rFonts w:ascii="XO Thames" w:hAnsi="XO Thames"/>
      <w:b/>
      <w:sz w:val="28"/>
    </w:rPr>
  </w:style>
  <w:style w:type="character" w:styleId="781">
    <w:name w:val="Маркеры"/>
    <w:qFormat/>
    <w:rPr>
      <w:rFonts w:ascii="OpenSymbol" w:hAnsi="OpenSymbol" w:eastAsia="OpenSymbol" w:cs="OpenSymbol"/>
    </w:rPr>
  </w:style>
  <w:style w:type="character" w:styleId="782">
    <w:name w:val="Strong"/>
    <w:qFormat/>
    <w:rPr>
      <w:b/>
      <w:bCs/>
    </w:rPr>
  </w:style>
  <w:style w:type="paragraph" w:styleId="783">
    <w:name w:val="Заголовок"/>
    <w:basedOn w:val="724"/>
    <w:next w:val="784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784">
    <w:name w:val="Body Text"/>
    <w:basedOn w:val="724"/>
    <w:pPr>
      <w:spacing w:before="0" w:after="140" w:line="276" w:lineRule="auto"/>
    </w:pPr>
  </w:style>
  <w:style w:type="paragraph" w:styleId="785">
    <w:name w:val="List"/>
    <w:basedOn w:val="784"/>
    <w:rPr>
      <w:rFonts w:cs="Droid Sans"/>
    </w:rPr>
  </w:style>
  <w:style w:type="paragraph" w:styleId="786">
    <w:name w:val="Caption"/>
    <w:basedOn w:val="724"/>
    <w:next w:val="724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7">
    <w:name w:val="Указатель"/>
    <w:basedOn w:val="724"/>
    <w:qFormat/>
    <w:pPr>
      <w:suppressLineNumbers/>
    </w:pPr>
    <w:rPr>
      <w:rFonts w:cs="Droid Sans"/>
    </w:rPr>
  </w:style>
  <w:style w:type="paragraph" w:styleId="788">
    <w:name w:val="List Paragraph"/>
    <w:basedOn w:val="724"/>
    <w:uiPriority w:val="34"/>
    <w:qFormat/>
    <w:pPr>
      <w:contextualSpacing/>
      <w:ind w:left="720"/>
      <w:spacing w:before="0" w:after="160"/>
    </w:pPr>
  </w:style>
  <w:style w:type="paragraph" w:styleId="789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0">
    <w:name w:val="Quote"/>
    <w:basedOn w:val="724"/>
    <w:next w:val="724"/>
    <w:link w:val="745"/>
    <w:uiPriority w:val="29"/>
    <w:qFormat/>
    <w:pPr>
      <w:ind w:left="720" w:right="720"/>
    </w:pPr>
    <w:rPr>
      <w:i/>
    </w:rPr>
  </w:style>
  <w:style w:type="paragraph" w:styleId="791">
    <w:name w:val="Intense Quote"/>
    <w:basedOn w:val="724"/>
    <w:next w:val="724"/>
    <w:link w:val="746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2">
    <w:name w:val="footnote text"/>
    <w:basedOn w:val="724"/>
    <w:link w:val="75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93">
    <w:name w:val="endnote text"/>
    <w:basedOn w:val="724"/>
    <w:link w:val="75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94">
    <w:name w:val="index heading1"/>
    <w:basedOn w:val="783"/>
    <w:qFormat/>
  </w:style>
  <w:style w:type="paragraph" w:styleId="795">
    <w:name w:val="Index Heading"/>
    <w:basedOn w:val="783"/>
  </w:style>
  <w:style w:type="paragraph" w:styleId="796">
    <w:name w:val="TOC Heading"/>
    <w:uiPriority w:val="39"/>
    <w:unhideWhenUsed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7">
    <w:name w:val="table of figures"/>
    <w:basedOn w:val="724"/>
    <w:next w:val="724"/>
    <w:uiPriority w:val="99"/>
    <w:unhideWhenUsed/>
    <w:pPr>
      <w:spacing w:before="0" w:after="0" w:afterAutospacing="0"/>
    </w:pPr>
  </w:style>
  <w:style w:type="paragraph" w:styleId="798">
    <w:name w:val="toc 2"/>
    <w:next w:val="724"/>
    <w:link w:val="758"/>
    <w:uiPriority w:val="39"/>
    <w:pPr>
      <w:ind w:left="2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799">
    <w:name w:val="toc 4"/>
    <w:next w:val="724"/>
    <w:link w:val="759"/>
    <w:uiPriority w:val="39"/>
    <w:pPr>
      <w:ind w:left="6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00" w:customStyle="1">
    <w:name w:val="Header and Footer1"/>
    <w:qFormat/>
    <w:pPr>
      <w:jc w:val="both"/>
      <w:spacing w:before="0" w:beforeAutospacing="0" w:after="160" w:afterAutospacing="0" w:line="240" w:lineRule="auto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ru-RU" w:bidi="ar-SA"/>
    </w:rPr>
  </w:style>
  <w:style w:type="paragraph" w:styleId="801">
    <w:name w:val="Колонтитул"/>
    <w:basedOn w:val="724"/>
    <w:qFormat/>
  </w:style>
  <w:style w:type="paragraph" w:styleId="802">
    <w:name w:val="Header"/>
    <w:basedOn w:val="724"/>
    <w:link w:val="760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3">
    <w:name w:val="toc 6"/>
    <w:next w:val="724"/>
    <w:link w:val="761"/>
    <w:uiPriority w:val="39"/>
    <w:pPr>
      <w:ind w:left="10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04">
    <w:name w:val="toc 7"/>
    <w:next w:val="724"/>
    <w:link w:val="762"/>
    <w:uiPriority w:val="39"/>
    <w:pPr>
      <w:ind w:left="12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05">
    <w:name w:val="Plain Text"/>
    <w:basedOn w:val="724"/>
    <w:link w:val="764"/>
    <w:qFormat/>
    <w:pPr>
      <w:spacing w:before="0" w:after="0" w:line="240" w:lineRule="auto"/>
    </w:pPr>
    <w:rPr>
      <w:rFonts w:ascii="Calibri" w:hAnsi="Calibri"/>
    </w:rPr>
  </w:style>
  <w:style w:type="paragraph" w:styleId="806">
    <w:name w:val="toc 3"/>
    <w:next w:val="724"/>
    <w:link w:val="765"/>
    <w:uiPriority w:val="39"/>
    <w:pPr>
      <w:ind w:left="4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07" w:customStyle="1">
    <w:name w:val="Гиперссылка1"/>
    <w:basedOn w:val="810"/>
    <w:qFormat/>
    <w:rPr>
      <w:color w:val="0563c1" w:themeColor="hyperlink"/>
      <w:u w:val="single"/>
    </w:rPr>
  </w:style>
  <w:style w:type="paragraph" w:styleId="808" w:customStyle="1">
    <w:name w:val="Footnote1"/>
    <w:link w:val="769"/>
    <w:qFormat/>
    <w:pPr>
      <w:ind w:firstLine="851"/>
      <w:jc w:val="both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809">
    <w:name w:val="toc 1"/>
    <w:next w:val="724"/>
    <w:link w:val="770"/>
    <w:uiPriority w:val="39"/>
    <w:pPr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810" w:customStyle="1">
    <w:name w:val="Основной шрифт абзаца1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811">
    <w:name w:val="toc 9"/>
    <w:next w:val="724"/>
    <w:link w:val="772"/>
    <w:uiPriority w:val="39"/>
    <w:pPr>
      <w:ind w:left="16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12">
    <w:name w:val="toc 8"/>
    <w:next w:val="724"/>
    <w:link w:val="773"/>
    <w:uiPriority w:val="39"/>
    <w:pPr>
      <w:ind w:left="14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13">
    <w:name w:val="toc 5"/>
    <w:next w:val="724"/>
    <w:link w:val="774"/>
    <w:uiPriority w:val="39"/>
    <w:pPr>
      <w:ind w:left="8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14">
    <w:name w:val="Subtitle"/>
    <w:next w:val="724"/>
    <w:link w:val="775"/>
    <w:uiPriority w:val="11"/>
    <w:qFormat/>
    <w:pPr>
      <w:jc w:val="both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ru-RU" w:bidi="ar-SA"/>
    </w:rPr>
  </w:style>
  <w:style w:type="paragraph" w:styleId="815">
    <w:name w:val="Footer"/>
    <w:basedOn w:val="724"/>
    <w:link w:val="776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16">
    <w:name w:val="Title"/>
    <w:next w:val="724"/>
    <w:link w:val="777"/>
    <w:uiPriority w:val="10"/>
    <w:qFormat/>
    <w:pPr>
      <w:jc w:val="center"/>
      <w:spacing w:before="567" w:beforeAutospacing="0" w:after="567" w:afterAutospacing="0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ru-RU" w:bidi="ar-SA"/>
    </w:rPr>
  </w:style>
  <w:style w:type="paragraph" w:styleId="817">
    <w:name w:val="Balloon Text"/>
    <w:basedOn w:val="724"/>
    <w:link w:val="778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18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0"/>
      <w:lang w:val="ru-RU" w:eastAsia="ru-RU" w:bidi="ar-SA"/>
    </w:rPr>
  </w:style>
  <w:style w:type="paragraph" w:styleId="819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b/>
      <w:color w:val="000000"/>
      <w:sz w:val="24"/>
      <w:szCs w:val="20"/>
      <w:lang w:val="ru-RU" w:eastAsia="ru-RU" w:bidi="ar-SA"/>
    </w:rPr>
  </w:style>
  <w:style w:type="numbering" w:styleId="820">
    <w:name w:val="No List"/>
    <w:uiPriority w:val="99"/>
    <w:semiHidden/>
    <w:unhideWhenUsed/>
    <w:qFormat/>
  </w:style>
  <w:style w:type="numbering" w:styleId="821" w:default="1">
    <w:name w:val="Без списка"/>
    <w:uiPriority w:val="99"/>
    <w:semiHidden/>
    <w:unhideWhenUsed/>
    <w:qFormat/>
  </w:style>
  <w:style w:type="table" w:styleId="822">
    <w:name w:val="Table Grid Light"/>
    <w:basedOn w:val="94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Plain Table 1"/>
    <w:basedOn w:val="94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4">
    <w:name w:val="Plain Table 2"/>
    <w:basedOn w:val="9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5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26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27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0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52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53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54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55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56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57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60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63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4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65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66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67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68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69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70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5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6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7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88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89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0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1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6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7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8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6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7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8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9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0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1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2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3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4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15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16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17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18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19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0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21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22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23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24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25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26">
    <w:name w:val="Lined - Accent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27">
    <w:name w:val="Lined - Accent 1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28">
    <w:name w:val="Lined - Accent 2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29">
    <w:name w:val="Lined - Accent 3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30">
    <w:name w:val="Lined - Accent 4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31">
    <w:name w:val="Lined - Accent 5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32">
    <w:name w:val="Lined - Accent 6"/>
    <w:basedOn w:val="9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33">
    <w:name w:val="Bordered &amp; Lined - Accent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4">
    <w:name w:val="Bordered &amp; Lined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35">
    <w:name w:val="Bordered &amp; Lined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36">
    <w:name w:val="Bordered &amp; Lined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37">
    <w:name w:val="Bordered &amp; Lined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38">
    <w:name w:val="Bordered &amp; Lined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39">
    <w:name w:val="Bordered &amp; Lined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40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1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2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43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44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45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46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4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48">
    <w:name w:val="Table Grid"/>
    <w:basedOn w:val="94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9" w:customStyle="1">
    <w:name w:val="Сетка таблицы1"/>
    <w:basedOn w:val="947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0" w:customStyle="1">
    <w:name w:val="Сетка таблицы2"/>
    <w:basedOn w:val="947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jpg"/><Relationship Id="rId15" Type="http://schemas.openxmlformats.org/officeDocument/2006/relationships/hyperlink" Target="file:///D:/&#1052;&#1086;&#1080;%20&#1076;&#1086;&#1082;&#1091;&#1084;&#1077;&#1085;&#1090;&#1099;/&#1047;&#1072;&#1075;&#1088;&#1091;&#1079;&#1082;&#1072;/&#1089;&#1086;&#1075;&#1083;&#1072;&#1096;&#1077;&#1085;&#1080;&#1077;)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Дмитрий Игоревич</dc:creator>
  <dc:description/>
  <dc:language>ru-RU</dc:language>
  <cp:lastModifiedBy>vishnevskiyev</cp:lastModifiedBy>
  <cp:revision>56</cp:revision>
  <dcterms:created xsi:type="dcterms:W3CDTF">2025-01-31T01:52:00Z</dcterms:created>
  <dcterms:modified xsi:type="dcterms:W3CDTF">2026-06-29T04:46:22Z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