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427"/>
        </w:trPr>
        <w:tblPrEx/>
        <w:tc>
          <w:tcPr>
            <w:tcW w:w="4253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47"/>
        </w:trPr>
        <w:tblPrEx/>
        <w:tc>
          <w:tcPr>
            <w:tcW w:w="4253" w:type="dxa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rPr>
          <w:trHeight w:val="80"/>
        </w:trPr>
        <w:tblPrEx/>
        <w:tc>
          <w:tcPr>
            <w:tcW w:w="4253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88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rPr/>
        <w:tblPrEx/>
        <w:tc>
          <w:tcPr>
            <w:tcW w:w="9639" w:type="dxa"/>
            <w:noWrap w:val="false"/>
            <w:textDirection w:val="lrTb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утверждении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словий эмиссии и обращения государственных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облигаций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 Камчатского края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  <w:t xml:space="preserve">с переменным купонным доходом и амортизацией долга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uppressLineNumber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пунктом 1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стать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121</w:t>
      </w:r>
      <w:r>
        <w:rPr>
          <w:rFonts w:ascii="Times New Roman" w:hAnsi="Times New Roman" w:eastAsia="Times New Roman" w:cs="Times New Roman"/>
          <w:bCs/>
          <w:sz w:val="28"/>
          <w:szCs w:val="24"/>
          <w:vertAlign w:val="superscript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Бюджетного кодекса Российской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пунктом 30 части 2 статьи 6 Закона Камчатского края от 05.10.2023 № 274 «О бюджетном процессе в Камчатском крае»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uppressLineNumbers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0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numPr>
          <w:numId w:val="5"/>
          <w:ilvl w:val="0"/>
        </w:numPr>
        <w:suppressLineNumbers w:val="0"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твердить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словия эмиссии и обращения государственных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облигаций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Камчатского края с переменным купонным доходом и амортизацией долга согласно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приложению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</w:r>
    </w:p>
    <w:p>
      <w:pPr>
        <w:numPr>
          <w:numId w:val="5"/>
          <w:ilvl w:val="0"/>
        </w:numPr>
        <w:suppressLineNumbers w:val="0"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rPr>
          <w:trHeight w:val="2220"/>
        </w:trPr>
        <w:tblPrEx/>
        <w:tc>
          <w:tcPr>
            <w:tcW w:w="2977" w:type="dxa"/>
            <w:shd w:val="clear" w:color="auto" w:fill="auto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4" w:type="dxa"/>
            <w:shd w:val="clear" w:color="auto" w:fill="auto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tcW w:w="2268" w:type="dxa"/>
            <w:shd w:val="clear" w:color="auto" w:fill="auto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А.Н. Бутылин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pacing w:after="0" w:line="240" w:lineRule="auto"/>
        <w:ind w:left="5103" w:right="-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приказу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off"/>
        <w:spacing w:after="0" w:line="240" w:lineRule="auto"/>
        <w:ind w:left="5103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88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rPr/>
        <w:tblPrEx/>
        <w:tc>
          <w:tcPr>
            <w:tcW w:w="414" w:type="dxa"/>
            <w:noWrap w:val="false"/>
            <w:textDirection w:val="lrTb"/>
          </w:tcPr>
          <w:p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noWrap w:val="false"/>
            <w:textDirection w:val="lrTb"/>
          </w:tcPr>
          <w:p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noWrap w:val="false"/>
            <w:textDirection w:val="lrTb"/>
          </w:tcPr>
          <w:p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pStyle w:val="900"/>
        <w:ind w:firstLine="540"/>
        <w:jc w:val="center"/>
        <w:rPr>
          <w:sz w:val="28"/>
          <w:szCs w:val="28"/>
        </w:rPr>
      </w:pPr>
      <w:r>
        <w:rPr>
          <w:sz w:val="28"/>
          <w:szCs w:val="24"/>
        </w:rPr>
        <w:t xml:space="preserve">Условия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540"/>
        <w:jc w:val="center"/>
        <w:rPr>
          <w:sz w:val="28"/>
          <w:szCs w:val="28"/>
        </w:rPr>
      </w:pPr>
      <w:r>
        <w:rPr>
          <w:sz w:val="28"/>
          <w:szCs w:val="24"/>
        </w:rPr>
        <w:t xml:space="preserve">эмиссии и обращения государственных </w:t>
      </w:r>
      <w:r>
        <w:rPr>
          <w:sz w:val="28"/>
          <w:szCs w:val="24"/>
        </w:rPr>
        <w:t xml:space="preserve">облигаций</w:t>
      </w:r>
      <w:r>
        <w:rPr>
          <w:sz w:val="28"/>
          <w:szCs w:val="24"/>
        </w:rPr>
        <w:t xml:space="preserve"> Камчатского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540"/>
        <w:jc w:val="center"/>
        <w:rPr>
          <w:sz w:val="28"/>
          <w:szCs w:val="28"/>
        </w:rPr>
      </w:pPr>
      <w:r>
        <w:rPr>
          <w:sz w:val="28"/>
          <w:szCs w:val="24"/>
        </w:rPr>
        <w:t xml:space="preserve">с переменным купонным доходом и амортизацией долга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540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540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54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1. Общие положения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1. Настоящие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словия </w:t>
      </w:r>
      <w:r>
        <w:rPr>
          <w:sz w:val="28"/>
          <w:szCs w:val="24"/>
        </w:rPr>
        <w:t xml:space="preserve">разработаны в соответствии с </w:t>
      </w:r>
      <w:r>
        <w:rPr>
          <w:sz w:val="28"/>
          <w:szCs w:val="28"/>
          <w:lang w:eastAsia="ru-RU"/>
        </w:rPr>
        <w:t xml:space="preserve">Законом Камчатского края от 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.11.2025 № 537 «О краевом бюджете на 2026 год и на плановый период 2027 и 2028 годов», </w:t>
      </w:r>
      <w:r>
        <w:rPr>
          <w:sz w:val="28"/>
          <w:szCs w:val="24"/>
        </w:rPr>
        <w:t xml:space="preserve">Г</w:t>
      </w:r>
      <w:hyperlink r:id="rId12" w:tooltip="Постановление Правительства Камчатского края от 28.09.2017 N 400-П &quot;Об утверждении Генеральных условий эмиссии и обращения государственных облигаций Камчатского края&quot; ------------ Недействующая редакция {КонсультантПлюс}" w:history="1">
        <w:r>
          <w:rPr>
            <w:sz w:val="28"/>
            <w:szCs w:val="24"/>
          </w:rPr>
          <w:t xml:space="preserve">енеральными условиями эмиссии</w:t>
        </w:r>
      </w:hyperlink>
      <w:r>
        <w:rPr>
          <w:sz w:val="28"/>
          <w:szCs w:val="24"/>
        </w:rPr>
        <w:t xml:space="preserve"> и обращения государственных облигаций К</w:t>
      </w:r>
      <w:r>
        <w:rPr>
          <w:sz w:val="28"/>
          <w:szCs w:val="24"/>
        </w:rPr>
        <w:t xml:space="preserve">амчатского края, утвержденными п</w:t>
      </w:r>
      <w:r>
        <w:rPr>
          <w:sz w:val="28"/>
          <w:szCs w:val="24"/>
        </w:rPr>
        <w:t xml:space="preserve">остановлением Правительства Ка</w:t>
      </w:r>
      <w:r>
        <w:rPr>
          <w:sz w:val="28"/>
          <w:szCs w:val="24"/>
        </w:rPr>
        <w:t xml:space="preserve">мчатского края от 28.09.2017 №</w:t>
      </w:r>
      <w:r>
        <w:rPr>
          <w:sz w:val="28"/>
          <w:szCs w:val="24"/>
        </w:rPr>
        <w:t xml:space="preserve"> 400-П (далее </w:t>
      </w:r>
      <w:r>
        <w:rPr>
          <w:sz w:val="28"/>
          <w:szCs w:val="24"/>
        </w:rPr>
        <w:t xml:space="preserve">– </w:t>
      </w:r>
      <w:r>
        <w:rPr>
          <w:sz w:val="28"/>
          <w:szCs w:val="24"/>
        </w:rPr>
        <w:t xml:space="preserve">генеральные условия), </w:t>
      </w:r>
      <w:r>
        <w:rPr>
          <w:rFonts w:ascii="Times New Roman" w:hAnsi="Times New Roman"/>
          <w:sz w:val="28"/>
        </w:rPr>
        <w:t xml:space="preserve">постановлением</w:t>
      </w:r>
      <w:r>
        <w:rPr>
          <w:rFonts w:ascii="Times New Roman" w:hAnsi="Times New Roman"/>
          <w:sz w:val="28"/>
        </w:rPr>
        <w:t xml:space="preserve"> Правительства Камчатского края </w:t>
      </w:r>
      <w:r>
        <w:rPr>
          <w:rFonts w:ascii="Times New Roman" w:hAnsi="Times New Roman"/>
          <w:sz w:val="28"/>
        </w:rPr>
        <w:t xml:space="preserve">от</w:t>
      </w:r>
      <w:r>
        <w:rPr>
          <w:rFonts w:ascii="Times New Roman" w:hAnsi="Times New Roman"/>
          <w:sz w:val="28"/>
        </w:rPr>
        <w:t xml:space="preserve"> 15.05.2026 </w:t>
      </w:r>
      <w:r>
        <w:rPr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sz w:val="28"/>
        </w:rPr>
        <w:t xml:space="preserve">  250-П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предельных объемах размещения государственных </w:t>
      </w:r>
      <w:r>
        <w:rPr>
          <w:rFonts w:ascii="Times New Roman" w:hAnsi="Times New Roman"/>
          <w:sz w:val="28"/>
        </w:rPr>
        <w:t xml:space="preserve">ценных бумаг</w:t>
      </w:r>
      <w:r>
        <w:rPr>
          <w:rFonts w:ascii="Times New Roman" w:hAnsi="Times New Roman"/>
          <w:sz w:val="28"/>
        </w:rPr>
        <w:t xml:space="preserve"> Камчатского края на 2026 год и на плановый период 2027 и </w:t>
      </w:r>
      <w:r>
        <w:rPr>
          <w:rFonts w:ascii="Times New Roman" w:hAnsi="Times New Roman"/>
          <w:sz w:val="28"/>
        </w:rPr>
        <w:t xml:space="preserve">2028 годов</w:t>
      </w:r>
      <w:r>
        <w:rPr>
          <w:rFonts w:ascii="Times New Roman" w:hAnsi="Times New Roman"/>
          <w:sz w:val="28"/>
        </w:rPr>
        <w:t xml:space="preserve"> по номинальной стоимости</w:t>
      </w:r>
      <w:r>
        <w:rPr>
          <w:rFonts w:ascii="Times New Roman" w:hAnsi="Times New Roman"/>
          <w:sz w:val="28"/>
        </w:rPr>
        <w:t xml:space="preserve">» </w:t>
      </w:r>
      <w:r>
        <w:rPr>
          <w:sz w:val="28"/>
          <w:szCs w:val="24"/>
        </w:rPr>
        <w:t xml:space="preserve">и определяют порядок эмиссии, обращения и погашения государственных </w:t>
      </w:r>
      <w:r>
        <w:rPr>
          <w:sz w:val="28"/>
          <w:szCs w:val="24"/>
        </w:rPr>
        <w:t xml:space="preserve">ценных бумаг</w:t>
      </w:r>
      <w:r>
        <w:rPr>
          <w:sz w:val="28"/>
          <w:szCs w:val="24"/>
        </w:rPr>
        <w:t xml:space="preserve"> Камчатского края с переменным купонным доходом и амортизацией долга (далее </w:t>
      </w:r>
      <w:r>
        <w:rPr>
          <w:sz w:val="28"/>
          <w:szCs w:val="24"/>
        </w:rPr>
        <w:t xml:space="preserve">– </w:t>
      </w:r>
      <w:r>
        <w:rPr>
          <w:sz w:val="28"/>
          <w:szCs w:val="24"/>
        </w:rPr>
        <w:t xml:space="preserve">облигации).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онятия, используемые в настоящих Условиях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применяются в том же значении, что 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Федеральном законе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22.04.1996 № 39-ФЗ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рынке ценных бумаг»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</w:t>
      </w:r>
      <w:r>
        <w:rPr>
          <w:sz w:val="28"/>
          <w:szCs w:val="24"/>
        </w:rPr>
        <w:t xml:space="preserve">. Эмитентом облигаций от имени Камчатского края выступает Министерство финансов Камчатского края (далее </w:t>
      </w:r>
      <w:r>
        <w:rPr>
          <w:sz w:val="28"/>
          <w:szCs w:val="24"/>
        </w:rPr>
        <w:t xml:space="preserve">– </w:t>
      </w:r>
      <w:r>
        <w:rPr>
          <w:sz w:val="28"/>
          <w:szCs w:val="24"/>
        </w:rPr>
        <w:t xml:space="preserve">эмитент).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Место нахождения и почтовый адрес эмитента: 6830</w:t>
      </w:r>
      <w:r>
        <w:rPr>
          <w:sz w:val="28"/>
          <w:szCs w:val="24"/>
        </w:rPr>
        <w:t xml:space="preserve">0</w:t>
      </w: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, город Петропавловск-Камчатский, пл</w:t>
      </w:r>
      <w:r>
        <w:rPr>
          <w:sz w:val="28"/>
          <w:szCs w:val="24"/>
        </w:rPr>
        <w:t xml:space="preserve">ощадь им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В.И. </w:t>
      </w:r>
      <w:r>
        <w:rPr>
          <w:sz w:val="28"/>
          <w:szCs w:val="24"/>
        </w:rPr>
        <w:t xml:space="preserve">Ленина, д</w:t>
      </w:r>
      <w:r>
        <w:rPr>
          <w:sz w:val="28"/>
          <w:szCs w:val="24"/>
        </w:rPr>
        <w:t xml:space="preserve">ом</w:t>
      </w:r>
      <w:r>
        <w:rPr>
          <w:sz w:val="28"/>
          <w:szCs w:val="24"/>
        </w:rPr>
        <w:t xml:space="preserve"> 1.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Мероприятия, необходимые для осуществления эмиссии, обращения и погашения облигаций, проводит эмитент.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Уполномоченным а</w:t>
      </w:r>
      <w:r>
        <w:rPr>
          <w:sz w:val="28"/>
          <w:szCs w:val="24"/>
        </w:rPr>
        <w:t xml:space="preserve">гентом</w:t>
      </w:r>
      <w:r>
        <w:rPr>
          <w:sz w:val="28"/>
          <w:szCs w:val="24"/>
        </w:rPr>
        <w:t xml:space="preserve"> эмитента выступает профессиональный участник рынка ценных бумаг, определенный эмитентом в соответствии с законодательством Российской Федерации и заключивший с эмитентом гос</w:t>
      </w:r>
      <w:r>
        <w:rPr>
          <w:sz w:val="28"/>
          <w:szCs w:val="24"/>
        </w:rPr>
        <w:t xml:space="preserve">ударственный контракт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уполномоченный </w:t>
      </w:r>
      <w:r>
        <w:rPr>
          <w:sz w:val="28"/>
          <w:szCs w:val="24"/>
        </w:rPr>
        <w:t xml:space="preserve">агент эмитента).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Уполномоченным депозитарием выступает профессиональный участник рынка ценных бумаг, имеющий лицензию на осуществление депозитарной деятельности и осуществляющий </w:t>
      </w:r>
      <w:r>
        <w:rPr>
          <w:sz w:val="28"/>
          <w:szCs w:val="24"/>
        </w:rPr>
        <w:t xml:space="preserve">обязательное централизованное хранение глобального сертификата</w:t>
      </w:r>
      <w:r>
        <w:rPr>
          <w:sz w:val="28"/>
          <w:szCs w:val="24"/>
        </w:rPr>
        <w:t xml:space="preserve">, определенный эмитентом в соответствии с  законодательством Российской Федерации и заключивший с эмитентом государственный контракт (далее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уполномоченный депозитарий).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Организатором торговли на рынке ценных бумаг выступает лицо, оказывающее услуги по </w:t>
      </w:r>
      <w:r>
        <w:rPr>
          <w:sz w:val="28"/>
          <w:szCs w:val="24"/>
        </w:rPr>
        <w:t xml:space="preserve">проведению организованных торгов на финансовом рынке на основании лицензии биржи, определенное эмитентом в соответствии с законодательством Российской Федерации и заключившее с эмитентом государственный контракт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организатор торговли).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Данные об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уполномоченном </w:t>
      </w:r>
      <w:r>
        <w:rPr>
          <w:sz w:val="28"/>
          <w:szCs w:val="24"/>
        </w:rPr>
        <w:t xml:space="preserve">агенте эмитента, уполномоченном депозитарии и</w:t>
      </w:r>
      <w:r>
        <w:rPr>
          <w:sz w:val="28"/>
          <w:szCs w:val="24"/>
        </w:rPr>
        <w:t xml:space="preserve"> организаторе торговли раскрываются в решении об эмиссии</w:t>
      </w:r>
      <w:r>
        <w:rPr>
          <w:sz w:val="28"/>
          <w:szCs w:val="24"/>
        </w:rPr>
        <w:t xml:space="preserve"> отдельного выпуска облигаций (далее – решение об эмиссии)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. Облигации являются государственными </w:t>
      </w:r>
      <w:r>
        <w:rPr>
          <w:sz w:val="28"/>
          <w:szCs w:val="24"/>
        </w:rPr>
        <w:t xml:space="preserve">именными </w:t>
      </w:r>
      <w:r>
        <w:rPr>
          <w:sz w:val="28"/>
          <w:szCs w:val="24"/>
        </w:rPr>
        <w:t xml:space="preserve">документарными ценными бумагами </w:t>
      </w:r>
      <w:r>
        <w:rPr>
          <w:sz w:val="28"/>
          <w:szCs w:val="24"/>
        </w:rPr>
        <w:t xml:space="preserve">с обязательным централизованным хранением </w:t>
      </w:r>
      <w:r>
        <w:rPr>
          <w:sz w:val="28"/>
          <w:szCs w:val="24"/>
        </w:rPr>
        <w:t xml:space="preserve">(учетом) </w:t>
      </w:r>
      <w:r>
        <w:rPr>
          <w:sz w:val="28"/>
          <w:szCs w:val="24"/>
        </w:rPr>
        <w:t xml:space="preserve">глобального </w:t>
      </w:r>
      <w:r>
        <w:rPr>
          <w:sz w:val="28"/>
          <w:szCs w:val="24"/>
        </w:rPr>
        <w:t xml:space="preserve">сертификата.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. Облигации предоставляют их владельцам право на получение номинальной стоимости облигаций, выплачиваемой частями в размер</w:t>
      </w:r>
      <w:r>
        <w:rPr>
          <w:sz w:val="28"/>
          <w:szCs w:val="24"/>
        </w:rPr>
        <w:t xml:space="preserve">ах</w:t>
      </w:r>
      <w:r>
        <w:rPr>
          <w:sz w:val="28"/>
          <w:szCs w:val="24"/>
        </w:rPr>
        <w:t xml:space="preserve"> и в сроки, установленные в решении об эмиссии, и право на полу</w:t>
      </w:r>
      <w:r>
        <w:rPr>
          <w:sz w:val="28"/>
          <w:szCs w:val="24"/>
        </w:rPr>
        <w:t xml:space="preserve">чение купонного дохода в размерах</w:t>
      </w:r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в сроки и в порядке, </w:t>
      </w:r>
      <w:r>
        <w:rPr>
          <w:sz w:val="28"/>
          <w:szCs w:val="24"/>
        </w:rPr>
        <w:t xml:space="preserve">определяемом в соответствии с настоящими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словиями</w:t>
      </w:r>
      <w:r>
        <w:rPr>
          <w:sz w:val="28"/>
          <w:szCs w:val="24"/>
        </w:rPr>
        <w:t xml:space="preserve"> и решением об эмиссии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Владельцы облигаций имеют право владеть, пользоваться и распоряжаться принадлежащими им облигациями в соответствии с законодательством Российской Федерации.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Владельцы облигаций имеют право совершать с облигациями гражданско-правовые сделки в соответствии с законодательством Российской Федерации, генеральными условиями, настоящими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словиями и решением об эмиссии.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</w:t>
      </w:r>
      <w:r>
        <w:rPr>
          <w:sz w:val="28"/>
          <w:szCs w:val="24"/>
        </w:rPr>
        <w:t xml:space="preserve">. Эмиссия облигаций осуществляется </w:t>
      </w:r>
      <w:r>
        <w:rPr>
          <w:sz w:val="28"/>
          <w:szCs w:val="24"/>
        </w:rPr>
        <w:t xml:space="preserve">отдельными </w:t>
      </w:r>
      <w:r>
        <w:rPr>
          <w:sz w:val="28"/>
          <w:szCs w:val="24"/>
        </w:rPr>
        <w:t xml:space="preserve">выпусками. 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блигации </w:t>
      </w: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 рамках одного выпуска равны между собой по объему предоставляемых ими прав.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Выпуск облигаций, отличающ</w:t>
      </w:r>
      <w:r>
        <w:rPr>
          <w:sz w:val="28"/>
          <w:szCs w:val="24"/>
        </w:rPr>
        <w:t xml:space="preserve">ийся от одного из существующих выпусков облигаций только датой выпуска (датой размещения), признается частью существующего выпуска облигаций (дополнительный выпуск облигаций) и ему присваивается государственный регистрационный номер существующего выпуска. </w:t>
      </w:r>
      <w:r>
        <w:rPr>
          <w:sz w:val="28"/>
          <w:szCs w:val="24"/>
        </w:rPr>
        <w:t xml:space="preserve">Р</w:t>
      </w:r>
      <w:r>
        <w:rPr>
          <w:sz w:val="28"/>
          <w:szCs w:val="24"/>
        </w:rPr>
        <w:t xml:space="preserve">ешение об эмиссии дополнительного выпуска облигаций должно содержать указание на то, что данный выпуск облигаций является дополнительным.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Облигации дополнительного выпуска предоставляют их владельцам тот же объем прав, что и облигации выпуска, регистрационный номер которого присваивается дополнительному выпуску облигаций.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7</w:t>
      </w:r>
      <w:r>
        <w:rPr>
          <w:sz w:val="28"/>
          <w:szCs w:val="24"/>
        </w:rPr>
        <w:t xml:space="preserve">. Срок обращения облигаций устанавливается в решении об эмиссии и может быть от одного года до десяти лет включительно.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8</w:t>
      </w:r>
      <w:r>
        <w:rPr>
          <w:sz w:val="28"/>
          <w:szCs w:val="24"/>
        </w:rPr>
        <w:t xml:space="preserve">. Номинальная стоимость облигации выражается в валюте Российской </w:t>
      </w:r>
      <w:r>
        <w:rPr>
          <w:sz w:val="28"/>
          <w:szCs w:val="24"/>
        </w:rPr>
        <w:t xml:space="preserve"> </w:t>
      </w:r>
      <w:r>
        <w:rPr>
          <w:sz w:val="28"/>
          <w:szCs w:val="24"/>
        </w:rPr>
        <w:t xml:space="preserve">Федерации и составляет 1000 (одну тысячу) рублей.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9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Каждый</w:t>
      </w:r>
      <w:r>
        <w:rPr>
          <w:sz w:val="28"/>
          <w:szCs w:val="24"/>
        </w:rPr>
        <w:t xml:space="preserve"> выпуск облигаций оформляется одним глобальным сертификатом, который удостоверяет совокупность прав на облигации, указанные в нем, и до даты начала размещения передается на хранение в уполномоченный депозитарий.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Глобальный сертификат на руки владельцам облигаций не выдается.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Право собственности на облигации переходит в момент осуществления приходной записи по счету депо приобретателя.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Учет и удостоверение прав на облигации, учет и удостоверение передачи облигаций, включая случаи обременения облигаций обязательствами, </w:t>
      </w:r>
      <w:r>
        <w:rPr>
          <w:sz w:val="28"/>
          <w:szCs w:val="24"/>
        </w:rPr>
        <w:t xml:space="preserve">осуществляется уполномоченным депозитарием, осуществляющим централизованное хранение глобального сертификата, и иными депозитариями, осуществляющими учет прав на облигации, за исключением уполномоченного депозитария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депозитарии).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4"/>
        </w:rPr>
        <w:t xml:space="preserve">Удостоверением права владельца на облигации является выписка со счета депо в уполномоченном депозитарии или депозитариях.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4"/>
        </w:rPr>
        <w:t xml:space="preserve">10</w:t>
      </w:r>
      <w:r>
        <w:rPr>
          <w:sz w:val="28"/>
          <w:szCs w:val="24"/>
        </w:rPr>
        <w:t xml:space="preserve">. На основании генеральных условий и настоящих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словий эмитентом утверждается решение об эмиссии, предусматривающие конкретные условия, необходимые в соответствии с законодательством Российской Федерации для эмиссии </w:t>
      </w:r>
      <w:r>
        <w:rPr>
          <w:sz w:val="28"/>
          <w:szCs w:val="24"/>
        </w:rPr>
        <w:t xml:space="preserve">отдельного </w:t>
      </w:r>
      <w:r>
        <w:rPr>
          <w:sz w:val="28"/>
          <w:szCs w:val="24"/>
        </w:rPr>
        <w:t xml:space="preserve">выпуска облигаций.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Вопросы эмиссии, обращения </w:t>
      </w:r>
      <w:r>
        <w:rPr>
          <w:sz w:val="28"/>
          <w:szCs w:val="24"/>
        </w:rPr>
        <w:t xml:space="preserve">и погашения облигаций, не урегулированные генеральными условиями, настоящими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словиями и решением об эмиссии, регулируются законодательством Российской Федерации.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. Облигации могут быть выкуплены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митентом до срока их погашения с возможностью их последующего обращения в порядке, предусмотренном настоящими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словиями и </w:t>
      </w:r>
      <w:r>
        <w:rPr>
          <w:sz w:val="28"/>
          <w:szCs w:val="24"/>
        </w:rPr>
        <w:t xml:space="preserve">р</w:t>
      </w:r>
      <w:r>
        <w:rPr>
          <w:sz w:val="28"/>
          <w:szCs w:val="24"/>
        </w:rPr>
        <w:t xml:space="preserve">ешением о</w:t>
      </w:r>
      <w:r>
        <w:rPr>
          <w:sz w:val="28"/>
          <w:szCs w:val="24"/>
        </w:rPr>
        <w:t xml:space="preserve">б эмиссии</w:t>
      </w:r>
      <w:r>
        <w:rPr>
          <w:sz w:val="28"/>
          <w:szCs w:val="24"/>
        </w:rPr>
        <w:t xml:space="preserve">, с соблюдением требований (в том числе по определению цены выкупа), установленных бюджетным законодательством Российской Федерации.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Выкуп облигаций осуществляется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митентом по цене, определенной с учетом текущей рыночной цены и объемов предложения и спроса на 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блигации, и в соответствии с параметрами, установленными в </w:t>
      </w:r>
      <w:r>
        <w:rPr>
          <w:sz w:val="28"/>
          <w:szCs w:val="24"/>
        </w:rPr>
        <w:t xml:space="preserve">законе </w:t>
      </w:r>
      <w:r>
        <w:rPr>
          <w:sz w:val="28"/>
          <w:szCs w:val="24"/>
        </w:rPr>
        <w:t xml:space="preserve">Камчатского края о краевом бюджете </w:t>
      </w:r>
      <w:r>
        <w:rPr>
          <w:sz w:val="28"/>
          <w:szCs w:val="24"/>
        </w:rPr>
        <w:t xml:space="preserve">на соответствующий финансовый год и на плановый период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Выкупленные Эмитентом Облигации могут быть выпущены в последующее обращение до срока их погашения по цене, определенной с учетом текущей рыночной цены и объемов предложения и спроса на 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блигации, и в соответствии с параметрами, установленными в законе </w:t>
      </w:r>
      <w:r>
        <w:rPr>
          <w:sz w:val="28"/>
          <w:szCs w:val="24"/>
        </w:rPr>
        <w:t xml:space="preserve">Камчатского края о краевом бюджете </w:t>
      </w:r>
      <w:r>
        <w:rPr>
          <w:sz w:val="28"/>
          <w:szCs w:val="24"/>
        </w:rPr>
        <w:t xml:space="preserve">на соответствующий финансовый год и на плановый период.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2</w:t>
      </w:r>
      <w:r>
        <w:rPr>
          <w:sz w:val="28"/>
          <w:szCs w:val="24"/>
        </w:rPr>
        <w:t xml:space="preserve">. Решением о выпуске может быть предусмотрено право </w:t>
      </w:r>
      <w:r>
        <w:rPr>
          <w:sz w:val="28"/>
          <w:szCs w:val="24"/>
        </w:rPr>
        <w:t xml:space="preserve">э</w:t>
      </w:r>
      <w:r>
        <w:rPr>
          <w:sz w:val="28"/>
          <w:szCs w:val="24"/>
        </w:rPr>
        <w:t xml:space="preserve">митента на досрочное погашение </w:t>
      </w:r>
      <w:r>
        <w:rPr>
          <w:sz w:val="28"/>
          <w:szCs w:val="24"/>
        </w:rPr>
        <w:t xml:space="preserve">облигаций в установленные р</w:t>
      </w:r>
      <w:r>
        <w:rPr>
          <w:sz w:val="28"/>
          <w:szCs w:val="24"/>
        </w:rPr>
        <w:t xml:space="preserve">ешением о</w:t>
      </w:r>
      <w:r>
        <w:rPr>
          <w:sz w:val="28"/>
          <w:szCs w:val="24"/>
        </w:rPr>
        <w:t xml:space="preserve">б эмиссии</w:t>
      </w:r>
      <w:r>
        <w:rPr>
          <w:sz w:val="28"/>
          <w:szCs w:val="24"/>
        </w:rPr>
        <w:t xml:space="preserve"> даты возможного досрочного погашения. Эмитент о</w:t>
      </w:r>
      <w:r>
        <w:rPr>
          <w:sz w:val="28"/>
          <w:szCs w:val="24"/>
        </w:rPr>
        <w:t xml:space="preserve">бъявляет о досрочном погашении о</w:t>
      </w:r>
      <w:r>
        <w:rPr>
          <w:sz w:val="28"/>
          <w:szCs w:val="24"/>
        </w:rPr>
        <w:t xml:space="preserve">блигаций не позднее чем за 15 (пятнадцать) рабочих дней до ус</w:t>
      </w:r>
      <w:r>
        <w:rPr>
          <w:sz w:val="28"/>
          <w:szCs w:val="24"/>
        </w:rPr>
        <w:t xml:space="preserve">тановленных в р</w:t>
      </w:r>
      <w:r>
        <w:rPr>
          <w:sz w:val="28"/>
          <w:szCs w:val="24"/>
        </w:rPr>
        <w:t xml:space="preserve">ешении о</w:t>
      </w:r>
      <w:r>
        <w:rPr>
          <w:sz w:val="28"/>
          <w:szCs w:val="24"/>
        </w:rPr>
        <w:t xml:space="preserve">б эмиссии</w:t>
      </w:r>
      <w:r>
        <w:rPr>
          <w:sz w:val="28"/>
          <w:szCs w:val="24"/>
        </w:rPr>
        <w:t xml:space="preserve"> дат возможного досрочного погашения 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блигаций или порядка их определения. Досрочному погашению подлежат все 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блигации соответствующего выпуска, находящиеся в обращении.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2. Порядок размещения и обращения облигаций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3</w:t>
      </w:r>
      <w:r>
        <w:rPr>
          <w:sz w:val="28"/>
          <w:szCs w:val="24"/>
        </w:rPr>
        <w:t xml:space="preserve">. Дата начала размещения облигаций устанавливается в решении об эмиссии.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Дата окончания размещения облигаций </w:t>
      </w:r>
      <w:r>
        <w:rPr>
          <w:sz w:val="28"/>
          <w:szCs w:val="24"/>
        </w:rPr>
        <w:t xml:space="preserve">– </w:t>
      </w:r>
      <w:r>
        <w:rPr>
          <w:sz w:val="28"/>
          <w:szCs w:val="24"/>
        </w:rPr>
        <w:t xml:space="preserve">день продажи последней облигации первым владельцам.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14. </w:t>
      </w:r>
      <w:r>
        <w:rPr>
          <w:sz w:val="28"/>
          <w:szCs w:val="24"/>
        </w:rPr>
        <w:t xml:space="preserve">Раскрытие информаци</w:t>
      </w:r>
      <w:r>
        <w:rPr>
          <w:sz w:val="28"/>
          <w:szCs w:val="24"/>
        </w:rPr>
        <w:t xml:space="preserve">и, содержащейся в решении об эмиссии, осуществляется путем </w:t>
      </w:r>
      <w:r>
        <w:rPr>
          <w:sz w:val="28"/>
          <w:szCs w:val="24"/>
        </w:rPr>
        <w:t xml:space="preserve">ее </w:t>
      </w:r>
      <w:r>
        <w:rPr>
          <w:sz w:val="28"/>
          <w:szCs w:val="24"/>
        </w:rPr>
        <w:t xml:space="preserve">размещения (опубликования) на официальном сайте эмитента в информационно-телекоммуникационной сети </w:t>
      </w:r>
      <w:r>
        <w:rPr>
          <w:sz w:val="28"/>
          <w:szCs w:val="24"/>
        </w:rPr>
        <w:t xml:space="preserve">«</w:t>
      </w:r>
      <w:r>
        <w:rPr>
          <w:sz w:val="28"/>
          <w:szCs w:val="24"/>
        </w:rPr>
        <w:t xml:space="preserve">Интернет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сайт эмитента) не позднее, чем за 2 (два) рабочих дня до даты начала размещения </w:t>
      </w:r>
      <w:r>
        <w:rPr>
          <w:sz w:val="28"/>
          <w:szCs w:val="24"/>
        </w:rPr>
        <w:t xml:space="preserve">выпуска облигаций.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15. Способ размещения облигаций, порядок его проведения и подробная информация об условиях размещения облигаций, иные условия, имеющие значение для размещения и обращения облигаций, устанавливаются в решении об эмиссии.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16. Обращение облиг</w:t>
      </w:r>
      <w:r>
        <w:rPr>
          <w:sz w:val="28"/>
          <w:szCs w:val="24"/>
        </w:rPr>
        <w:t xml:space="preserve">аций на вторичном рынке осуществляется путем заключения гражданско-правовых сделок как у организатора торговли, так и вне организатора торговли в соответствии с законодательством Российской  Федерации, настоящими Условиями и решением об эмиссии.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17. Все расчеты по облигациям производятся в валюте Российской  Федерации.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</w: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8</w:t>
      </w:r>
      <w:r>
        <w:rPr>
          <w:sz w:val="28"/>
          <w:szCs w:val="24"/>
        </w:rPr>
        <w:t xml:space="preserve">. </w:t>
      </w:r>
      <w:r>
        <w:rPr>
          <w:sz w:val="28"/>
          <w:szCs w:val="24"/>
          <w:highlight w:val="white"/>
        </w:rPr>
        <w:t xml:space="preserve">Размещение облигаций </w:t>
      </w:r>
      <w:r>
        <w:rPr>
          <w:sz w:val="28"/>
          <w:szCs w:val="24"/>
          <w:highlight w:val="white"/>
        </w:rPr>
        <w:t xml:space="preserve">может</w:t>
      </w:r>
      <w:r>
        <w:rPr>
          <w:sz w:val="28"/>
          <w:szCs w:val="24"/>
          <w:highlight w:val="white"/>
        </w:rPr>
        <w:t xml:space="preserve"> осуществля</w:t>
      </w:r>
      <w:r>
        <w:rPr>
          <w:sz w:val="28"/>
          <w:szCs w:val="24"/>
          <w:highlight w:val="white"/>
        </w:rPr>
        <w:t xml:space="preserve">ться</w:t>
      </w:r>
      <w:r>
        <w:rPr>
          <w:sz w:val="28"/>
          <w:szCs w:val="24"/>
          <w:highlight w:val="white"/>
        </w:rPr>
        <w:t xml:space="preserve"> одним из </w:t>
      </w:r>
      <w:r>
        <w:rPr>
          <w:sz w:val="28"/>
          <w:szCs w:val="24"/>
          <w:highlight w:val="white"/>
        </w:rPr>
        <w:t xml:space="preserve">следующих </w:t>
      </w:r>
      <w:r>
        <w:rPr>
          <w:sz w:val="28"/>
          <w:szCs w:val="24"/>
          <w:highlight w:val="white"/>
        </w:rPr>
        <w:t xml:space="preserve">способов</w:t>
      </w:r>
      <w:r>
        <w:rPr>
          <w:sz w:val="28"/>
          <w:szCs w:val="24"/>
          <w:highlight w:val="whit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1) </w:t>
      </w:r>
      <w:r>
        <w:rPr>
          <w:sz w:val="28"/>
          <w:szCs w:val="24"/>
          <w:highlight w:val="white"/>
        </w:rPr>
        <w:t xml:space="preserve">конкурс по определению ставки купонного дохода на первый купонный период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(</w:t>
      </w:r>
      <w:r>
        <w:rPr>
          <w:sz w:val="28"/>
          <w:szCs w:val="24"/>
          <w:highlight w:val="white"/>
        </w:rPr>
        <w:t xml:space="preserve">д</w:t>
      </w:r>
      <w:r>
        <w:rPr>
          <w:sz w:val="28"/>
          <w:szCs w:val="24"/>
          <w:highlight w:val="white"/>
        </w:rPr>
        <w:t xml:space="preserve">а</w:t>
      </w:r>
      <w:r>
        <w:rPr>
          <w:sz w:val="28"/>
          <w:szCs w:val="24"/>
          <w:highlight w:val="white"/>
        </w:rPr>
        <w:t xml:space="preserve">л</w:t>
      </w:r>
      <w:r>
        <w:rPr>
          <w:sz w:val="28"/>
          <w:szCs w:val="24"/>
          <w:highlight w:val="white"/>
        </w:rPr>
        <w:t xml:space="preserve">е</w:t>
      </w:r>
      <w:r>
        <w:rPr>
          <w:sz w:val="28"/>
          <w:szCs w:val="24"/>
          <w:highlight w:val="white"/>
        </w:rPr>
        <w:t xml:space="preserve">е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-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к</w:t>
      </w:r>
      <w:r>
        <w:rPr>
          <w:sz w:val="28"/>
          <w:szCs w:val="24"/>
          <w:highlight w:val="white"/>
        </w:rPr>
        <w:t xml:space="preserve">о</w:t>
      </w:r>
      <w:r>
        <w:rPr>
          <w:sz w:val="28"/>
          <w:szCs w:val="24"/>
          <w:highlight w:val="white"/>
        </w:rPr>
        <w:t xml:space="preserve">н</w:t>
      </w:r>
      <w:r>
        <w:rPr>
          <w:sz w:val="28"/>
          <w:szCs w:val="24"/>
          <w:highlight w:val="white"/>
        </w:rPr>
        <w:t xml:space="preserve">к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р</w:t>
      </w:r>
      <w:r>
        <w:rPr>
          <w:sz w:val="28"/>
          <w:szCs w:val="24"/>
          <w:highlight w:val="white"/>
        </w:rPr>
        <w:t xml:space="preserve">с</w:t>
      </w:r>
      <w:r>
        <w:rPr>
          <w:sz w:val="28"/>
          <w:szCs w:val="24"/>
          <w:highlight w:val="white"/>
        </w:rPr>
        <w:t xml:space="preserve">)</w:t>
      </w:r>
      <w:r>
        <w:rPr>
          <w:sz w:val="28"/>
          <w:szCs w:val="24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2) </w:t>
      </w:r>
      <w:r>
        <w:rPr>
          <w:sz w:val="28"/>
          <w:szCs w:val="24"/>
          <w:highlight w:val="white"/>
        </w:rPr>
        <w:t xml:space="preserve">сбор адресных заявок со стороны участников размещения на приобретение облигаций по цене размещения, равной</w:t>
      </w:r>
      <w:r>
        <w:rPr>
          <w:sz w:val="28"/>
          <w:szCs w:val="24"/>
          <w:highlight w:val="white"/>
        </w:rPr>
        <w:t xml:space="preserve"> номинальной стоимости облигаций в дату начала размещения и равной или отличной от нее в остальные даты, и ставке купонного дохода на первый купонный период</w:t>
      </w:r>
      <w:r>
        <w:rPr>
          <w:sz w:val="28"/>
          <w:szCs w:val="24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3) </w:t>
      </w:r>
      <w:r>
        <w:rPr>
          <w:sz w:val="28"/>
          <w:szCs w:val="24"/>
          <w:highlight w:val="white"/>
        </w:rPr>
        <w:t xml:space="preserve">аукцион по определению цены размещения облигаций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  <w:highlight w:val="white"/>
        </w:rPr>
        <w:t xml:space="preserve"> аукцион).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0"/>
        <w:suppressLineNumbers w:val="0"/>
        <w:ind w:firstLine="0"/>
        <w:jc w:val="center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2.1. Размещение облигаций путем проведения конкурса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highlight w:val="white"/>
        </w:rPr>
      </w:r>
      <w:r>
        <w:rPr>
          <w:sz w:val="28"/>
          <w:szCs w:val="24"/>
          <w:highlight w:val="white"/>
        </w:rPr>
        <w:t xml:space="preserve">19</w:t>
      </w:r>
      <w:r>
        <w:rPr>
          <w:sz w:val="28"/>
          <w:szCs w:val="24"/>
          <w:highlight w:val="white"/>
        </w:rPr>
        <w:t xml:space="preserve">. Размещение облигаций может осуществляться путем заключения</w:t>
      </w:r>
      <w:r>
        <w:rPr>
          <w:sz w:val="28"/>
          <w:szCs w:val="24"/>
          <w:highlight w:val="white"/>
        </w:rPr>
        <w:t xml:space="preserve"> в соответствии с законодательством Российской Федерации, настоящими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словиями </w:t>
      </w:r>
      <w:r>
        <w:rPr>
          <w:sz w:val="28"/>
          <w:szCs w:val="24"/>
          <w:highlight w:val="white"/>
        </w:rPr>
        <w:t xml:space="preserve">и решением об эмиссии сделок купли-продажи облигаций между эмитентом в лице уполномоченного агента эмитента, действующего по поручению и за счет эмитента, и первыми </w:t>
      </w:r>
      <w:r>
        <w:rPr>
          <w:sz w:val="28"/>
          <w:szCs w:val="24"/>
          <w:highlight w:val="white"/>
        </w:rPr>
        <w:t xml:space="preserve">владельцами облигаций на конкурсе</w:t>
      </w:r>
      <w:r>
        <w:rPr>
          <w:sz w:val="28"/>
          <w:szCs w:val="24"/>
          <w:highlight w:val="white"/>
        </w:rPr>
        <w:t xml:space="preserve">, проводимом у организатора торговли в соответствии с установленными им правилами проведения торгов по ценным бумагам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  <w:highlight w:val="white"/>
        </w:rPr>
        <w:t xml:space="preserve"> правила организатора торговли).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При выборе эмитентом данного способа размещения облигаций в дату начала размещения об</w:t>
      </w:r>
      <w:r>
        <w:rPr>
          <w:sz w:val="28"/>
          <w:szCs w:val="24"/>
          <w:highlight w:val="white"/>
        </w:rPr>
        <w:t xml:space="preserve">лигаций проводится конкурс</w:t>
      </w:r>
      <w:r>
        <w:rPr>
          <w:sz w:val="28"/>
          <w:szCs w:val="24"/>
          <w:highlight w:val="white"/>
        </w:rPr>
        <w:t xml:space="preserve">. Размещение облигаций в дату проведения конкурса осуществляется по цене размещения, равной 100 (ста) процентам от номинальной стоимости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20.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Участники конкурса подают в адрес уполномоченного агента эмитента заявки на покупку облигаций с использованием системы торгов организатора торговли как за свой счет, так и </w:t>
      </w:r>
      <w:r>
        <w:rPr>
          <w:sz w:val="28"/>
          <w:szCs w:val="24"/>
          <w:highlight w:val="white"/>
        </w:rPr>
        <w:t xml:space="preserve">за счет</w:t>
      </w:r>
      <w:r>
        <w:rPr>
          <w:sz w:val="28"/>
          <w:szCs w:val="24"/>
          <w:highlight w:val="white"/>
        </w:rPr>
        <w:t xml:space="preserve"> и по поручению клиентов. Указанные заявки подаются в течение периода, установленного организатором торговли. Заявка на покупку облигаций до</w:t>
      </w:r>
      <w:r>
        <w:rPr>
          <w:sz w:val="28"/>
          <w:szCs w:val="24"/>
          <w:highlight w:val="white"/>
        </w:rPr>
        <w:t xml:space="preserve">лжна содержать ставку купонного дохода на первый купонный период, цену облигаций (в процентах от номинальной стоимости облигаций) и количество приобретаемых облигаций, а также иную информацию в соответствии с нормативными документами организатора торговли.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На основании поданных в ходе конкурса заявок на покупку облигаций э</w:t>
      </w:r>
      <w:r>
        <w:rPr>
          <w:sz w:val="28"/>
          <w:szCs w:val="24"/>
          <w:highlight w:val="white"/>
        </w:rPr>
        <w:t xml:space="preserve">митент устанавливает единую для всех покупателей ставку купонного дохода на первый купонный период по облигациям. </w:t>
      </w:r>
      <w:r>
        <w:rPr>
          <w:sz w:val="28"/>
          <w:szCs w:val="24"/>
          <w:highlight w:val="white"/>
        </w:rPr>
        <w:t xml:space="preserve">Э</w:t>
      </w:r>
      <w:r>
        <w:rPr>
          <w:sz w:val="28"/>
          <w:szCs w:val="24"/>
          <w:highlight w:val="white"/>
        </w:rPr>
        <w:t xml:space="preserve">митент размещает информацию о размере ставки купонного дохода на первый купонный период на сайте эмитента в дату начала размещения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21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Заявки на покупку облигаций, поданные в ходе конкурса, удовлетворяются при условии, что указанные в них ставки купонного дохода на первый купонный период по об</w:t>
      </w:r>
      <w:r>
        <w:rPr>
          <w:sz w:val="28"/>
          <w:szCs w:val="24"/>
          <w:highlight w:val="white"/>
        </w:rPr>
        <w:t xml:space="preserve">лигациям меньше или равны ставке купонного дохода на первый купонный период по облигациям, установленной эмитентом. Приоритетом пользуются заявки на покупку облигаций с минимальной ставкой купонного дохода на первый купонный период, то есть в первую очеред</w:t>
      </w:r>
      <w:r>
        <w:rPr>
          <w:sz w:val="28"/>
          <w:szCs w:val="24"/>
          <w:highlight w:val="white"/>
        </w:rPr>
        <w:t xml:space="preserve">ь удовлетворяются заявки на покупку облигаций, в которых указана меньшая ставка купонного дохода на первый купонный период. Если с одинаковой ставкой купонного дохода на первый купонный период зарегистрировано несколько заявок на покупку облигаций, то в пе</w:t>
      </w:r>
      <w:r>
        <w:rPr>
          <w:sz w:val="28"/>
          <w:szCs w:val="24"/>
          <w:highlight w:val="white"/>
        </w:rPr>
        <w:t xml:space="preserve">рвую очередь удовлетворяются заявки на покупку облигаций, поданные ранее по времени. Ставка купонного дохода на первый купонный период по облигациям выпуска указывается в заявках на покупку облигаций в процентах годовых с точностью до сотых долей процента.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22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В случае если объем последней из удовлетворяемых заявок на покупку </w:t>
      </w:r>
      <w:r>
        <w:rPr>
          <w:sz w:val="28"/>
          <w:szCs w:val="24"/>
          <w:highlight w:val="white"/>
        </w:rPr>
        <w:t xml:space="preserve">облигаций превышает количество облигаций, оставшихся неразмещенными, то данная заявка на покупку облигаций удовлетворяется в размере неразмещенного остатка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23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В случае неполного размещения выпуска облигаций дальнейшее размещение облигаций начинается в день проведения конкурса непосредственно после его окончания и пров</w:t>
      </w:r>
      <w:r>
        <w:rPr>
          <w:sz w:val="28"/>
          <w:szCs w:val="24"/>
          <w:highlight w:val="white"/>
        </w:rPr>
        <w:t xml:space="preserve">одится в течение всего периода размещения облигаций путем удовлетворения адресных заявок на покупку облигаций, поданных в адрес уполномоченного агента эмитента в соответствии с правилами организатора торговли. Адресные заявки на покупку облигаций удовлетво</w:t>
      </w:r>
      <w:r>
        <w:rPr>
          <w:sz w:val="28"/>
          <w:szCs w:val="24"/>
          <w:highlight w:val="white"/>
        </w:rPr>
        <w:t xml:space="preserve">ряются в соответствии с указанием эмитента уполномоченному агенту эмитента по цене, указанной эмитентом (равной номинальной стоимости облигаций в дату начала размещения облигаций, а начиная со второго дня размещения облигаций </w:t>
      </w:r>
      <w:r>
        <w:rPr>
          <w:sz w:val="28"/>
          <w:szCs w:val="24"/>
        </w:rPr>
        <w:t xml:space="preserve">–</w:t>
      </w:r>
      <w:r>
        <w:rPr>
          <w:sz w:val="28"/>
          <w:szCs w:val="24"/>
          <w:highlight w:val="white"/>
        </w:rPr>
        <w:t xml:space="preserve"> равной или отличной от нее).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white"/>
        </w:rPr>
        <w:t xml:space="preserve">24. </w:t>
      </w:r>
      <w:r>
        <w:rPr>
          <w:sz w:val="28"/>
          <w:szCs w:val="24"/>
          <w:highlight w:val="white"/>
        </w:rPr>
        <w:t xml:space="preserve">Начиная со второго дня размещения облигаций при совершении сделок купли-продажи дополнительно к цене покупки облигаций покупатель уплачивает накопленный купонный доход, рассчитанный на дату совершения сделки по формуле, указанной в </w:t>
      </w:r>
      <w:r>
        <w:rPr>
          <w:sz w:val="28"/>
          <w:szCs w:val="24"/>
          <w:highlight w:val="white"/>
        </w:rPr>
        <w:t xml:space="preserve">ч</w:t>
      </w:r>
      <w:hyperlink w:tooltip="3.1. Доходом по облигациям является фиксированный купонный доход, а также разница между ценой реализации (погашения) и ценой покупки облигаций. Купонный доход как абсолютная величина в рублях определяется исходя из размера ставки купонного дохода, установленно" w:anchor="P134" w:history="1">
        <w:r>
          <w:rPr>
            <w:sz w:val="28"/>
            <w:szCs w:val="24"/>
            <w:highlight w:val="none"/>
          </w:rPr>
          <w:t xml:space="preserve">асти 53</w:t>
        </w:r>
        <w:r>
          <w:rPr>
            <w:sz w:val="28"/>
            <w:szCs w:val="24"/>
            <w:highlight w:val="white"/>
          </w:rPr>
        </w:r>
      </w:hyperlink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словий</w:t>
      </w:r>
      <w:r>
        <w:rPr>
          <w:sz w:val="28"/>
          <w:szCs w:val="24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0"/>
        <w:suppressLineNumbers w:val="0"/>
        <w:ind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2.2. Размещение облигаций </w:t>
      </w:r>
      <w:r>
        <w:rPr>
          <w:sz w:val="28"/>
          <w:szCs w:val="24"/>
          <w:highlight w:val="white"/>
        </w:rPr>
        <w:t xml:space="preserve">путем сбора адресных заявок со стороны участников размещения на приобретение облигаций по цене размещения, равной</w:t>
      </w:r>
      <w:r>
        <w:rPr>
          <w:sz w:val="28"/>
          <w:szCs w:val="24"/>
          <w:highlight w:val="white"/>
        </w:rPr>
        <w:t xml:space="preserve"> номинальной стоимости облигаций в дату начала размещения и равной или отличной от нее в остальные даты, и ставке купонного дохода на первый купонный период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25</w:t>
      </w:r>
      <w:r>
        <w:rPr>
          <w:sz w:val="28"/>
          <w:szCs w:val="24"/>
          <w:highlight w:val="white"/>
        </w:rPr>
        <w:t xml:space="preserve">. Размещение облигаций может осуществляться путем заключения в соответствии с законодательством Российской Федерации, настоящими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словиями </w:t>
      </w:r>
      <w:r>
        <w:rPr>
          <w:sz w:val="28"/>
          <w:szCs w:val="24"/>
          <w:highlight w:val="white"/>
        </w:rPr>
        <w:t xml:space="preserve">и решением об эмиссии сделок купли-продажи облигаций между эми</w:t>
      </w:r>
      <w:r>
        <w:rPr>
          <w:sz w:val="28"/>
          <w:szCs w:val="24"/>
          <w:highlight w:val="white"/>
        </w:rPr>
        <w:t xml:space="preserve">тентом в лице уполномоченного агента эмитента, действующего по поручению и за счет эмитента, и первыми владельцами облигаций у организатора торговли посредством сбора адресных заявок со стороны участников размещения на приобретение облигаций по цене размещ</w:t>
      </w:r>
      <w:r>
        <w:rPr>
          <w:sz w:val="28"/>
          <w:szCs w:val="24"/>
          <w:highlight w:val="white"/>
        </w:rPr>
        <w:t xml:space="preserve">ения, равной номинальной стоимости облигаций в дату начала размещения и равной или отличной от нее в остальные даты, и ставке купонного дохода на первый купонный период, определенной эмитентом в порядке, указанном в 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словиях </w:t>
      </w:r>
      <w:r>
        <w:rPr>
          <w:sz w:val="28"/>
          <w:szCs w:val="24"/>
          <w:highlight w:val="white"/>
        </w:rPr>
        <w:t xml:space="preserve">и решении об эмиссии.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Размещение облигаций путем сбора адресных заявок со стороны участников размещения на приобретение облигаций по цене размещения, равной</w:t>
      </w:r>
      <w:r>
        <w:rPr>
          <w:sz w:val="28"/>
          <w:szCs w:val="24"/>
          <w:highlight w:val="white"/>
        </w:rPr>
        <w:t xml:space="preserve"> номинальной стоимости облигаций в дату начала размещения и равной или отличной от нее в остальные даты, и ставке купонного дохода на первый купонный период, определенной эмитентом в порядке, указанном в 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словиях </w:t>
      </w:r>
      <w:r>
        <w:rPr>
          <w:sz w:val="28"/>
          <w:szCs w:val="24"/>
          <w:highlight w:val="white"/>
        </w:rPr>
        <w:t xml:space="preserve">и решении об эмиссии, предусматри</w:t>
      </w:r>
      <w:r>
        <w:rPr>
          <w:sz w:val="28"/>
          <w:szCs w:val="24"/>
          <w:highlight w:val="white"/>
        </w:rPr>
        <w:t xml:space="preserve">вает адресованное неопределенному кругу лиц приглашение делать предложения о приобретении облигаций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  <w:highlight w:val="white"/>
        </w:rPr>
        <w:t xml:space="preserve"> оферта о приобретении облигаций) и заключение сделок купли-продажи облигаций с использованием системы торгов организатора торговли по цене размещен</w:t>
      </w:r>
      <w:r>
        <w:rPr>
          <w:sz w:val="28"/>
          <w:szCs w:val="24"/>
          <w:highlight w:val="white"/>
        </w:rPr>
        <w:t xml:space="preserve">ия, равной номинальной стоимости облигаций в дату начала размещения и равной или отличной от нее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  <w:highlight w:val="white"/>
        </w:rPr>
        <w:t xml:space="preserve"> в остальные даты, и ставке купонного дохода на первый купонный период, определенной эмитентом в порядке, указанном в 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словиях </w:t>
      </w:r>
      <w:r>
        <w:rPr>
          <w:sz w:val="28"/>
          <w:szCs w:val="24"/>
          <w:highlight w:val="white"/>
        </w:rPr>
        <w:t xml:space="preserve">и решении об эмиссии.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26. </w:t>
      </w:r>
      <w:r>
        <w:rPr>
          <w:sz w:val="28"/>
          <w:szCs w:val="24"/>
          <w:highlight w:val="white"/>
        </w:rPr>
        <w:t xml:space="preserve">Участники размещения направляют оферты о приобретении облигаций в адрес уполномоченного агента эмитента в порядке, установленном в решении об эмиссии.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полномоченный агент эмитента раскрывает информацию о сроках и порядке направления оферт о приобретении облигаций на своем официальном </w:t>
      </w:r>
      <w:r>
        <w:rPr>
          <w:sz w:val="28"/>
          <w:szCs w:val="24"/>
          <w:highlight w:val="white"/>
        </w:rPr>
        <w:t xml:space="preserve">сайте в информационно-телекоммуникационной сети </w:t>
      </w:r>
      <w:r>
        <w:rPr>
          <w:sz w:val="28"/>
          <w:szCs w:val="24"/>
          <w:highlight w:val="white"/>
        </w:rPr>
        <w:t xml:space="preserve">«</w:t>
      </w:r>
      <w:r>
        <w:rPr>
          <w:sz w:val="28"/>
          <w:szCs w:val="24"/>
          <w:highlight w:val="white"/>
        </w:rPr>
        <w:t xml:space="preserve">Интернет</w:t>
      </w:r>
      <w:r>
        <w:rPr>
          <w:sz w:val="28"/>
          <w:szCs w:val="24"/>
          <w:highlight w:val="white"/>
        </w:rPr>
        <w:t xml:space="preserve">»</w:t>
      </w:r>
      <w:r>
        <w:rPr>
          <w:sz w:val="28"/>
          <w:szCs w:val="24"/>
          <w:highlight w:val="white"/>
        </w:rPr>
        <w:t xml:space="preserve">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27. </w:t>
      </w:r>
      <w:r>
        <w:rPr>
          <w:sz w:val="28"/>
          <w:szCs w:val="24"/>
          <w:highlight w:val="white"/>
        </w:rPr>
        <w:t xml:space="preserve">При размещении облигаций </w:t>
      </w:r>
      <w:r>
        <w:rPr>
          <w:sz w:val="28"/>
          <w:szCs w:val="24"/>
          <w:highlight w:val="white"/>
        </w:rPr>
        <w:t xml:space="preserve">эмитент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намеревается заключать предварительные договоры с участниками размещения, содержащие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Заключение т</w:t>
      </w:r>
      <w:r>
        <w:rPr>
          <w:sz w:val="28"/>
          <w:szCs w:val="24"/>
          <w:highlight w:val="white"/>
        </w:rPr>
        <w:t xml:space="preserve">аких предварительных договоров осуществляется путем акцепта эмитентом оферт о приобретении облигаций, в соответствии с которыми участники размещения и эмитент обязуются заключить в дату начала размещения облигаций основные договоры купли-продажи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28. </w:t>
      </w:r>
      <w:r>
        <w:rPr>
          <w:sz w:val="28"/>
          <w:szCs w:val="24"/>
          <w:highlight w:val="white"/>
        </w:rPr>
        <w:t xml:space="preserve">В направляемых офертах о приобретении облигаций участники</w:t>
      </w:r>
      <w:r>
        <w:rPr>
          <w:sz w:val="28"/>
          <w:szCs w:val="24"/>
          <w:highlight w:val="white"/>
        </w:rPr>
        <w:t xml:space="preserve"> размещения указывают максимальную сумму, на которую они готовы купить облигации, максимальное количество облигаций и минимальную ставку купонного дохода на первый купонный период, по которой они готовы приобрести облигации на указанную максимальную сумму.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Участник размещения соглашается, что любая оферта о приобретении облигаций может быть отклонена, акцептована полностью или в части по усмотрению эмитента.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29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После окончания срока для направления оферт о приобретении облигаций уполномоченный агент эмитента формирует и передает эмитенту сводный реестр оферт о приобретении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На основании анализа реестра оферт о приобретении облигаций и с учетом прие</w:t>
      </w:r>
      <w:r>
        <w:rPr>
          <w:sz w:val="28"/>
          <w:szCs w:val="24"/>
          <w:highlight w:val="white"/>
        </w:rPr>
        <w:t xml:space="preserve">млемой стоимости заимствования эмитент принимает решение о величине ставки купонного дохода на первый купонны</w:t>
      </w:r>
      <w:r>
        <w:rPr>
          <w:sz w:val="28"/>
          <w:szCs w:val="24"/>
          <w:highlight w:val="white"/>
        </w:rPr>
        <w:t xml:space="preserve">й период и определяет участников размещения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  <w:highlight w:val="white"/>
        </w:rPr>
        <w:t xml:space="preserve"> потенциальный покупатель), которым он намеревается продать облигации, а также количество облигаций, которые он намеревается продать потенциальным покупателям, и акцептует оферты о приобретении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30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При анализе реестра оферт о приобретении облигаций эмитент руководствуется единовременным соблюдением следующих критериев: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numPr>
          <w:numId w:val="15"/>
          <w:ilvl w:val="0"/>
        </w:numPr>
        <w:suppressLineNumbers w:val="0"/>
        <w:ind w:left="0" w:right="0"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минимизация расходов на обслуживание государственного долга Камчатского края, складывающихся в результате размещения облигаций;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numPr>
          <w:numId w:val="15"/>
          <w:ilvl w:val="0"/>
        </w:numPr>
        <w:suppressLineNumbers w:val="0"/>
        <w:ind w:left="0" w:right="0"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недопущение возникновения дискриминационных условий в процессе принятия решения об акцепте;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numPr>
          <w:numId w:val="15"/>
          <w:ilvl w:val="0"/>
        </w:numPr>
        <w:suppressLineNumbers w:val="0"/>
        <w:ind w:left="0" w:right="0"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недопущение предоставления государственных преференций в процессе принятия решения об акцепте.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31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Наряду с этим эмитент по согласованию с уполномоченным агентом эмитента принимает во внимание один или несколько из нижеизложенных критериев: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numPr>
          <w:numId w:val="16"/>
          <w:ilvl w:val="0"/>
        </w:numPr>
        <w:suppressLineNumbers w:val="0"/>
        <w:ind w:left="0" w:right="0"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пропорциональное распределение облигаций между приобретателями;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numPr>
          <w:numId w:val="16"/>
          <w:ilvl w:val="0"/>
        </w:numPr>
        <w:suppressLineNumbers w:val="0"/>
        <w:ind w:left="0" w:right="0"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привлечение максимального количества инвесторов для обеспечения ликвидности выпуска облигаций во время вторичного обращения;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numPr>
          <w:numId w:val="16"/>
          <w:ilvl w:val="0"/>
        </w:numPr>
        <w:suppressLineNumbers w:val="0"/>
        <w:ind w:left="0" w:right="0"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диверсификация разных категорий инвесторов.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32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Эмитент не позднее даты начала размещения облигаций размещает на сайте эмитента </w:t>
      </w:r>
      <w:r>
        <w:rPr>
          <w:sz w:val="28"/>
          <w:szCs w:val="24"/>
          <w:highlight w:val="white"/>
        </w:rPr>
        <w:t xml:space="preserve">информацию об установленной ставке купонного дохода на первый </w:t>
      </w:r>
      <w:r>
        <w:rPr>
          <w:sz w:val="28"/>
          <w:szCs w:val="24"/>
          <w:highlight w:val="white"/>
        </w:rPr>
        <w:t xml:space="preserve">купонный период, определенной в порядке, указанном в 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словиях </w:t>
      </w:r>
      <w:r>
        <w:rPr>
          <w:sz w:val="28"/>
          <w:szCs w:val="24"/>
          <w:highlight w:val="white"/>
        </w:rPr>
        <w:t xml:space="preserve">и в решении об эмиссии.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33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Эмитент передает информацию об акцепте оферт о приобретении облигаций уполномоченному агенту эмитента.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Уполномоченный агент эмитента направляет акцепт на оферты о приобретении облигаций потенциальным покупателям, которые определены эмитентом.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34. </w:t>
      </w:r>
      <w:r>
        <w:rPr>
          <w:sz w:val="28"/>
          <w:szCs w:val="24"/>
          <w:highlight w:val="white"/>
        </w:rPr>
        <w:t xml:space="preserve">Заключение сделок купли-продажи облигаций осуществляетс</w:t>
      </w:r>
      <w:r>
        <w:rPr>
          <w:sz w:val="28"/>
          <w:szCs w:val="24"/>
          <w:highlight w:val="white"/>
        </w:rPr>
        <w:t xml:space="preserve">я с использованием системы торгов организатора торговли по цене размещения, равной номинальной стоимости облигаций и ставке купонного дохода на первый купонный период, определенной эмитентом в порядке, указанном в 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словиях </w:t>
      </w:r>
      <w:r>
        <w:rPr>
          <w:sz w:val="28"/>
          <w:szCs w:val="24"/>
          <w:highlight w:val="white"/>
        </w:rPr>
        <w:t xml:space="preserve">и в решении об эмиссии.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35. </w:t>
      </w:r>
      <w:r>
        <w:rPr>
          <w:sz w:val="28"/>
          <w:szCs w:val="24"/>
          <w:highlight w:val="white"/>
        </w:rPr>
        <w:t xml:space="preserve">В дату начала размещения облигаций участни</w:t>
      </w:r>
      <w:r>
        <w:rPr>
          <w:sz w:val="28"/>
          <w:szCs w:val="24"/>
          <w:highlight w:val="white"/>
        </w:rPr>
        <w:t xml:space="preserve">ки торгов организатора торговли в течение периода подачи адресных заявок на покупку облигаций, установленного организатором торговли, подают адресные заявки на покупку облигаций с использованием системы торгов организатора торговли как за свой счет, так и </w:t>
      </w:r>
      <w:r>
        <w:rPr>
          <w:sz w:val="28"/>
          <w:szCs w:val="24"/>
          <w:highlight w:val="white"/>
        </w:rPr>
        <w:t xml:space="preserve">за счет</w:t>
      </w:r>
      <w:r>
        <w:rPr>
          <w:sz w:val="28"/>
          <w:szCs w:val="24"/>
          <w:highlight w:val="white"/>
        </w:rPr>
        <w:t xml:space="preserve"> и по поручению клиентов (далее </w:t>
      </w:r>
      <w:r>
        <w:rPr>
          <w:sz w:val="28"/>
          <w:szCs w:val="24"/>
        </w:rPr>
        <w:t xml:space="preserve">– </w:t>
      </w:r>
      <w:r>
        <w:rPr>
          <w:sz w:val="28"/>
          <w:szCs w:val="24"/>
          <w:highlight w:val="white"/>
        </w:rPr>
        <w:t xml:space="preserve">адресная заявка).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Адресные заявки направляются участниками торгов в адрес уполномоченного агента эмитента.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36. </w:t>
      </w:r>
      <w:r>
        <w:rPr>
          <w:sz w:val="28"/>
          <w:szCs w:val="24"/>
          <w:highlight w:val="white"/>
        </w:rPr>
        <w:t xml:space="preserve">Адресная заявка должна содержать информацию о: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1)</w:t>
      </w:r>
      <w:r>
        <w:rPr>
          <w:sz w:val="28"/>
          <w:szCs w:val="24"/>
          <w:highlight w:val="white"/>
        </w:rPr>
        <w:t xml:space="preserve"> цене покупки (равной 100 (ста) процентам от номинальной стоимости облигации);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2)</w:t>
      </w:r>
      <w:r>
        <w:rPr>
          <w:sz w:val="28"/>
          <w:szCs w:val="24"/>
          <w:highlight w:val="white"/>
        </w:rPr>
        <w:t xml:space="preserve"> количестве облигаций;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3)</w:t>
      </w:r>
      <w:r>
        <w:rPr>
          <w:sz w:val="28"/>
          <w:szCs w:val="24"/>
          <w:highlight w:val="white"/>
        </w:rPr>
        <w:t xml:space="preserve"> величине ставки купонного дохода на первый купонный период, заранее определенной эмитентом в порядке, указанном в 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словиях </w:t>
      </w:r>
      <w:r>
        <w:rPr>
          <w:sz w:val="28"/>
          <w:szCs w:val="24"/>
          <w:highlight w:val="white"/>
        </w:rPr>
        <w:t xml:space="preserve">и решении об эмиссии;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4)</w:t>
      </w:r>
      <w:r>
        <w:rPr>
          <w:sz w:val="28"/>
          <w:szCs w:val="24"/>
          <w:highlight w:val="white"/>
        </w:rPr>
        <w:t xml:space="preserve"> прочих параметрах в соответствии с правилами организатора торговли.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37. </w:t>
      </w:r>
      <w:r>
        <w:rPr>
          <w:sz w:val="28"/>
          <w:szCs w:val="24"/>
          <w:highlight w:val="white"/>
        </w:rPr>
        <w:t xml:space="preserve">Заключение сделок купли-продажи облигаций начинается в дату начала разм</w:t>
      </w:r>
      <w:r>
        <w:rPr>
          <w:sz w:val="28"/>
          <w:szCs w:val="24"/>
          <w:highlight w:val="white"/>
        </w:rPr>
        <w:t xml:space="preserve">ещения облигаций после окончания периода подачи адресных заявок по цене размещения, равной 100 (ста) процентам номинальной стоимости облигаций, и ставке купонного дохода на первый купонный период, заранее определенной эмитентом в порядке, указанном в насто</w:t>
      </w:r>
      <w:r>
        <w:rPr>
          <w:sz w:val="28"/>
          <w:szCs w:val="24"/>
          <w:highlight w:val="white"/>
        </w:rPr>
        <w:t xml:space="preserve">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словиях </w:t>
      </w:r>
      <w:r>
        <w:rPr>
          <w:sz w:val="28"/>
          <w:szCs w:val="24"/>
          <w:highlight w:val="white"/>
        </w:rPr>
        <w:t xml:space="preserve">и решении об эмиссии, и заканчивается в дату окончания размещения облигаций. Организатор торговли составляет сводный реестр адресных заявок, полученных в течение периода подачи адресных заявок, и передает его уполномоченному агенту эмитента.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полномоченный агент эмитента передает вышеуказанный сводный реестр эмитенту.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38. </w:t>
      </w:r>
      <w:r>
        <w:rPr>
          <w:sz w:val="28"/>
          <w:szCs w:val="24"/>
          <w:highlight w:val="white"/>
        </w:rPr>
        <w:t xml:space="preserve">На основании анализа сводного реестра адресных заявок эмитент принимает решение об удовлетворении адресных заявок. </w:t>
      </w:r>
      <w:r>
        <w:rPr>
          <w:sz w:val="28"/>
          <w:szCs w:val="24"/>
          <w:highlight w:val="white"/>
        </w:rPr>
        <w:t xml:space="preserve">Э</w:t>
      </w:r>
      <w:r>
        <w:rPr>
          <w:sz w:val="28"/>
          <w:szCs w:val="24"/>
          <w:highlight w:val="white"/>
        </w:rPr>
        <w:t xml:space="preserve">митент передает уполномоченному агенту эмитента информацию об адресных заявках, которые будут удовлетворены, после чего эмитент в лице уполномоченного агента эмитента заключает сдел</w:t>
      </w:r>
      <w:r>
        <w:rPr>
          <w:sz w:val="28"/>
          <w:szCs w:val="24"/>
          <w:highlight w:val="white"/>
        </w:rPr>
        <w:t xml:space="preserve">ки купли-продажи облигаций с потенциальными покупателями путем выставления встречных адресных заявок с указанием количества облигаций, которые будут проданы покупателям согласно порядку, установленному настоящими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словиями</w:t>
      </w:r>
      <w:r>
        <w:rPr>
          <w:sz w:val="28"/>
          <w:szCs w:val="24"/>
          <w:highlight w:val="white"/>
        </w:rPr>
        <w:t xml:space="preserve">, решением об эмиссии и правилами </w:t>
      </w:r>
      <w:r>
        <w:rPr>
          <w:sz w:val="28"/>
          <w:szCs w:val="24"/>
          <w:highlight w:val="white"/>
        </w:rPr>
        <w:t xml:space="preserve">организатора торговли.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39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удовлетворения адресных заявок, установленного организатором торговли, и пров</w:t>
      </w:r>
      <w:r>
        <w:rPr>
          <w:sz w:val="28"/>
          <w:szCs w:val="24"/>
          <w:highlight w:val="white"/>
        </w:rPr>
        <w:t xml:space="preserve">одится в течение всего периода размещения облигаций путем удовлетворения адресных заявок на покупку облигаций, поданных в адрес уполномоченного агента эмитента в соответствии с правилами организатора торговли. Адресные заявки на покупку облигаций удовлетво</w:t>
      </w:r>
      <w:r>
        <w:rPr>
          <w:sz w:val="28"/>
          <w:szCs w:val="24"/>
          <w:highlight w:val="white"/>
        </w:rPr>
        <w:t xml:space="preserve">ряются в соответствии с указанием эмитента уполномоченному агенту эмитента по цене, указанной эмитентом (равной номинальной стоимости облигаций в дату начала размещения облигаций, а начиная со второго дня размещения облигаций </w:t>
      </w:r>
      <w:r>
        <w:rPr>
          <w:sz w:val="28"/>
          <w:szCs w:val="24"/>
        </w:rPr>
        <w:t xml:space="preserve">– </w:t>
      </w:r>
      <w:r>
        <w:rPr>
          <w:sz w:val="28"/>
          <w:szCs w:val="24"/>
          <w:highlight w:val="white"/>
        </w:rPr>
        <w:t xml:space="preserve">равной или отличной от нее).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white"/>
        </w:rPr>
        <w:t xml:space="preserve">40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Начиная со второго дня размещения облигаций при совершении сделок купли-продажи дополнительно к цене покупки облигаций покупатель</w:t>
      </w:r>
      <w:r>
        <w:rPr>
          <w:sz w:val="28"/>
          <w:szCs w:val="24"/>
          <w:highlight w:val="yellow"/>
        </w:rPr>
        <w:t xml:space="preserve"> </w:t>
      </w:r>
      <w:r>
        <w:rPr>
          <w:sz w:val="28"/>
          <w:szCs w:val="24"/>
          <w:highlight w:val="white"/>
        </w:rPr>
        <w:t xml:space="preserve">уплачивает накопленный купонный доход, рассчитанный на дату совершения сделки по формуле, указанной в </w:t>
      </w:r>
      <w:r>
        <w:rPr>
          <w:sz w:val="28"/>
          <w:szCs w:val="24"/>
          <w:highlight w:val="white"/>
        </w:rPr>
        <w:t xml:space="preserve">ч</w:t>
      </w:r>
      <w:r>
        <w:rPr>
          <w:sz w:val="28"/>
          <w:szCs w:val="24"/>
          <w:highlight w:val="white"/>
        </w:rPr>
        <w:t xml:space="preserve">а</w:t>
      </w:r>
      <w:r>
        <w:rPr>
          <w:sz w:val="28"/>
          <w:szCs w:val="24"/>
          <w:highlight w:val="white"/>
        </w:rPr>
        <w:t xml:space="preserve">с</w:t>
      </w:r>
      <w:r>
        <w:rPr>
          <w:sz w:val="28"/>
          <w:szCs w:val="24"/>
          <w:highlight w:val="white"/>
        </w:rPr>
        <w:t xml:space="preserve">т</w:t>
      </w:r>
      <w:r>
        <w:rPr>
          <w:sz w:val="28"/>
          <w:szCs w:val="24"/>
          <w:highlight w:val="white"/>
        </w:rPr>
        <w:t xml:space="preserve">и</w:t>
      </w:r>
      <w:hyperlink w:tooltip="3.1. Доходом по облигациям является фиксированный купонный доход, а также разница между ценой реализации (погашения) и ценой покупки облигаций. Купонный доход как абсолютная величина в рублях определяется исходя из размера ставки купонного дохода, установленно" w:anchor="P134" w:history="1">
        <w:r>
          <w:rPr>
            <w:sz w:val="28"/>
            <w:szCs w:val="24"/>
            <w:highlight w:val="white"/>
          </w:rPr>
          <w:t xml:space="preserve"> </w:t>
        </w:r>
        <w:r>
          <w:rPr>
            <w:sz w:val="28"/>
            <w:szCs w:val="24"/>
            <w:highlight w:val="white"/>
          </w:rPr>
          <w:t xml:space="preserve">53</w:t>
        </w:r>
        <w:r>
          <w:rPr>
            <w:sz w:val="28"/>
            <w:szCs w:val="24"/>
            <w:highlight w:val="white"/>
          </w:rPr>
          <w:t xml:space="preserve"> </w:t>
        </w:r>
      </w:hyperlink>
      <w:r>
        <w:rPr>
          <w:sz w:val="28"/>
          <w:szCs w:val="24"/>
          <w:highlight w:val="white"/>
        </w:rPr>
        <w:t xml:space="preserve">настоящих У</w:t>
      </w:r>
      <w:r>
        <w:rPr>
          <w:sz w:val="28"/>
          <w:szCs w:val="24"/>
          <w:highlight w:val="white"/>
        </w:rPr>
        <w:t xml:space="preserve">словий</w:t>
      </w:r>
      <w:r>
        <w:rPr>
          <w:sz w:val="28"/>
          <w:szCs w:val="24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0"/>
        <w:suppressLineNumbers w:val="0"/>
        <w:ind w:firstLine="0"/>
        <w:jc w:val="center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 xml:space="preserve">2.3. Размещение облигаций путем проведения аукциона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0"/>
        <w:jc w:val="center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41</w:t>
      </w:r>
      <w:r>
        <w:rPr>
          <w:sz w:val="28"/>
          <w:szCs w:val="24"/>
          <w:highlight w:val="white"/>
        </w:rPr>
        <w:t xml:space="preserve">. Размещение облигаций может осуществляться путем заключения в соответствии с законодательством Российской Федерации, настоящими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словиями </w:t>
      </w:r>
      <w:r>
        <w:rPr>
          <w:sz w:val="28"/>
          <w:szCs w:val="24"/>
          <w:highlight w:val="white"/>
        </w:rPr>
        <w:t xml:space="preserve">и решением об эмиссии сделок купли-продажи облигаций между эмитентом </w:t>
      </w:r>
      <w:r>
        <w:rPr>
          <w:sz w:val="28"/>
          <w:szCs w:val="24"/>
          <w:highlight w:val="white"/>
        </w:rPr>
        <w:t xml:space="preserve">в лице уполномоченного агента эмитента, действующего по поручению и за счет эмитента, и первыми владельцами облигаций на аукционе</w:t>
      </w:r>
      <w:r>
        <w:rPr>
          <w:sz w:val="28"/>
          <w:szCs w:val="24"/>
          <w:highlight w:val="white"/>
        </w:rPr>
        <w:t xml:space="preserve">, проводимом у организатора торговли в соответствии с правилами организатора торговли.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В случае размещения облигаций путем проведения аукциона </w:t>
      </w:r>
      <w:r>
        <w:rPr>
          <w:sz w:val="28"/>
          <w:szCs w:val="24"/>
          <w:highlight w:val="white"/>
        </w:rPr>
        <w:t xml:space="preserve">эмитент не позднее, чем за 2 (два) рабочих дня до даты начала размещения облигаций принимает решение о величине ставки купонного дохода по облигациям на первый и последующие купонные периоды в порядке, указанном в 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</w:t>
      </w:r>
      <w:r>
        <w:rPr>
          <w:sz w:val="28"/>
          <w:szCs w:val="24"/>
          <w:highlight w:val="white"/>
        </w:rPr>
        <w:t xml:space="preserve">овиях </w:t>
      </w:r>
      <w:r>
        <w:rPr>
          <w:sz w:val="28"/>
          <w:szCs w:val="24"/>
          <w:highlight w:val="white"/>
        </w:rPr>
        <w:t xml:space="preserve">и решении об эмиссии, и доводит указанную информацию до сведения потенциальных покупателей путем указания ставок купонного дохода на первый и последующие купонные периоды в решении об эмиссии и размещения соответствующей информации на сайте эмитента.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42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В дату начала размещения облигаций проводится аукцион </w:t>
      </w:r>
      <w:r>
        <w:rPr>
          <w:sz w:val="28"/>
          <w:szCs w:val="24"/>
          <w:highlight w:val="white"/>
        </w:rPr>
        <w:t xml:space="preserve">. Предметом аукциона является определение цены размещения облигаций в</w:t>
      </w:r>
      <w:r>
        <w:rPr>
          <w:sz w:val="28"/>
          <w:szCs w:val="24"/>
          <w:highlight w:val="white"/>
        </w:rPr>
        <w:t xml:space="preserve"> процентах от номинальной стоимости облигаций. В день проведения аукциона участники торгов организатора торговли подают заявки на покупку облигаций (далее </w:t>
      </w:r>
      <w:r>
        <w:rPr>
          <w:sz w:val="28"/>
          <w:szCs w:val="24"/>
        </w:rPr>
        <w:t xml:space="preserve">–</w:t>
      </w:r>
      <w:r>
        <w:rPr>
          <w:sz w:val="28"/>
          <w:szCs w:val="24"/>
          <w:highlight w:val="white"/>
        </w:rPr>
        <w:t xml:space="preserve"> заявка) на аукционе с использованием системы торгов организатора торговли, как за свой счет, так и </w:t>
      </w:r>
      <w:r>
        <w:rPr>
          <w:sz w:val="28"/>
          <w:szCs w:val="24"/>
          <w:highlight w:val="white"/>
        </w:rPr>
        <w:t xml:space="preserve">за счет</w:t>
      </w:r>
      <w:r>
        <w:rPr>
          <w:sz w:val="28"/>
          <w:szCs w:val="24"/>
          <w:highlight w:val="white"/>
        </w:rPr>
        <w:t xml:space="preserve"> и по поручению клиентов. Указанные заявки подаются в течение периода, установленного организатором торговли.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Заявка должна содержать информацию о цене покупки (в процентах от номинальной стоимости облигации) и количестве приобретаемых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43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Организатор торговли составляет сводный реестр заявок, полученных в течение периода подачи заявок, и передает его уполномоченному агенту </w:t>
      </w:r>
      <w:r>
        <w:rPr>
          <w:sz w:val="28"/>
          <w:szCs w:val="24"/>
          <w:highlight w:val="white"/>
        </w:rPr>
        <w:t xml:space="preserve">эмитента.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полномоченный агент эмитента передает вышеуказанный сводный реестр эмитенту.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44. </w:t>
      </w:r>
      <w:r>
        <w:rPr>
          <w:sz w:val="28"/>
          <w:szCs w:val="24"/>
          <w:highlight w:val="white"/>
        </w:rPr>
        <w:t xml:space="preserve">Эмитент определяет единую для всех покупателей цену размещения облигаций на основании поданных заявок и с учетом приемлемой стоимости заимствования.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45. </w:t>
      </w:r>
      <w:r>
        <w:rPr>
          <w:sz w:val="28"/>
          <w:szCs w:val="24"/>
          <w:highlight w:val="white"/>
        </w:rPr>
        <w:t xml:space="preserve">Заключение сделок купли-продажи облигаций начинается в дату начала размещения облигаций после определения эмитентом цены размещения по итогам аукциона и заканчивается в дату окончания размещения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46. </w:t>
      </w:r>
      <w:r>
        <w:rPr>
          <w:sz w:val="28"/>
          <w:szCs w:val="24"/>
          <w:highlight w:val="white"/>
        </w:rPr>
        <w:t xml:space="preserve">Заявки удовлетворяются в случае, если цена размещения будет установлена не выше цены, указанной в такой заявке. Приоритетом пользуются заявки с наибольшей ценой размещения облигаций, </w:t>
      </w:r>
      <w:r>
        <w:rPr>
          <w:sz w:val="28"/>
          <w:szCs w:val="24"/>
          <w:highlight w:val="white"/>
        </w:rPr>
        <w:t xml:space="preserve">то есть в первую очередь удовлетворяются заявки на покупку, в которых указана наибольшая цена размещения облигаций. Если с одинаковой ценой размещения зарегистрировано несколько заявок, то в первую очередь удовлетворяются заявки, поданные ранее по времени.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47. </w:t>
      </w:r>
      <w:r>
        <w:rPr>
          <w:sz w:val="28"/>
          <w:szCs w:val="24"/>
          <w:highlight w:val="white"/>
        </w:rPr>
        <w:t xml:space="preserve">В случае если объем последней из удовлетворяемых заявок на покупку превышает количество облигаций, оставшихся неразмещенными, то данная заявка удовлетворяется в размере неразмещенного остатка облигаций.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48. </w:t>
      </w:r>
      <w:r>
        <w:rPr>
          <w:sz w:val="28"/>
          <w:szCs w:val="24"/>
          <w:highlight w:val="white"/>
        </w:rPr>
        <w:t xml:space="preserve">В случае неполного размещения выпуска облигаций дальнейшее размещение облигаций начинается в день проведен</w:t>
      </w:r>
      <w:r>
        <w:rPr>
          <w:sz w:val="28"/>
          <w:szCs w:val="24"/>
          <w:highlight w:val="white"/>
        </w:rPr>
        <w:t xml:space="preserve">ия аукциона, непосредственно после его окончания и проводится в течение периода размещения облигаций в соответствии с законодательством Российской  Федерации, настоящими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словиями</w:t>
      </w:r>
      <w:r>
        <w:rPr>
          <w:sz w:val="28"/>
          <w:szCs w:val="24"/>
          <w:highlight w:val="white"/>
        </w:rPr>
        <w:t xml:space="preserve">, решением об эмиссии путем заключения сделок купли-продажи между эмитентом в </w:t>
      </w:r>
      <w:r>
        <w:rPr>
          <w:sz w:val="28"/>
          <w:szCs w:val="24"/>
          <w:highlight w:val="white"/>
        </w:rPr>
        <w:t xml:space="preserve">лице уполномоченного агента эмитента, действующего по поручению и за счет эмитента, и первыми владельцами облигаций по цене, установленной эмитентом, на торгах, проводимых у организатора торговли, в порядке, предусмотренном правилами организатора торговли.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49</w:t>
      </w:r>
      <w:r>
        <w:rPr>
          <w:sz w:val="28"/>
          <w:szCs w:val="24"/>
          <w:highlight w:val="white"/>
        </w:rPr>
        <w:t xml:space="preserve">. </w:t>
      </w:r>
      <w:r>
        <w:rPr>
          <w:sz w:val="28"/>
          <w:szCs w:val="24"/>
          <w:highlight w:val="white"/>
        </w:rPr>
        <w:t xml:space="preserve">Начиная со второго дня размещения облигаций при совершении сделок купли-продажи дополнительно к цене покупки облигаций покупатель уплачивает накопленный купонный доход, рассчитанный на дату совершения сделки по формуле, указанной в </w:t>
      </w:r>
      <w:hyperlink w:tooltip="3.1. Доходом по облигациям является фиксированный купонный доход, а также разница между ценой реализации (погашения) и ценой покупки облигаций. Купонный доход как абсолютная величина в рублях определяется исходя из размера ставки купонного дохода, установленно" w:anchor="P134" w:history="1">
        <w:r>
          <w:rPr>
            <w:sz w:val="28"/>
            <w:szCs w:val="24"/>
            <w:highlight w:val="white"/>
          </w:rPr>
          <w:t xml:space="preserve">части</w:t>
        </w:r>
        <w:r>
          <w:rPr>
            <w:sz w:val="28"/>
            <w:szCs w:val="24"/>
            <w:highlight w:val="white"/>
          </w:rPr>
          <w:t xml:space="preserve"> </w:t>
        </w:r>
        <w:r>
          <w:rPr>
            <w:sz w:val="28"/>
            <w:szCs w:val="24"/>
            <w:highlight w:val="white"/>
          </w:rPr>
          <w:t xml:space="preserve">53</w:t>
        </w:r>
        <w:r>
          <w:rPr>
            <w:sz w:val="28"/>
            <w:szCs w:val="24"/>
            <w:highlight w:val="white"/>
          </w:rPr>
          <w:t xml:space="preserve"> </w:t>
        </w:r>
      </w:hyperlink>
      <w:r>
        <w:rPr>
          <w:sz w:val="28"/>
          <w:szCs w:val="24"/>
          <w:highlight w:val="white"/>
        </w:rPr>
        <w:t xml:space="preserve">настоящих 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словий</w:t>
      </w:r>
      <w:r>
        <w:rPr>
          <w:sz w:val="28"/>
          <w:szCs w:val="24"/>
          <w:highlight w:val="white"/>
        </w:rPr>
        <w:t xml:space="preserve">.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900"/>
        <w:ind w:firstLine="540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54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3. Получение доходов по облигациям и погашение облигаций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14:ligatures w14:val="none"/>
        </w:rPr>
      </w:pPr>
      <w:bookmarkStart w:id="5" w:name="P134"/>
      <w:bookmarkEnd w:id="5"/>
      <w:r>
        <w:rPr>
          <w:sz w:val="28"/>
          <w:szCs w:val="24"/>
        </w:rPr>
        <w:t xml:space="preserve">50</w:t>
      </w:r>
      <w:r>
        <w:rPr>
          <w:sz w:val="28"/>
          <w:szCs w:val="24"/>
        </w:rPr>
        <w:t xml:space="preserve">. Доходом по облигациям является переменный купонный доход, а также разница между ценой реализации (погашения) и ценой покупки облигаций. Купонный доход как абсолютная величина в рублях определяется исходя из раз</w:t>
      </w:r>
      <w:r>
        <w:rPr>
          <w:sz w:val="28"/>
          <w:szCs w:val="28"/>
        </w:rPr>
        <w:t xml:space="preserve">мера ставки купонн</w:t>
      </w:r>
      <w:r>
        <w:rPr>
          <w:sz w:val="28"/>
          <w:szCs w:val="28"/>
        </w:rPr>
        <w:t xml:space="preserve">ого дохода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51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Купонный доход по облигациям определяется на осно</w:t>
      </w:r>
      <w:r>
        <w:rPr>
          <w:sz w:val="28"/>
          <w:szCs w:val="28"/>
        </w:rPr>
        <w:t xml:space="preserve">ве значений кривой бескупонной доходности по облигациям федеральных займов, или ключевой ставки Банка России, или ставки RUONIA. Указание на конкретный индикатор финансового рынка, а также порядок расчета купонного дохода </w:t>
      </w:r>
      <w:r>
        <w:rPr>
          <w:sz w:val="28"/>
          <w:szCs w:val="28"/>
        </w:rPr>
        <w:t xml:space="preserve"> указ</w:t>
      </w:r>
      <w:r>
        <w:rPr>
          <w:sz w:val="28"/>
          <w:szCs w:val="28"/>
        </w:rPr>
        <w:t xml:space="preserve">ывается</w:t>
      </w:r>
      <w:r>
        <w:rPr>
          <w:sz w:val="28"/>
          <w:szCs w:val="28"/>
        </w:rPr>
        <w:t xml:space="preserve"> в решении об эмиссии.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Величина купонного дохода рассчитывается отдельно для каждого периода выплаты купонного дохода и объявляется по купонам, начиная со второго и включая последний купонные периоды - не позднее чем за </w:t>
      </w:r>
      <w:r>
        <w:rPr>
          <w:sz w:val="28"/>
          <w:szCs w:val="28"/>
        </w:rPr>
        <w:t xml:space="preserve">2 (</w:t>
      </w:r>
      <w:r>
        <w:rPr>
          <w:sz w:val="28"/>
          <w:szCs w:val="28"/>
        </w:rPr>
        <w:t xml:space="preserve">два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рабочих дня до даты выплаты дохода по предшествующему к</w:t>
      </w:r>
      <w:r>
        <w:rPr>
          <w:sz w:val="28"/>
          <w:szCs w:val="28"/>
        </w:rPr>
        <w:t xml:space="preserve">упону.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Величина процентной ставки по первому купонному периоду раскрывается не позднее даты начала размещения облигаций.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Проценты по первому купону начисляются с календарного дня, следующего за датой размещения (датой начала размещения) облигаций, по дату </w:t>
      </w:r>
      <w:r>
        <w:rPr>
          <w:sz w:val="28"/>
          <w:szCs w:val="28"/>
        </w:rPr>
        <w:t xml:space="preserve">окончания первого купонного периода.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Проценты по купонам, начиная со второго и включая последний купонные периоды, начисляются с календарного дня, следующего за датой окончания предшествующего купонного периода, по дату окончания текущего купонного периода</w:t>
      </w:r>
      <w:r>
        <w:rPr>
          <w:sz w:val="28"/>
          <w:szCs w:val="28"/>
        </w:rPr>
        <w:t xml:space="preserve"> (дату погашения).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52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Величина купонного дохода определяется по формуле: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center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Rj</w:t>
      </w:r>
      <w:r>
        <w:rPr>
          <w:sz w:val="28"/>
          <w:szCs w:val="24"/>
        </w:rPr>
        <w:t xml:space="preserve">=</w:t>
      </w:r>
      <w:r>
        <w:rPr>
          <w:sz w:val="28"/>
          <w:szCs w:val="24"/>
          <w:lang w:val="en-US"/>
        </w:rPr>
        <w:t xml:space="preserve">Cj</w:t>
      </w:r>
      <w:r>
        <w:rPr>
          <w:sz w:val="28"/>
          <w:szCs w:val="24"/>
        </w:rPr>
        <w:t xml:space="preserve">*</w:t>
      </w:r>
      <w:r>
        <w:rPr>
          <w:sz w:val="28"/>
          <w:szCs w:val="24"/>
          <w:lang w:val="en-US"/>
        </w:rPr>
        <w:t xml:space="preserve">Tj</w:t>
      </w:r>
      <w:r>
        <w:rPr>
          <w:sz w:val="28"/>
          <w:szCs w:val="24"/>
        </w:rPr>
        <w:t xml:space="preserve">*</w:t>
      </w:r>
      <w:r>
        <w:rPr>
          <w:sz w:val="28"/>
          <w:szCs w:val="24"/>
          <w:lang w:val="en-US"/>
        </w:rPr>
        <w:t xml:space="preserve">Nom</w:t>
      </w:r>
      <w:r>
        <w:rPr>
          <w:sz w:val="28"/>
          <w:szCs w:val="24"/>
        </w:rPr>
        <w:t xml:space="preserve">/(</w:t>
      </w:r>
      <w:r>
        <w:rPr>
          <w:sz w:val="28"/>
          <w:szCs w:val="24"/>
        </w:rPr>
        <w:t xml:space="preserve">365*100%)</w:t>
      </w:r>
      <w:r>
        <w:rPr>
          <w:sz w:val="28"/>
          <w:szCs w:val="24"/>
        </w:rPr>
        <w:t xml:space="preserve">, где: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Rj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величина купонного дохода за 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</w:t>
      </w:r>
      <w:r>
        <w:rPr>
          <w:sz w:val="28"/>
          <w:szCs w:val="24"/>
        </w:rPr>
        <w:t xml:space="preserve">тый</w:t>
      </w:r>
      <w:r>
        <w:rPr>
          <w:sz w:val="28"/>
          <w:szCs w:val="24"/>
        </w:rPr>
        <w:t xml:space="preserve"> купонный период, </w:t>
      </w:r>
      <w:r>
        <w:rPr>
          <w:sz w:val="28"/>
          <w:szCs w:val="24"/>
        </w:rPr>
        <w:t xml:space="preserve">в рублях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Cj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размер процентной ставки купонного дохода по 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</w:t>
      </w:r>
      <w:r>
        <w:rPr>
          <w:sz w:val="28"/>
          <w:szCs w:val="24"/>
        </w:rPr>
        <w:t xml:space="preserve">му купонному периоду</w:t>
      </w:r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в </w:t>
      </w:r>
      <w:r>
        <w:rPr>
          <w:sz w:val="28"/>
          <w:szCs w:val="24"/>
        </w:rPr>
        <w:t xml:space="preserve">процент</w:t>
      </w:r>
      <w:r>
        <w:rPr>
          <w:sz w:val="28"/>
          <w:szCs w:val="24"/>
        </w:rPr>
        <w:t xml:space="preserve">ах</w:t>
      </w:r>
      <w:r>
        <w:rPr>
          <w:sz w:val="28"/>
          <w:szCs w:val="24"/>
        </w:rPr>
        <w:t xml:space="preserve"> годовых;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Tj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длительность 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-го купонного периода, в днях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Nom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номинальная стоимость (непогашенная часть номинальной стоимости) одной облигации на дату расчета выплаты купонного дохода за 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</w:t>
      </w:r>
      <w:r>
        <w:rPr>
          <w:sz w:val="28"/>
          <w:szCs w:val="24"/>
        </w:rPr>
        <w:t xml:space="preserve">ты</w:t>
      </w:r>
      <w:r>
        <w:rPr>
          <w:sz w:val="28"/>
          <w:szCs w:val="24"/>
        </w:rPr>
        <w:t xml:space="preserve">й</w:t>
      </w:r>
      <w:r>
        <w:rPr>
          <w:sz w:val="28"/>
          <w:szCs w:val="24"/>
        </w:rPr>
        <w:t xml:space="preserve"> купонный период,</w:t>
      </w:r>
      <w:r>
        <w:rPr>
          <w:sz w:val="28"/>
          <w:szCs w:val="24"/>
        </w:rPr>
        <w:t xml:space="preserve"> в рублях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порядковый</w:t>
      </w:r>
      <w:r>
        <w:rPr>
          <w:sz w:val="28"/>
          <w:szCs w:val="24"/>
        </w:rPr>
        <w:t xml:space="preserve"> номер купонного периода.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Даты начала и окончания купонных периодов, даты выплат купонного дохода устанавливаются </w:t>
      </w:r>
      <w:r>
        <w:rPr>
          <w:sz w:val="28"/>
          <w:szCs w:val="24"/>
        </w:rPr>
        <w:t xml:space="preserve">эмитентом </w:t>
      </w:r>
      <w:r>
        <w:rPr>
          <w:sz w:val="28"/>
          <w:szCs w:val="24"/>
        </w:rPr>
        <w:t xml:space="preserve">в решении об эмиссии.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Сумма выплаты по купонному доходу на одну облигацию </w:t>
      </w:r>
      <w:r>
        <w:rPr>
          <w:sz w:val="28"/>
          <w:szCs w:val="24"/>
        </w:rPr>
        <w:t xml:space="preserve">рассчитывается </w:t>
      </w:r>
      <w:r>
        <w:rPr>
          <w:sz w:val="28"/>
          <w:szCs w:val="24"/>
        </w:rPr>
        <w:t xml:space="preserve">с точностью до одной копейки (округление производится по правилу математического округления).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53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В ходе размещения облигаций (начиная со второго дн</w:t>
      </w:r>
      <w:r>
        <w:rPr>
          <w:sz w:val="28"/>
          <w:szCs w:val="24"/>
        </w:rPr>
        <w:t xml:space="preserve">я размещения облигаций) и при обращении облигаций, при совершении сделок купли-продажи облигаций покупатель уплачивает продавцу цену покупки облигаций, а также накопленный купонный доход на одну облигацию, который рассчитывается на текущую дату по формуле: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НКД=</w:t>
      </w:r>
      <w:r>
        <w:rPr>
          <w:sz w:val="28"/>
          <w:szCs w:val="24"/>
          <w:lang w:val="en-US"/>
        </w:rPr>
        <w:t xml:space="preserve">Cj</w:t>
      </w:r>
      <w:r>
        <w:rPr>
          <w:sz w:val="28"/>
          <w:szCs w:val="24"/>
        </w:rPr>
        <w:t xml:space="preserve">*</w:t>
      </w:r>
      <w:r>
        <w:rPr>
          <w:sz w:val="28"/>
          <w:szCs w:val="24"/>
          <w:lang w:val="en-US"/>
        </w:rPr>
        <w:t xml:space="preserve">Nom</w:t>
      </w:r>
      <w:r>
        <w:rPr>
          <w:sz w:val="28"/>
          <w:szCs w:val="24"/>
        </w:rPr>
        <w:t xml:space="preserve">*(</w:t>
      </w:r>
      <w:r>
        <w:rPr>
          <w:sz w:val="28"/>
          <w:szCs w:val="24"/>
          <w:lang w:val="en-US"/>
        </w:rPr>
        <w:t xml:space="preserve">T</w:t>
      </w:r>
      <w:r>
        <w:rPr>
          <w:sz w:val="28"/>
          <w:szCs w:val="24"/>
        </w:rPr>
        <w:t xml:space="preserve">-</w:t>
      </w:r>
      <w:r>
        <w:rPr>
          <w:sz w:val="28"/>
          <w:szCs w:val="24"/>
          <w:lang w:val="en-US"/>
        </w:rPr>
        <w:t xml:space="preserve">T</w:t>
      </w:r>
      <w:r>
        <w:rPr>
          <w:sz w:val="28"/>
          <w:szCs w:val="24"/>
        </w:rPr>
        <w:t xml:space="preserve">(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-1))/365/100%</w:t>
      </w:r>
      <w:r>
        <w:rPr>
          <w:sz w:val="28"/>
          <w:szCs w:val="24"/>
        </w:rPr>
        <w:t xml:space="preserve">, где: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НКД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накопленный купонный доход на одну облигацию, рублей;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Cj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размер процентной ставки купонного дохода по 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</w:t>
      </w:r>
      <w:r>
        <w:rPr>
          <w:sz w:val="28"/>
          <w:szCs w:val="24"/>
        </w:rPr>
        <w:t xml:space="preserve">му купонному периоду</w:t>
      </w:r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 xml:space="preserve">в </w:t>
      </w:r>
      <w:r>
        <w:rPr>
          <w:sz w:val="28"/>
          <w:szCs w:val="24"/>
        </w:rPr>
        <w:t xml:space="preserve">процент</w:t>
      </w:r>
      <w:r>
        <w:rPr>
          <w:sz w:val="28"/>
          <w:szCs w:val="24"/>
        </w:rPr>
        <w:t xml:space="preserve">ах</w:t>
      </w:r>
      <w:r>
        <w:rPr>
          <w:sz w:val="28"/>
          <w:szCs w:val="24"/>
        </w:rPr>
        <w:t xml:space="preserve"> годовых;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Nom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номинальная стоимость (непогашенная часть номинальной </w:t>
      </w:r>
      <w:r>
        <w:rPr>
          <w:sz w:val="28"/>
          <w:szCs w:val="24"/>
        </w:rPr>
        <w:t xml:space="preserve">стоимости) одной облигации на дату расчета выплаты купонного дохода за 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</w:t>
      </w:r>
      <w:r>
        <w:rPr>
          <w:sz w:val="28"/>
          <w:szCs w:val="24"/>
        </w:rPr>
        <w:t xml:space="preserve">ты</w:t>
      </w:r>
      <w:r>
        <w:rPr>
          <w:sz w:val="28"/>
          <w:szCs w:val="24"/>
        </w:rPr>
        <w:t xml:space="preserve">й</w:t>
      </w:r>
      <w:r>
        <w:rPr>
          <w:sz w:val="28"/>
          <w:szCs w:val="24"/>
        </w:rPr>
        <w:t xml:space="preserve"> купонный период,</w:t>
      </w:r>
      <w:r>
        <w:rPr>
          <w:sz w:val="28"/>
          <w:szCs w:val="24"/>
        </w:rPr>
        <w:t xml:space="preserve"> в рублях;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T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дата</w:t>
      </w:r>
      <w:r>
        <w:rPr>
          <w:sz w:val="28"/>
          <w:szCs w:val="24"/>
        </w:rPr>
        <w:t xml:space="preserve">, на которую рассчитывается НКД;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T</w:t>
      </w:r>
      <w:r>
        <w:rPr>
          <w:sz w:val="28"/>
          <w:szCs w:val="24"/>
        </w:rPr>
        <w:t xml:space="preserve">(</w:t>
      </w: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-1)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дата окончания предыдущего купонного периода (для первого купонного периода </w:t>
      </w:r>
      <w:r>
        <w:rPr>
          <w:sz w:val="28"/>
        </w:rPr>
        <w:t xml:space="preserve">– </w:t>
      </w:r>
      <w:r>
        <w:rPr>
          <w:sz w:val="28"/>
          <w:szCs w:val="24"/>
        </w:rPr>
        <w:t xml:space="preserve">дата начала размещения облигаций);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t xml:space="preserve">j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пор</w:t>
      </w:r>
      <w:r>
        <w:rPr>
          <w:sz w:val="28"/>
          <w:szCs w:val="24"/>
        </w:rPr>
        <w:t xml:space="preserve">ядковый</w:t>
      </w:r>
      <w:r>
        <w:rPr>
          <w:sz w:val="28"/>
          <w:szCs w:val="24"/>
        </w:rPr>
        <w:t xml:space="preserve"> номер купонного периода.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Сумма выплаты по</w:t>
      </w:r>
      <w:r>
        <w:rPr>
          <w:sz w:val="28"/>
          <w:szCs w:val="24"/>
        </w:rPr>
        <w:t xml:space="preserve"> накопленно</w:t>
      </w:r>
      <w:r>
        <w:rPr>
          <w:sz w:val="28"/>
          <w:szCs w:val="24"/>
        </w:rPr>
        <w:t xml:space="preserve">му</w:t>
      </w:r>
      <w:r>
        <w:rPr>
          <w:sz w:val="28"/>
          <w:szCs w:val="24"/>
        </w:rPr>
        <w:t xml:space="preserve"> купонно</w:t>
      </w:r>
      <w:r>
        <w:rPr>
          <w:sz w:val="28"/>
          <w:szCs w:val="24"/>
        </w:rPr>
        <w:t xml:space="preserve">му доходу на одну облигацию</w:t>
      </w:r>
      <w:r>
        <w:rPr>
          <w:sz w:val="28"/>
          <w:szCs w:val="24"/>
        </w:rPr>
        <w:t xml:space="preserve"> рассчитывается с точностью до одной копейки (округление производится по правилу математического округления).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54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 Выплата купонного дохода производится в валюте Российской </w:t>
      </w:r>
      <w:r>
        <w:rPr>
          <w:sz w:val="28"/>
          <w:szCs w:val="24"/>
        </w:rPr>
        <w:t xml:space="preserve"> </w:t>
      </w:r>
      <w:r>
        <w:rPr>
          <w:sz w:val="28"/>
          <w:szCs w:val="24"/>
        </w:rPr>
        <w:t xml:space="preserve">Федерации в безналичном порядке.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Владельцы и иные лица, осуществляющие в соответствии с </w:t>
      </w:r>
      <w:r>
        <w:rPr>
          <w:sz w:val="28"/>
          <w:szCs w:val="24"/>
        </w:rPr>
        <w:t xml:space="preserve"> законодательством Российской Федерации</w:t>
      </w:r>
      <w:r>
        <w:rPr>
          <w:sz w:val="28"/>
          <w:szCs w:val="24"/>
        </w:rPr>
        <w:t xml:space="preserve"> права по облигациям, получают </w:t>
      </w:r>
      <w:r>
        <w:rPr>
          <w:sz w:val="28"/>
          <w:szCs w:val="24"/>
        </w:rPr>
        <w:t xml:space="preserve">выплаты купонного </w:t>
      </w:r>
      <w:r>
        <w:rPr>
          <w:sz w:val="28"/>
          <w:szCs w:val="24"/>
        </w:rPr>
        <w:t xml:space="preserve">доход</w:t>
      </w:r>
      <w:r>
        <w:rPr>
          <w:sz w:val="28"/>
          <w:szCs w:val="24"/>
        </w:rPr>
        <w:t xml:space="preserve">а по облигациям </w:t>
      </w:r>
      <w:r>
        <w:rPr>
          <w:sz w:val="28"/>
          <w:szCs w:val="24"/>
        </w:rPr>
        <w:t xml:space="preserve">в денежной форме через депозитарий, осуществляющий учет прав на облигации, депонентами которого они являются. </w:t>
      </w:r>
      <w:r>
        <w:rPr>
          <w:sz w:val="28"/>
          <w:szCs w:val="24"/>
        </w:rPr>
        <w:t xml:space="preserve">Д</w:t>
      </w:r>
      <w:r>
        <w:rPr>
          <w:sz w:val="28"/>
          <w:szCs w:val="24"/>
        </w:rPr>
        <w:t xml:space="preserve">епозитарный договор между депозитарием, осуществляющим учет прав на </w:t>
      </w:r>
      <w:r>
        <w:rPr>
          <w:sz w:val="28"/>
          <w:szCs w:val="24"/>
        </w:rPr>
        <w:t xml:space="preserve">облигации</w:t>
      </w:r>
      <w:r>
        <w:rPr>
          <w:sz w:val="28"/>
          <w:szCs w:val="24"/>
        </w:rPr>
        <w:t xml:space="preserve">, и депонентом должен содержать порядок передачи депоненту выплат по </w:t>
      </w:r>
      <w:r>
        <w:rPr>
          <w:sz w:val="28"/>
          <w:szCs w:val="24"/>
        </w:rPr>
        <w:t xml:space="preserve">облигациям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Эмитент исполняет обязанность по осуществлению выплат купонного дохода по облигациям путем перечисле</w:t>
      </w:r>
      <w:r>
        <w:rPr>
          <w:sz w:val="28"/>
          <w:szCs w:val="24"/>
        </w:rPr>
        <w:t xml:space="preserve">ния денежных средств уполномоченному депозитарию. Указанная обязанность считается исполненной эмитентом с даты поступления денежных средств на специальный депозитарный счет (счет депозитария, являющегося кредитной организацией) уполномоченного депозитария.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Выплаты купонного дохода по облигациям осуществляются в соответствии с порядком, установленным настоящими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словиями, решением об эмиссии и требованиями действующего законодательства Российской Федерации.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Купонный доход по облигациям, не размещенным на дату выплаты купонного дохода, или по облигациям, переведенным на счет депо эмитента в уполномоченном депозитарии, предназначенный для учета прав на выпущенные им облигации, не начисляется и не выплачивается.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55</w:t>
      </w:r>
      <w:r>
        <w:rPr>
          <w:sz w:val="28"/>
          <w:szCs w:val="24"/>
        </w:rPr>
        <w:t xml:space="preserve">. Погашение номинальной стоимости облигаций осуществляется частями (далее </w:t>
      </w:r>
      <w:r>
        <w:rPr>
          <w:sz w:val="28"/>
        </w:rPr>
        <w:t xml:space="preserve">–</w:t>
      </w:r>
      <w:r>
        <w:rPr>
          <w:sz w:val="28"/>
          <w:szCs w:val="24"/>
        </w:rPr>
        <w:t xml:space="preserve"> амортизация долга) в даты</w:t>
      </w:r>
      <w:r>
        <w:rPr>
          <w:sz w:val="28"/>
          <w:szCs w:val="24"/>
        </w:rPr>
        <w:t xml:space="preserve"> и размерах</w:t>
      </w:r>
      <w:r>
        <w:rPr>
          <w:sz w:val="28"/>
          <w:szCs w:val="24"/>
        </w:rPr>
        <w:t xml:space="preserve">, установленные в решении об эмиссии и совпадающие с датами выплаты купонного дохода по облигациям (далее </w:t>
      </w:r>
      <w:r>
        <w:rPr>
          <w:sz w:val="28"/>
        </w:rPr>
        <w:t xml:space="preserve">–</w:t>
      </w:r>
      <w:r>
        <w:rPr>
          <w:sz w:val="28"/>
          <w:szCs w:val="24"/>
        </w:rPr>
        <w:t xml:space="preserve"> даты амортизации долга).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56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Выплата при погашении облигаций производится в валюте Российской Федерации в безналичном порядке.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Владельцы и иные лица, осуществляющие в соответствии с </w:t>
      </w:r>
      <w:r>
        <w:rPr>
          <w:sz w:val="28"/>
          <w:szCs w:val="24"/>
        </w:rPr>
        <w:t xml:space="preserve">законодательством Российской Федерации </w:t>
      </w:r>
      <w:r>
        <w:rPr>
          <w:sz w:val="28"/>
          <w:szCs w:val="24"/>
        </w:rPr>
        <w:t xml:space="preserve"> права по облигациям, получают выплаты погашаемой части номинальной стоимости облигаций через депозитарий, осуществляющий учет прав на облигации, депонентами которого они являются. Депозитарный договор между депозитарием, осуществляющим учет прав на </w:t>
      </w:r>
      <w:r>
        <w:rPr>
          <w:sz w:val="28"/>
          <w:szCs w:val="24"/>
        </w:rPr>
        <w:t xml:space="preserve">облигации</w:t>
      </w:r>
      <w:r>
        <w:rPr>
          <w:sz w:val="28"/>
          <w:szCs w:val="24"/>
        </w:rPr>
        <w:t xml:space="preserve">, и депонентом должен содержать порядок передачи депоненту выплат по </w:t>
      </w:r>
      <w:r>
        <w:rPr>
          <w:sz w:val="28"/>
          <w:szCs w:val="24"/>
        </w:rPr>
        <w:t xml:space="preserve">облигациям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Эмитент исполняет обязанность по осуществлению выплат </w:t>
      </w:r>
      <w:r>
        <w:rPr>
          <w:sz w:val="28"/>
          <w:szCs w:val="24"/>
        </w:rPr>
        <w:t xml:space="preserve">погашаемой части номинальной стоимости облигаций п</w:t>
      </w:r>
      <w:r>
        <w:rPr>
          <w:sz w:val="28"/>
          <w:szCs w:val="24"/>
        </w:rPr>
        <w:t xml:space="preserve">утем перечисления денежных средств уполномоченному депозитарию. Указанная обязанность считается исполненной </w:t>
      </w:r>
      <w:r>
        <w:rPr>
          <w:sz w:val="28"/>
          <w:szCs w:val="24"/>
        </w:rPr>
        <w:t xml:space="preserve">эмитентом с даты поступления денежных средств на специальный депозитарный счет (счет депозитария, являющегося кредитной организацией) уполномоченного депозитария.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Выплаты погашаемой части номинальной стоимости</w:t>
      </w:r>
      <w:r>
        <w:rPr>
          <w:sz w:val="28"/>
          <w:szCs w:val="24"/>
        </w:rPr>
        <w:t xml:space="preserve"> облигаций осуществляются в соответствии с порядком, установленным настоящими </w:t>
      </w:r>
      <w:r>
        <w:rPr>
          <w:sz w:val="28"/>
          <w:szCs w:val="24"/>
        </w:rPr>
        <w:t xml:space="preserve">У</w:t>
      </w:r>
      <w:r>
        <w:rPr>
          <w:sz w:val="28"/>
          <w:szCs w:val="24"/>
        </w:rPr>
        <w:t xml:space="preserve">словиями, решением об эмиссии и требованиями </w:t>
      </w:r>
      <w:r>
        <w:rPr>
          <w:sz w:val="28"/>
          <w:szCs w:val="24"/>
        </w:rPr>
        <w:t xml:space="preserve">законодательства Российской Федерации.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57</w:t>
      </w:r>
      <w:r>
        <w:rPr>
          <w:sz w:val="28"/>
          <w:szCs w:val="24"/>
        </w:rPr>
        <w:t xml:space="preserve">. Датой погашения выпуска облигаций является дата выплаты последней непогашенной части номинальной стоимости облигаций.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58</w:t>
      </w:r>
      <w:r>
        <w:rPr>
          <w:sz w:val="28"/>
          <w:szCs w:val="24"/>
        </w:rPr>
        <w:t xml:space="preserve">. Если дата выплаты купонного дохода и (или) дата выплаты погашаемой части номинальной стоимости по облигациям выпадают на нерабочи</w:t>
      </w:r>
      <w:r>
        <w:rPr>
          <w:sz w:val="28"/>
          <w:szCs w:val="24"/>
        </w:rPr>
        <w:t xml:space="preserve">й праздничный или выходной день, независимо от того, будет ли это государственный выходной день или выходной день для расчетных операций, то выплата надлежащей суммы производится в первый рабочий день, следующий за нерабочим праздничным или выходным днем. </w:t>
      </w:r>
      <w:r>
        <w:rPr>
          <w:sz w:val="28"/>
          <w:szCs w:val="24"/>
        </w:rPr>
        <w:t xml:space="preserve">Владелец облигации</w:t>
      </w:r>
      <w:r>
        <w:rPr>
          <w:sz w:val="28"/>
          <w:szCs w:val="24"/>
        </w:rPr>
        <w:t xml:space="preserve"> не имеет права требовать начисления процентов или какой-либо иной компенсации за такую задержку в платеже.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59</w:t>
      </w:r>
      <w:r>
        <w:rPr>
          <w:sz w:val="28"/>
          <w:szCs w:val="24"/>
        </w:rPr>
        <w:t xml:space="preserve">. Налогообложение доходов от операций с облигациями осуществляется в соответствии с действующим законодательством Российской </w:t>
      </w:r>
      <w:r>
        <w:rPr>
          <w:sz w:val="28"/>
          <w:szCs w:val="24"/>
        </w:rPr>
        <w:t xml:space="preserve"> </w:t>
      </w:r>
      <w:r>
        <w:rPr>
          <w:sz w:val="28"/>
          <w:szCs w:val="24"/>
        </w:rPr>
        <w:t xml:space="preserve">Федерации.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. Информация о</w:t>
      </w:r>
      <w:r>
        <w:rPr>
          <w:sz w:val="28"/>
          <w:szCs w:val="24"/>
        </w:rPr>
        <w:t xml:space="preserve"> бюджете Камчатского края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60</w:t>
      </w:r>
      <w:r>
        <w:rPr>
          <w:sz w:val="28"/>
          <w:szCs w:val="24"/>
        </w:rPr>
        <w:t xml:space="preserve">. В соответствии с </w:t>
      </w:r>
      <w:r>
        <w:rPr>
          <w:sz w:val="28"/>
          <w:szCs w:val="24"/>
        </w:rPr>
        <w:t xml:space="preserve">Законом Камчатского края от </w:t>
      </w:r>
      <w:r>
        <w:rPr>
          <w:sz w:val="28"/>
        </w:rPr>
        <w:t xml:space="preserve">26.11.2025 № 537 </w:t>
      </w:r>
      <w:r>
        <w:rPr>
          <w:sz w:val="28"/>
        </w:rPr>
        <w:br/>
      </w:r>
      <w:r>
        <w:rPr>
          <w:sz w:val="28"/>
        </w:rPr>
        <w:t xml:space="preserve">«О краевом бюджете на 2026 год и на плановый период 2027 и 2028 годов» </w:t>
      </w:r>
      <w:r>
        <w:rPr>
          <w:sz w:val="28"/>
          <w:szCs w:val="24"/>
        </w:rPr>
        <w:t xml:space="preserve">характеристики и показатели краевого бюджета на 2026 год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numPr>
          <w:numId w:val="10"/>
          <w:ilvl w:val="0"/>
        </w:numPr>
        <w:suppressLineNumbers w:val="0"/>
        <w:ind w:left="0" w:righ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общий объем доходов бюджета</w:t>
      </w:r>
      <w:r>
        <w:rPr>
          <w:sz w:val="28"/>
          <w:szCs w:val="24"/>
        </w:rPr>
        <w:t xml:space="preserve"> </w:t>
      </w:r>
      <w:r>
        <w:rPr>
          <w:sz w:val="28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</w:rPr>
        <w:t xml:space="preserve">149 591 717,59893 </w:t>
      </w:r>
      <w:r>
        <w:rPr>
          <w:sz w:val="28"/>
          <w:szCs w:val="24"/>
        </w:rPr>
        <w:t xml:space="preserve">тыс. рублей;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numPr>
          <w:numId w:val="10"/>
          <w:ilvl w:val="0"/>
        </w:numPr>
        <w:suppressLineNumbers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объем безвозмездных поступлений </w:t>
      </w:r>
      <w:r>
        <w:rPr>
          <w:sz w:val="28"/>
          <w:szCs w:val="24"/>
        </w:rPr>
        <w:t xml:space="preserve">–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92 899 687,05858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тыс. рублей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numPr>
          <w:numId w:val="10"/>
          <w:ilvl w:val="0"/>
        </w:numPr>
        <w:suppressLineNumbers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объем межбюджетных трансфертов, получаемых от других бюджетов бюджетной с</w:t>
      </w:r>
      <w:r>
        <w:rPr>
          <w:sz w:val="28"/>
        </w:rPr>
        <w:t xml:space="preserve">истемы Российской Федерации – </w:t>
      </w:r>
      <w:r>
        <w:rPr>
          <w:sz w:val="28"/>
        </w:rPr>
        <w:t xml:space="preserve">81 302 391,00000</w:t>
      </w:r>
      <w:r>
        <w:rPr>
          <w:sz w:val="28"/>
          <w:szCs w:val="24"/>
        </w:rPr>
        <w:t xml:space="preserve"> тыс. рублей;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2"/>
        <w:numPr>
          <w:numId w:val="10"/>
          <w:ilvl w:val="0"/>
        </w:numPr>
        <w:suppressLineNumbers w:val="0"/>
        <w:spacing w:before="0" w:beforeAutospacing="0" w:after="0" w:afterAutospacing="0" w:line="288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общий объем </w:t>
      </w:r>
      <w:r>
        <w:rPr>
          <w:sz w:val="28"/>
        </w:rPr>
        <w:t xml:space="preserve">расход</w:t>
      </w:r>
      <w:r>
        <w:rPr>
          <w:sz w:val="28"/>
        </w:rPr>
        <w:t xml:space="preserve">ов</w:t>
      </w:r>
      <w:r>
        <w:rPr>
          <w:sz w:val="28"/>
        </w:rPr>
        <w:t xml:space="preserve"> </w:t>
      </w:r>
      <w:r>
        <w:rPr>
          <w:sz w:val="28"/>
        </w:rPr>
        <w:t xml:space="preserve">–</w:t>
      </w:r>
      <w:r>
        <w:rPr>
          <w:sz w:val="28"/>
        </w:rPr>
        <w:t xml:space="preserve"> </w:t>
      </w:r>
      <w:r>
        <w:rPr>
          <w:sz w:val="28"/>
        </w:rPr>
        <w:t xml:space="preserve">157 261 735,42843</w:t>
      </w:r>
      <w:r>
        <w:rPr>
          <w:sz w:val="28"/>
        </w:rPr>
        <w:t xml:space="preserve"> </w:t>
      </w:r>
      <w:r>
        <w:rPr>
          <w:sz w:val="28"/>
        </w:rPr>
        <w:t xml:space="preserve">тыс. рублей;</w:t>
      </w:r>
      <w:r>
        <w:rPr>
          <w:sz w:val="28"/>
        </w:rPr>
      </w:r>
      <w:r>
        <w:rPr>
          <w:sz w:val="28"/>
        </w:rPr>
      </w:r>
    </w:p>
    <w:p>
      <w:pPr>
        <w:pStyle w:val="900"/>
        <w:numPr>
          <w:numId w:val="10"/>
          <w:ilvl w:val="0"/>
        </w:numPr>
        <w:suppressLineNumbers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расходы на обслуживание государственного долга – </w:t>
        <w:br/>
      </w:r>
      <w:r>
        <w:rPr>
          <w:sz w:val="28"/>
          <w:szCs w:val="24"/>
        </w:rPr>
        <w:t xml:space="preserve">3 425 219,94732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тыс. рублей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numPr>
          <w:numId w:val="10"/>
          <w:ilvl w:val="0"/>
        </w:numPr>
        <w:suppressLineNumbers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дефицит бюджета </w:t>
      </w:r>
      <w:r>
        <w:rPr>
          <w:sz w:val="28"/>
          <w:szCs w:val="24"/>
        </w:rPr>
        <w:t xml:space="preserve">– </w:t>
      </w:r>
      <w:r>
        <w:rPr>
          <w:sz w:val="28"/>
          <w:szCs w:val="24"/>
        </w:rPr>
        <w:t xml:space="preserve">7 670 017,82950 </w:t>
      </w:r>
      <w:r>
        <w:rPr>
          <w:sz w:val="28"/>
          <w:szCs w:val="24"/>
        </w:rPr>
        <w:t xml:space="preserve">тыс. рубле</w:t>
      </w:r>
      <w:r>
        <w:rPr>
          <w:sz w:val="28"/>
          <w:szCs w:val="24"/>
        </w:rPr>
        <w:t xml:space="preserve">й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numPr>
          <w:numId w:val="10"/>
          <w:ilvl w:val="0"/>
        </w:numPr>
        <w:suppressLineNumbers w:val="0"/>
        <w:ind w:left="0" w:firstLine="709"/>
        <w:jc w:val="both"/>
        <w:rPr>
          <w:sz w:val="28"/>
          <w:szCs w:val="24"/>
        </w:rPr>
      </w:pPr>
      <w:r>
        <w:rPr>
          <w:sz w:val="28"/>
        </w:rPr>
        <w:t xml:space="preserve">верхний предел государственного внутреннего долга </w:t>
      </w:r>
      <w:r>
        <w:rPr>
          <w:sz w:val="28"/>
        </w:rPr>
        <w:t xml:space="preserve">Камчатского края </w:t>
      </w:r>
      <w:r>
        <w:rPr>
          <w:sz w:val="28"/>
        </w:rPr>
        <w:t xml:space="preserve">на </w:t>
      </w:r>
      <w:r>
        <w:rPr>
          <w:sz w:val="28"/>
        </w:rPr>
        <w:t xml:space="preserve">1 января 2027 года в сумме 22 862 510,</w:t>
      </w:r>
      <w:r>
        <w:rPr>
          <w:sz w:val="28"/>
          <w:szCs w:val="24"/>
        </w:rPr>
        <w:t xml:space="preserve">47087 тыс. рублей, в том числе верхний предел долга по государственным гарантиям Камчатского края в валюте Российской Федерации в размере 0,0 тыс. рублей;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numPr>
          <w:numId w:val="10"/>
          <w:ilvl w:val="0"/>
        </w:numPr>
        <w:suppressLineNumbers w:val="0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верхний предел государственного внешнего долга Камчатского края на </w:t>
      </w:r>
      <w:r>
        <w:rPr>
          <w:sz w:val="28"/>
          <w:szCs w:val="24"/>
        </w:rPr>
        <w:t xml:space="preserve">1 января 2027 года в сумме 49 585,50808 тыс. долларов США или </w:t>
        <w:br/>
        <w:t xml:space="preserve">1 667 064,78165 тыс. рублей.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61</w:t>
      </w:r>
      <w:r>
        <w:rPr>
          <w:sz w:val="28"/>
          <w:szCs w:val="24"/>
        </w:rPr>
        <w:t xml:space="preserve">. На </w:t>
      </w:r>
      <w:r>
        <w:rPr>
          <w:sz w:val="28"/>
          <w:szCs w:val="24"/>
        </w:rPr>
        <w:t xml:space="preserve">дату</w:t>
      </w:r>
      <w:r>
        <w:rPr>
          <w:sz w:val="28"/>
          <w:szCs w:val="24"/>
        </w:rPr>
        <w:t xml:space="preserve"> утверждения настоящих условий суммарная величина государственного долга Камчатского края </w:t>
      </w:r>
      <w:r>
        <w:rPr>
          <w:sz w:val="28"/>
          <w:szCs w:val="24"/>
        </w:rPr>
        <w:t xml:space="preserve">составляет</w:t>
      </w:r>
      <w:r>
        <w:rPr>
          <w:sz w:val="28"/>
          <w:szCs w:val="24"/>
        </w:rPr>
        <w:t xml:space="preserve"> </w:t>
        <w:br/>
        <w:t xml:space="preserve">22 220 906,80114</w:t>
      </w:r>
      <w:r>
        <w:rPr>
          <w:sz w:val="28"/>
          <w:szCs w:val="24"/>
        </w:rPr>
        <w:t xml:space="preserve"> тыс. рублей.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00"/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62</w:t>
      </w:r>
      <w:r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Информация</w:t>
      </w:r>
      <w:r>
        <w:rPr>
          <w:sz w:val="28"/>
          <w:szCs w:val="24"/>
        </w:rPr>
        <w:t xml:space="preserve"> об исполнении </w:t>
      </w:r>
      <w:r>
        <w:rPr>
          <w:sz w:val="28"/>
          <w:szCs w:val="24"/>
        </w:rPr>
        <w:t xml:space="preserve"> бюджета Камчатского края за 20</w:t>
      </w:r>
      <w:r>
        <w:rPr>
          <w:sz w:val="28"/>
          <w:szCs w:val="24"/>
        </w:rPr>
        <w:t xml:space="preserve">23-</w:t>
      </w:r>
      <w:r>
        <w:rPr>
          <w:sz w:val="28"/>
          <w:szCs w:val="24"/>
        </w:rPr>
        <w:t xml:space="preserve">20</w:t>
      </w:r>
      <w:r>
        <w:rPr>
          <w:sz w:val="28"/>
          <w:szCs w:val="24"/>
        </w:rPr>
        <w:t xml:space="preserve">25</w:t>
      </w:r>
      <w:r>
        <w:rPr>
          <w:sz w:val="28"/>
          <w:szCs w:val="24"/>
        </w:rPr>
        <w:t xml:space="preserve"> годы: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88"/>
        <w:tblW w:w="0" w:type="auto"/>
        <w:tblInd w:w="-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984"/>
        <w:gridCol w:w="2268"/>
      </w:tblGrid>
      <w:tr>
        <w:trPr/>
        <w:tblPrEx/>
        <w:tc>
          <w:tcPr>
            <w:tcW w:w="709" w:type="dxa"/>
            <w:noWrap w:val="false"/>
            <w:textDirection w:val="lrTb"/>
          </w:tcPr>
          <w:p>
            <w:pPr>
              <w:pStyle w:val="900"/>
              <w:jc w:val="center"/>
            </w:pPr>
            <w:r>
              <w:t xml:space="preserve">№ п/п</w:t>
            </w:r>
          </w:p>
        </w:tc>
        <w:tc>
          <w:tcPr>
            <w:tcW w:w="2835" w:type="dxa"/>
            <w:noWrap w:val="false"/>
            <w:textDirection w:val="lrTb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показателей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5" w:type="dxa"/>
            <w:noWrap w:val="false"/>
            <w:textDirection w:val="lrTb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2023 год </w:t>
              <w:br/>
              <w:t xml:space="preserve">(тыс. рублей)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2024 год</w:t>
              <w:br/>
              <w:t xml:space="preserve">(тыс. рублей)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 год </w:t>
              <w:br/>
              <w:t xml:space="preserve">(тыс. рублей)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8"/>
        <w:gridCol w:w="2835"/>
        <w:gridCol w:w="1984"/>
        <w:gridCol w:w="1984"/>
        <w:gridCol w:w="2265"/>
      </w:tblGrid>
      <w:tr>
        <w:trPr/>
        <w:tblPrEx/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noWrap w:val="false"/>
            <w:textDirection w:val="lrTb"/>
            <w:vAlign w:val="top"/>
          </w:tcPr>
          <w:p>
            <w:pPr>
              <w:pStyle w:val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ВСЕГО ДОХОДОВ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114 208 196,91896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128 675 713,73216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151 044 441,54633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</w:t>
            </w:r>
            <w:r>
              <w:t xml:space="preserve">.</w:t>
            </w:r>
            <w:r>
              <w:t xml:space="preserve">1</w:t>
            </w:r>
            <w:r>
              <w:t xml:space="preserve">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Налоговые </w:t>
            </w:r>
            <w:r>
              <w:rPr>
                <w:szCs w:val="24"/>
              </w:rPr>
              <w:t xml:space="preserve">и неналоговые доходы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40 073 401,37665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40 060 046,89495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57 281 564,21418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544"/>
        </w:trPr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1.2.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Налоги на прибыль, доходы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23 371 120,57956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25 044 366,58707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35 158 823,61239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1.3.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Налоги на товары (работы, услуги), реализуемые на территории Российской 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Федерации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2 809 624,11278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3 015 755,45151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4 179 442,82246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1.4.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Налоги на совокупный доход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1 542 657,75333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1 991 415,63185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2 109 359,83373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1.5.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Налоги на имущество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3 425 073,93365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3 830 602,27913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4 007 354,34716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1.6.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Налоги, сборы и регулярные платежи за пользование природными ресурсами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7 260 001,59954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4 222 670,13405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8 001 616,46800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1.7.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Государственная пошлина</w:t>
            </w:r>
            <w:r>
              <w:rPr>
                <w:szCs w:val="24"/>
              </w:rPr>
              <w:t xml:space="preserve">, сборы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69 222,21595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61 874,71651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62 160,71622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1.8.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Задолженность и перерасчеты по отмененным налогам, сборам и иным обязательным платежам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0,00001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16,02816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-15,78000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1.9.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791 966,34442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684 701,11533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2 196 089,04571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1.10.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Платежи при пользовании природными ресурсами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116 112,29115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181 645,62093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178 472,51212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1.11.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Доходы от оказания платных услуг и компенсации затрат государства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141 729,74019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253 774,75364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319 675,29562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1.12.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Доходы от продажи материальных и нематериальных активов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6 253,68118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2 374,02121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41,58690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1.13.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Административные платежи и сборы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137,01500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100,82100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96,66900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1.14.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Штрафы, санкции, возмещение ущерба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539 535,87899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767 981,95344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1 026 163,51445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1.15.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Прочие неналоговые доходы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- 33,76910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2 767,78112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42 283,57042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1.16.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Безвозмездные поступления</w:t>
            </w:r>
            <w:r>
              <w:rPr>
                <w:szCs w:val="24"/>
              </w:rPr>
              <w:t xml:space="preserve">, в том числе: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74 134 795,54231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88 615 666,83721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93 762 877,33215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1.17.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Федерации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62 588 806,03414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79 580 401,10074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82 968 363,46721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1.18.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Безвозмездные поступления от государственных (муниципальных) организаций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1 747 527,0119</w:t>
            </w:r>
            <w:r>
              <w:rPr>
                <w:szCs w:val="24"/>
              </w:rPr>
              <w:t xml:space="preserve">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1 173 840,67682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361 399,29972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1.19.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Безвозмездные поступления от негосударственных организаций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19 517,78275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56 773,10000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13 699,63402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1.20.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Прочие безвозмездные поступления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9 502 390,44700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7 730 744,34000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10 103 184,57500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1.21.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353 579,70595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349 281,47615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619 491,68830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1.22.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-77 025,43943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-275 373,85650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-303 261,33210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ВСЕГО РАСХОДОВ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118 284 099,82261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134 369 687,19480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152 112 606,68821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2.1.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Общегосударственные вопросы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6 269 149,77354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6 759 335,76123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9 701 926,67145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2.2.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Национальная оборона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46 028,40729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186 611,92920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34 061,13862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2.3.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1 853 316,33982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2 015 264,28410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2 257 663,47565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2.4.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Национальная экономика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31 430 084,99714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36 892 123,59405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44 314 916,87457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2.5.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Жилищно-коммунальное хозяйство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18 492 110,68497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22 680 094,51370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24 355 661,18041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2.6.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Охрана окружающей среды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664 111,62705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864 769,30170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964 276,13185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2.7.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19 615 943,95908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22 193 736,72422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24 503 071,46933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2.8.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Культура, кинематография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1 748 152,89721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 </w:t>
            </w:r>
            <w:r>
              <w:rPr>
                <w:szCs w:val="24"/>
              </w:rPr>
              <w:t xml:space="preserve">263 983,21350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1 606 265,50793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2.9.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Здравоохранение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9 740 495,40266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12 761 040,36257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8 718 831,86559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2.10.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Социальная политика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17 217 301,21856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17 805 293,39631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21 443 135,36969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2.11.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Физическая культура и спорт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1 806 248,16684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2 082 289,34857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2 859 112,79851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2.12.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Средства массовой информации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137 922,81300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116 833,51100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109 354,22000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2.13.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Обслуживание государственного и </w:t>
            </w:r>
            <w:r>
              <w:rPr>
                <w:szCs w:val="24"/>
              </w:rPr>
              <w:t xml:space="preserve">муниципального долга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392 975,22488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776 007,82020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1 620 418,39176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2.14.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Межбюджетные трансферты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8 870 258,31057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7 972 303,43445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9 623 911,59285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</w:pPr>
            <w:r>
              <w:t xml:space="preserve">3.</w:t>
            </w:r>
          </w:p>
        </w:tc>
        <w:tc>
          <w:tcPr>
            <w:tcW w:w="2835" w:type="dxa"/>
            <w:noWrap w:val="false"/>
            <w:textDirection w:val="lrTb"/>
            <w:vAlign w:val="center"/>
          </w:tcPr>
          <w:p>
            <w:pPr>
              <w:pStyle w:val="900"/>
              <w:rPr>
                <w:szCs w:val="24"/>
              </w:rPr>
            </w:pPr>
            <w:r>
              <w:rPr>
                <w:szCs w:val="24"/>
              </w:rPr>
              <w:t xml:space="preserve">ДЕФИЦИТ (-)/ ПРОФИЦИТ (+)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-4 075 902,90365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-5 693 973,46264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265" w:type="dxa"/>
            <w:noWrap w:val="false"/>
            <w:textDirection w:val="lrTb"/>
            <w:vAlign w:val="center"/>
          </w:tcPr>
          <w:p>
            <w:pPr>
              <w:pStyle w:val="90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-1 068 165,14188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3">
    <w:name w:val="Heading 2 Char"/>
    <w:basedOn w:val="885"/>
    <w:link w:val="712"/>
    <w:uiPriority w:val="9"/>
    <w:rPr>
      <w:rFonts w:ascii="Liberation Sans" w:hAnsi="Liberation Sans" w:eastAsia="Liberation Sans" w:cs="Liberation Sans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8">
    <w:name w:val="List Paragraph"/>
    <w:basedOn w:val="884"/>
    <w:uiPriority w:val="34"/>
    <w:qFormat/>
    <w:pPr>
      <w:ind w:left="720"/>
      <w:contextualSpacing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1">
    <w:name w:val="Title Char"/>
    <w:basedOn w:val="885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5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5"/>
    <w:link w:val="895"/>
    <w:uiPriority w:val="99"/>
  </w:style>
  <w:style w:type="character" w:styleId="739">
    <w:name w:val="Footer Char"/>
    <w:basedOn w:val="885"/>
    <w:link w:val="891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5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spacing w:after="57"/>
      <w:ind w:left="0" w:right="0" w:firstLine="0"/>
    </w:pPr>
  </w:style>
  <w:style w:type="paragraph" w:styleId="874">
    <w:name w:val="toc 2"/>
    <w:basedOn w:val="884"/>
    <w:next w:val="884"/>
    <w:uiPriority w:val="39"/>
    <w:unhideWhenUsed/>
    <w:pPr>
      <w:spacing w:after="57"/>
      <w:ind w:left="283" w:right="0" w:firstLine="0"/>
    </w:pPr>
  </w:style>
  <w:style w:type="paragraph" w:styleId="875">
    <w:name w:val="toc 3"/>
    <w:basedOn w:val="884"/>
    <w:next w:val="884"/>
    <w:uiPriority w:val="39"/>
    <w:unhideWhenUsed/>
    <w:pPr>
      <w:spacing w:after="57"/>
      <w:ind w:left="567" w:right="0" w:firstLine="0"/>
    </w:pPr>
  </w:style>
  <w:style w:type="paragraph" w:styleId="876">
    <w:name w:val="toc 4"/>
    <w:basedOn w:val="884"/>
    <w:next w:val="884"/>
    <w:uiPriority w:val="39"/>
    <w:unhideWhenUsed/>
    <w:pPr>
      <w:spacing w:after="57"/>
      <w:ind w:left="850" w:right="0" w:firstLine="0"/>
    </w:pPr>
  </w:style>
  <w:style w:type="paragraph" w:styleId="877">
    <w:name w:val="toc 5"/>
    <w:basedOn w:val="884"/>
    <w:next w:val="884"/>
    <w:uiPriority w:val="39"/>
    <w:unhideWhenUsed/>
    <w:pPr>
      <w:spacing w:after="57"/>
      <w:ind w:left="1134" w:right="0" w:firstLine="0"/>
    </w:pPr>
  </w:style>
  <w:style w:type="paragraph" w:styleId="878">
    <w:name w:val="toc 6"/>
    <w:basedOn w:val="884"/>
    <w:next w:val="884"/>
    <w:uiPriority w:val="39"/>
    <w:unhideWhenUsed/>
    <w:pPr>
      <w:spacing w:after="57"/>
      <w:ind w:left="1417" w:right="0" w:firstLine="0"/>
    </w:pPr>
  </w:style>
  <w:style w:type="paragraph" w:styleId="879">
    <w:name w:val="toc 7"/>
    <w:basedOn w:val="884"/>
    <w:next w:val="884"/>
    <w:uiPriority w:val="39"/>
    <w:unhideWhenUsed/>
    <w:pPr>
      <w:spacing w:after="57"/>
      <w:ind w:left="1701" w:right="0" w:firstLine="0"/>
    </w:pPr>
  </w:style>
  <w:style w:type="paragraph" w:styleId="880">
    <w:name w:val="toc 8"/>
    <w:basedOn w:val="884"/>
    <w:next w:val="884"/>
    <w:uiPriority w:val="39"/>
    <w:unhideWhenUsed/>
    <w:pPr>
      <w:spacing w:after="57"/>
      <w:ind w:left="1984" w:right="0" w:firstLine="0"/>
    </w:pPr>
  </w:style>
  <w:style w:type="paragraph" w:styleId="881">
    <w:name w:val="toc 9"/>
    <w:basedOn w:val="884"/>
    <w:next w:val="884"/>
    <w:uiPriority w:val="39"/>
    <w:unhideWhenUsed/>
    <w:pPr>
      <w:spacing w:after="57"/>
      <w:ind w:left="2268" w:right="0" w:firstLine="0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table" w:styleId="888">
    <w:name w:val="Table Grid"/>
    <w:basedOn w:val="8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Plain Text"/>
    <w:basedOn w:val="884"/>
    <w:link w:val="890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90" w:customStyle="1">
    <w:name w:val="Текст Знак"/>
    <w:basedOn w:val="885"/>
    <w:link w:val="889"/>
    <w:uiPriority w:val="99"/>
    <w:semiHidden/>
    <w:rPr>
      <w:rFonts w:ascii="Calibri" w:hAnsi="Calibri" w:eastAsia="Calibri" w:cs="Times New Roman"/>
      <w:szCs w:val="21"/>
    </w:rPr>
  </w:style>
  <w:style w:type="paragraph" w:styleId="891">
    <w:name w:val="Footer"/>
    <w:basedOn w:val="884"/>
    <w:link w:val="892"/>
    <w:uiPriority w:val="99"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92" w:customStyle="1">
    <w:name w:val="Нижний колонтитул Знак"/>
    <w:basedOn w:val="885"/>
    <w:link w:val="89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3">
    <w:name w:val="Balloon Text"/>
    <w:basedOn w:val="884"/>
    <w:link w:val="89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885"/>
    <w:link w:val="893"/>
    <w:uiPriority w:val="99"/>
    <w:semiHidden/>
    <w:rPr>
      <w:rFonts w:ascii="Segoe UI" w:hAnsi="Segoe UI" w:cs="Segoe UI"/>
      <w:sz w:val="18"/>
      <w:szCs w:val="18"/>
    </w:rPr>
  </w:style>
  <w:style w:type="paragraph" w:styleId="895">
    <w:name w:val="Header"/>
    <w:basedOn w:val="884"/>
    <w:link w:val="89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96" w:customStyle="1">
    <w:name w:val="Верхний колонтитул Знак"/>
    <w:basedOn w:val="885"/>
    <w:link w:val="895"/>
    <w:uiPriority w:val="99"/>
  </w:style>
  <w:style w:type="character" w:styleId="897">
    <w:name w:val="Hyperlink"/>
    <w:basedOn w:val="885"/>
    <w:uiPriority w:val="99"/>
    <w:unhideWhenUsed/>
    <w:rPr>
      <w:color w:val="0563c1" w:themeColor="hyperlink"/>
      <w:u w:val="single"/>
    </w:rPr>
  </w:style>
  <w:style w:type="table" w:styleId="898" w:customStyle="1">
    <w:name w:val="Сетка таблицы1"/>
    <w:basedOn w:val="886"/>
    <w:next w:val="88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9" w:customStyle="1">
    <w:name w:val="Сетка таблицы2"/>
    <w:basedOn w:val="886"/>
    <w:next w:val="88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0" w:customStyle="1">
    <w:name w:val="ConsPlusNormal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1" w:customStyle="1">
    <w:name w:val="ConsPlusTitle"/>
    <w:pPr>
      <w:widowControl w:val="off"/>
      <w:spacing w:after="0" w:line="240" w:lineRule="auto"/>
    </w:pPr>
    <w:rPr>
      <w:rFonts w:ascii="Arial" w:hAnsi="Arial" w:eastAsia="Times New Roman" w:cs="Arial"/>
      <w:b/>
      <w:sz w:val="24"/>
      <w:szCs w:val="20"/>
      <w:lang w:eastAsia="ru-RU"/>
    </w:rPr>
  </w:style>
  <w:style w:type="paragraph" w:styleId="902">
    <w:name w:val="Normal (Web)"/>
    <w:basedOn w:val="88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296&amp;n=155985&amp;date=20.04.2026&amp;dst=10001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458F-466E-4B76-B3D2-2D694561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volkovann</cp:lastModifiedBy>
  <cp:revision>155</cp:revision>
  <dcterms:created xsi:type="dcterms:W3CDTF">2024-12-13T02:46:00Z</dcterms:created>
  <dcterms:modified xsi:type="dcterms:W3CDTF">2026-06-26T01:38:10Z</dcterms:modified>
</cp:coreProperties>
</file>